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73EBC" w14:textId="77777777" w:rsidR="00520BA5" w:rsidRPr="003227C7" w:rsidRDefault="00520BA5" w:rsidP="00520BA5">
      <w:pPr>
        <w:spacing w:line="360" w:lineRule="auto"/>
        <w:rPr>
          <w:rFonts w:cs="Arial"/>
          <w:szCs w:val="24"/>
        </w:rPr>
      </w:pPr>
      <w:r w:rsidRPr="003227C7">
        <w:rPr>
          <w:rFonts w:cs="Arial"/>
          <w:noProof/>
          <w:szCs w:val="24"/>
          <w:lang w:val="en-US"/>
        </w:rPr>
        <w:drawing>
          <wp:anchor distT="0" distB="0" distL="114300" distR="114300" simplePos="0" relativeHeight="251659264" behindDoc="0" locked="0" layoutInCell="1" allowOverlap="1" wp14:anchorId="43A66D28" wp14:editId="62B6617C">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EBEBC9E" w14:textId="77777777" w:rsidR="00520BA5" w:rsidRPr="003227C7" w:rsidRDefault="00520BA5" w:rsidP="00520BA5">
      <w:pPr>
        <w:spacing w:line="360" w:lineRule="auto"/>
        <w:jc w:val="center"/>
        <w:rPr>
          <w:rFonts w:cs="Arial"/>
          <w:b/>
          <w:bCs/>
          <w:sz w:val="28"/>
          <w:szCs w:val="24"/>
        </w:rPr>
      </w:pPr>
      <w:r w:rsidRPr="003227C7">
        <w:rPr>
          <w:rFonts w:cs="Arial"/>
          <w:b/>
          <w:bCs/>
          <w:sz w:val="28"/>
          <w:szCs w:val="24"/>
        </w:rPr>
        <w:t>Master of Business Administration</w:t>
      </w:r>
    </w:p>
    <w:p w14:paraId="4656B8DD" w14:textId="013CC7F4" w:rsidR="00520BA5" w:rsidRPr="003227C7" w:rsidRDefault="00520BA5" w:rsidP="00520BA5">
      <w:pPr>
        <w:spacing w:line="360" w:lineRule="auto"/>
        <w:jc w:val="center"/>
        <w:rPr>
          <w:rFonts w:cs="Arial"/>
          <w:b/>
          <w:bCs/>
          <w:sz w:val="28"/>
          <w:szCs w:val="24"/>
        </w:rPr>
      </w:pPr>
      <w:r w:rsidRPr="003227C7">
        <w:rPr>
          <w:rFonts w:cs="Arial"/>
          <w:b/>
          <w:bCs/>
          <w:sz w:val="28"/>
          <w:szCs w:val="24"/>
        </w:rPr>
        <w:t>Student Name:</w:t>
      </w:r>
      <w:r w:rsidRPr="003227C7">
        <w:rPr>
          <w:rFonts w:cs="Arial"/>
          <w:sz w:val="28"/>
          <w:szCs w:val="24"/>
        </w:rPr>
        <w:t xml:space="preserve"> </w:t>
      </w:r>
      <w:r w:rsidR="00484737" w:rsidRPr="00484737">
        <w:rPr>
          <w:rFonts w:cs="Arial"/>
          <w:b/>
          <w:bCs/>
          <w:sz w:val="28"/>
          <w:szCs w:val="24"/>
        </w:rPr>
        <w:t>Srabon Miah</w:t>
      </w:r>
    </w:p>
    <w:p w14:paraId="07FECA5C" w14:textId="7D46FF76" w:rsidR="00520BA5" w:rsidRPr="003227C7" w:rsidRDefault="00520BA5" w:rsidP="00520BA5">
      <w:pPr>
        <w:spacing w:line="360" w:lineRule="auto"/>
        <w:jc w:val="center"/>
        <w:rPr>
          <w:rFonts w:cs="Arial"/>
          <w:sz w:val="28"/>
          <w:szCs w:val="24"/>
        </w:rPr>
      </w:pPr>
      <w:r w:rsidRPr="003227C7">
        <w:rPr>
          <w:rFonts w:cs="Arial"/>
          <w:b/>
          <w:bCs/>
          <w:sz w:val="28"/>
          <w:szCs w:val="24"/>
        </w:rPr>
        <w:t>Student Number:</w:t>
      </w:r>
      <w:r w:rsidRPr="003227C7">
        <w:rPr>
          <w:rFonts w:cs="Arial"/>
          <w:sz w:val="28"/>
          <w:szCs w:val="24"/>
        </w:rPr>
        <w:t xml:space="preserve"> </w:t>
      </w:r>
      <w:r w:rsidR="00484737" w:rsidRPr="00484737">
        <w:rPr>
          <w:rFonts w:cs="Arial"/>
          <w:b/>
          <w:bCs/>
          <w:sz w:val="28"/>
          <w:szCs w:val="24"/>
        </w:rPr>
        <w:t>2430354</w:t>
      </w:r>
    </w:p>
    <w:p w14:paraId="54A5D741" w14:textId="59B7A044" w:rsidR="00520BA5" w:rsidRPr="003227C7" w:rsidRDefault="008C6CA6" w:rsidP="00520BA5">
      <w:pPr>
        <w:spacing w:line="360" w:lineRule="auto"/>
        <w:jc w:val="center"/>
        <w:rPr>
          <w:rFonts w:cs="Arial"/>
          <w:b/>
          <w:bCs/>
          <w:sz w:val="28"/>
          <w:szCs w:val="24"/>
        </w:rPr>
      </w:pPr>
      <w:r>
        <w:rPr>
          <w:rFonts w:cs="Arial"/>
          <w:b/>
          <w:bCs/>
          <w:sz w:val="28"/>
          <w:szCs w:val="24"/>
        </w:rPr>
        <w:t>Module C</w:t>
      </w:r>
      <w:r w:rsidR="00520BA5" w:rsidRPr="003227C7">
        <w:rPr>
          <w:rFonts w:cs="Arial"/>
          <w:b/>
          <w:bCs/>
          <w:sz w:val="28"/>
          <w:szCs w:val="24"/>
        </w:rPr>
        <w:t xml:space="preserve">ode: </w:t>
      </w:r>
      <w:r w:rsidR="00D40ACA" w:rsidRPr="00D40ACA">
        <w:rPr>
          <w:rFonts w:cs="Arial"/>
          <w:b/>
          <w:bCs/>
          <w:sz w:val="28"/>
          <w:szCs w:val="24"/>
        </w:rPr>
        <w:t>LCMB7034</w:t>
      </w:r>
    </w:p>
    <w:p w14:paraId="793FBC6A" w14:textId="5F120CF7" w:rsidR="00520BA5" w:rsidRPr="003227C7" w:rsidRDefault="00520BA5" w:rsidP="00520BA5">
      <w:pPr>
        <w:spacing w:line="360" w:lineRule="auto"/>
        <w:jc w:val="center"/>
        <w:rPr>
          <w:rFonts w:cs="Arial"/>
          <w:b/>
          <w:bCs/>
          <w:sz w:val="28"/>
          <w:szCs w:val="24"/>
        </w:rPr>
      </w:pPr>
      <w:r w:rsidRPr="003227C7">
        <w:rPr>
          <w:rFonts w:cs="Arial"/>
          <w:b/>
          <w:bCs/>
          <w:sz w:val="28"/>
          <w:szCs w:val="24"/>
        </w:rPr>
        <w:t xml:space="preserve">Assessment: </w:t>
      </w:r>
      <w:r w:rsidR="00D40ACA">
        <w:rPr>
          <w:rFonts w:cs="Arial"/>
          <w:b/>
          <w:bCs/>
          <w:sz w:val="28"/>
          <w:szCs w:val="24"/>
        </w:rPr>
        <w:t>R</w:t>
      </w:r>
      <w:r w:rsidRPr="003227C7">
        <w:rPr>
          <w:rFonts w:cs="Arial"/>
          <w:b/>
          <w:bCs/>
          <w:sz w:val="28"/>
          <w:szCs w:val="24"/>
        </w:rPr>
        <w:t>eport</w:t>
      </w:r>
    </w:p>
    <w:p w14:paraId="1D2C2C9D" w14:textId="2C58C439" w:rsidR="00520BA5" w:rsidRPr="003227C7" w:rsidRDefault="00520BA5" w:rsidP="00520BA5">
      <w:pPr>
        <w:spacing w:line="360" w:lineRule="auto"/>
        <w:jc w:val="center"/>
        <w:rPr>
          <w:rFonts w:cs="Arial"/>
          <w:b/>
          <w:bCs/>
          <w:sz w:val="28"/>
          <w:szCs w:val="24"/>
        </w:rPr>
      </w:pPr>
      <w:r w:rsidRPr="003227C7">
        <w:rPr>
          <w:rFonts w:cs="Arial"/>
          <w:b/>
          <w:bCs/>
          <w:sz w:val="28"/>
          <w:szCs w:val="24"/>
        </w:rPr>
        <w:t xml:space="preserve">Course Name: </w:t>
      </w:r>
      <w:r w:rsidR="00484737" w:rsidRPr="00484737">
        <w:rPr>
          <w:rFonts w:cs="Arial"/>
          <w:b/>
          <w:bCs/>
          <w:sz w:val="28"/>
          <w:szCs w:val="24"/>
        </w:rPr>
        <w:t>International Business Concepts</w:t>
      </w:r>
    </w:p>
    <w:p w14:paraId="63456342" w14:textId="5E5BA193" w:rsidR="00D40ACA" w:rsidRPr="00D40ACA" w:rsidRDefault="00520BA5" w:rsidP="00D40ACA">
      <w:pPr>
        <w:spacing w:line="360" w:lineRule="auto"/>
        <w:jc w:val="center"/>
        <w:rPr>
          <w:rFonts w:cs="Arial"/>
          <w:b/>
          <w:bCs/>
          <w:sz w:val="28"/>
          <w:szCs w:val="24"/>
        </w:rPr>
      </w:pPr>
      <w:r w:rsidRPr="003227C7">
        <w:rPr>
          <w:rFonts w:cs="Arial"/>
          <w:b/>
          <w:bCs/>
          <w:sz w:val="28"/>
          <w:szCs w:val="24"/>
        </w:rPr>
        <w:t xml:space="preserve">Lecturer: </w:t>
      </w:r>
      <w:r w:rsidR="00D40ACA" w:rsidRPr="00D40ACA">
        <w:rPr>
          <w:rFonts w:cs="Arial"/>
          <w:b/>
          <w:bCs/>
          <w:sz w:val="28"/>
          <w:szCs w:val="24"/>
        </w:rPr>
        <w:t>Chung Lai Johnny Wan (Weekdays)</w:t>
      </w:r>
    </w:p>
    <w:p w14:paraId="42B8517C" w14:textId="77FDCAD7" w:rsidR="00520BA5" w:rsidRPr="003227C7" w:rsidRDefault="00D40ACA" w:rsidP="00D40ACA">
      <w:pPr>
        <w:spacing w:line="360" w:lineRule="auto"/>
        <w:jc w:val="center"/>
        <w:rPr>
          <w:rFonts w:cs="Arial"/>
          <w:b/>
          <w:bCs/>
          <w:sz w:val="28"/>
          <w:szCs w:val="24"/>
        </w:rPr>
      </w:pPr>
      <w:r w:rsidRPr="00D40ACA">
        <w:rPr>
          <w:rFonts w:cs="Arial"/>
          <w:b/>
          <w:bCs/>
          <w:sz w:val="28"/>
          <w:szCs w:val="24"/>
        </w:rPr>
        <w:t xml:space="preserve"> Babar Syed (Weekends)</w:t>
      </w:r>
    </w:p>
    <w:p w14:paraId="341AE2B5" w14:textId="3E932C1F" w:rsidR="00520BA5" w:rsidRPr="003227C7" w:rsidRDefault="00520BA5" w:rsidP="00520BA5">
      <w:pPr>
        <w:spacing w:line="360" w:lineRule="auto"/>
        <w:jc w:val="center"/>
        <w:rPr>
          <w:rFonts w:cs="Arial"/>
          <w:b/>
          <w:bCs/>
          <w:i/>
          <w:iCs/>
          <w:sz w:val="28"/>
          <w:szCs w:val="24"/>
        </w:rPr>
      </w:pPr>
      <w:r w:rsidRPr="003227C7">
        <w:rPr>
          <w:rFonts w:cs="Arial"/>
          <w:b/>
          <w:bCs/>
          <w:sz w:val="28"/>
          <w:szCs w:val="24"/>
        </w:rPr>
        <w:t xml:space="preserve">Word Count: </w:t>
      </w:r>
      <w:r w:rsidR="007B7B5A">
        <w:rPr>
          <w:rFonts w:cs="Arial"/>
          <w:b/>
          <w:bCs/>
          <w:sz w:val="28"/>
          <w:szCs w:val="24"/>
        </w:rPr>
        <w:t>51</w:t>
      </w:r>
      <w:r w:rsidR="001514C6">
        <w:rPr>
          <w:rFonts w:cs="Arial"/>
          <w:b/>
          <w:bCs/>
          <w:sz w:val="28"/>
          <w:szCs w:val="24"/>
        </w:rPr>
        <w:t>98</w:t>
      </w:r>
    </w:p>
    <w:p w14:paraId="23B3AAF1" w14:textId="44F4B25E" w:rsidR="00D40ACA" w:rsidRPr="00D40ACA" w:rsidRDefault="00520BA5" w:rsidP="00D40ACA">
      <w:pPr>
        <w:spacing w:line="360" w:lineRule="auto"/>
        <w:jc w:val="center"/>
        <w:rPr>
          <w:rFonts w:cs="Arial"/>
          <w:b/>
          <w:bCs/>
          <w:sz w:val="28"/>
          <w:szCs w:val="24"/>
        </w:rPr>
      </w:pPr>
      <w:r w:rsidRPr="003227C7">
        <w:rPr>
          <w:rFonts w:cs="Arial"/>
          <w:b/>
          <w:bCs/>
          <w:sz w:val="28"/>
          <w:szCs w:val="24"/>
        </w:rPr>
        <w:t xml:space="preserve">Submission Deadline: </w:t>
      </w:r>
      <w:r w:rsidR="00D40ACA" w:rsidRPr="00D40ACA">
        <w:rPr>
          <w:rFonts w:cs="Arial"/>
          <w:b/>
          <w:bCs/>
          <w:sz w:val="28"/>
          <w:szCs w:val="24"/>
        </w:rPr>
        <w:t xml:space="preserve">21st November 2025 </w:t>
      </w:r>
    </w:p>
    <w:p w14:paraId="0677F95F" w14:textId="748C49B6" w:rsidR="00520BA5" w:rsidRPr="003227C7" w:rsidRDefault="00D40ACA" w:rsidP="00D40ACA">
      <w:pPr>
        <w:spacing w:line="360" w:lineRule="auto"/>
        <w:jc w:val="center"/>
        <w:rPr>
          <w:rFonts w:cs="Arial"/>
          <w:b/>
          <w:bCs/>
          <w:sz w:val="28"/>
          <w:szCs w:val="24"/>
        </w:rPr>
      </w:pPr>
      <w:r>
        <w:rPr>
          <w:rFonts w:cs="Arial"/>
          <w:b/>
          <w:bCs/>
          <w:sz w:val="28"/>
          <w:szCs w:val="24"/>
        </w:rPr>
        <w:t xml:space="preserve">                                         </w:t>
      </w:r>
    </w:p>
    <w:p w14:paraId="754A1369" w14:textId="77777777" w:rsidR="00520BA5" w:rsidRDefault="00520BA5" w:rsidP="00520BA5">
      <w:pPr>
        <w:rPr>
          <w:rFonts w:cs="Arial"/>
          <w:szCs w:val="24"/>
        </w:rPr>
        <w:sectPr w:rsidR="00520BA5">
          <w:pgSz w:w="12240" w:h="15840"/>
          <w:pgMar w:top="1440" w:right="1440" w:bottom="1440" w:left="1440" w:header="720" w:footer="720" w:gutter="0"/>
          <w:cols w:space="720"/>
          <w:docGrid w:linePitch="360"/>
        </w:sectPr>
      </w:pPr>
    </w:p>
    <w:sdt>
      <w:sdtPr>
        <w:rPr>
          <w:rFonts w:ascii="Arial" w:eastAsiaTheme="minorHAnsi" w:hAnsi="Arial" w:cstheme="minorBidi"/>
          <w:color w:val="auto"/>
          <w:sz w:val="24"/>
          <w:szCs w:val="22"/>
          <w:lang w:val="en-GB"/>
        </w:rPr>
        <w:id w:val="638543538"/>
        <w:docPartObj>
          <w:docPartGallery w:val="Table of Contents"/>
          <w:docPartUnique/>
        </w:docPartObj>
      </w:sdtPr>
      <w:sdtEndPr>
        <w:rPr>
          <w:rFonts w:cs="Arial"/>
          <w:b/>
          <w:bCs/>
          <w:noProof/>
        </w:rPr>
      </w:sdtEndPr>
      <w:sdtContent>
        <w:p w14:paraId="78BC1C94" w14:textId="4743E729" w:rsidR="00D860FD" w:rsidRPr="008C6CA6" w:rsidRDefault="00D860FD" w:rsidP="008C6CA6">
          <w:pPr>
            <w:pStyle w:val="TOCHeading"/>
            <w:spacing w:after="240"/>
            <w:jc w:val="center"/>
            <w:rPr>
              <w:rFonts w:ascii="Arial" w:hAnsi="Arial" w:cs="Arial"/>
              <w:b/>
              <w:color w:val="000000" w:themeColor="text1"/>
              <w:sz w:val="28"/>
              <w:szCs w:val="28"/>
            </w:rPr>
          </w:pPr>
          <w:r w:rsidRPr="008C6CA6">
            <w:rPr>
              <w:rFonts w:ascii="Arial" w:hAnsi="Arial" w:cs="Arial"/>
              <w:b/>
              <w:color w:val="000000" w:themeColor="text1"/>
              <w:sz w:val="28"/>
              <w:szCs w:val="28"/>
            </w:rPr>
            <w:t>Table of Contents</w:t>
          </w:r>
        </w:p>
        <w:p w14:paraId="6010C80B" w14:textId="6824D777" w:rsidR="00D860FD" w:rsidRPr="00D860FD" w:rsidRDefault="00D860FD">
          <w:pPr>
            <w:pStyle w:val="TOC1"/>
            <w:tabs>
              <w:tab w:val="right" w:leader="dot" w:pos="9350"/>
            </w:tabs>
            <w:rPr>
              <w:rFonts w:cs="Arial"/>
              <w:noProof/>
            </w:rPr>
          </w:pPr>
          <w:r w:rsidRPr="00D860FD">
            <w:rPr>
              <w:rFonts w:cs="Arial"/>
            </w:rPr>
            <w:fldChar w:fldCharType="begin"/>
          </w:r>
          <w:r w:rsidRPr="00D860FD">
            <w:rPr>
              <w:rFonts w:cs="Arial"/>
            </w:rPr>
            <w:instrText xml:space="preserve"> TOC \o "1-3" \h \z \u </w:instrText>
          </w:r>
          <w:r w:rsidRPr="00D860FD">
            <w:rPr>
              <w:rFonts w:cs="Arial"/>
            </w:rPr>
            <w:fldChar w:fldCharType="separate"/>
          </w:r>
          <w:hyperlink w:anchor="_Toc213980485" w:history="1">
            <w:r w:rsidRPr="00D860FD">
              <w:rPr>
                <w:rStyle w:val="Hyperlink"/>
                <w:rFonts w:eastAsia="Times New Roman" w:cs="Arial"/>
                <w:noProof/>
                <w:lang w:val="en-US"/>
              </w:rPr>
              <w:t>1.Introduction</w:t>
            </w:r>
            <w:r w:rsidRPr="00D860FD">
              <w:rPr>
                <w:rFonts w:cs="Arial"/>
                <w:noProof/>
                <w:webHidden/>
              </w:rPr>
              <w:tab/>
            </w:r>
            <w:r w:rsidRPr="00D860FD">
              <w:rPr>
                <w:rFonts w:cs="Arial"/>
                <w:noProof/>
                <w:webHidden/>
              </w:rPr>
              <w:fldChar w:fldCharType="begin"/>
            </w:r>
            <w:r w:rsidRPr="00D860FD">
              <w:rPr>
                <w:rFonts w:cs="Arial"/>
                <w:noProof/>
                <w:webHidden/>
              </w:rPr>
              <w:instrText xml:space="preserve"> PAGEREF _Toc213980485 \h </w:instrText>
            </w:r>
            <w:r w:rsidRPr="00D860FD">
              <w:rPr>
                <w:rFonts w:cs="Arial"/>
                <w:noProof/>
                <w:webHidden/>
              </w:rPr>
            </w:r>
            <w:r w:rsidRPr="00D860FD">
              <w:rPr>
                <w:rFonts w:cs="Arial"/>
                <w:noProof/>
                <w:webHidden/>
              </w:rPr>
              <w:fldChar w:fldCharType="separate"/>
            </w:r>
            <w:r w:rsidRPr="00D860FD">
              <w:rPr>
                <w:rFonts w:cs="Arial"/>
                <w:noProof/>
                <w:webHidden/>
              </w:rPr>
              <w:t>1</w:t>
            </w:r>
            <w:r w:rsidRPr="00D860FD">
              <w:rPr>
                <w:rFonts w:cs="Arial"/>
                <w:noProof/>
                <w:webHidden/>
              </w:rPr>
              <w:fldChar w:fldCharType="end"/>
            </w:r>
          </w:hyperlink>
        </w:p>
        <w:p w14:paraId="7ED72B94" w14:textId="57361945" w:rsidR="00D860FD" w:rsidRPr="00D860FD" w:rsidRDefault="00080FC7">
          <w:pPr>
            <w:pStyle w:val="TOC1"/>
            <w:tabs>
              <w:tab w:val="right" w:leader="dot" w:pos="9350"/>
            </w:tabs>
            <w:rPr>
              <w:rFonts w:cs="Arial"/>
              <w:noProof/>
            </w:rPr>
          </w:pPr>
          <w:hyperlink w:anchor="_Toc213980486" w:history="1">
            <w:r w:rsidR="00D860FD" w:rsidRPr="00D860FD">
              <w:rPr>
                <w:rStyle w:val="Hyperlink"/>
                <w:rFonts w:eastAsia="Times New Roman" w:cs="Arial"/>
                <w:noProof/>
              </w:rPr>
              <w:t>2. Benefits and Challenges of International Operations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_Toc213980486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w:t>
            </w:r>
            <w:r w:rsidR="00D860FD" w:rsidRPr="00D860FD">
              <w:rPr>
                <w:rFonts w:cs="Arial"/>
                <w:noProof/>
                <w:webHidden/>
              </w:rPr>
              <w:fldChar w:fldCharType="end"/>
            </w:r>
          </w:hyperlink>
        </w:p>
        <w:p w14:paraId="1FAFD656" w14:textId="4E300E5B" w:rsidR="00D860FD" w:rsidRPr="00D860FD" w:rsidRDefault="00080FC7">
          <w:pPr>
            <w:pStyle w:val="TOC2"/>
            <w:tabs>
              <w:tab w:val="right" w:leader="dot" w:pos="9350"/>
            </w:tabs>
            <w:rPr>
              <w:rFonts w:cs="Arial"/>
              <w:noProof/>
            </w:rPr>
          </w:pPr>
          <w:hyperlink w:anchor="_Toc213980487" w:history="1">
            <w:r w:rsidR="00D860FD" w:rsidRPr="00D860FD">
              <w:rPr>
                <w:rStyle w:val="Hyperlink"/>
                <w:rFonts w:cs="Arial"/>
                <w:noProof/>
              </w:rPr>
              <w:t>a. Why Vodafone Group Plc Qualifies as an MNC/TNC</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_Toc213980487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w:t>
            </w:r>
            <w:r w:rsidR="00D860FD" w:rsidRPr="00D860FD">
              <w:rPr>
                <w:rFonts w:cs="Arial"/>
                <w:noProof/>
                <w:webHidden/>
              </w:rPr>
              <w:fldChar w:fldCharType="end"/>
            </w:r>
          </w:hyperlink>
        </w:p>
        <w:p w14:paraId="37BE679A" w14:textId="30981FB6" w:rsidR="00D860FD" w:rsidRPr="00D860FD" w:rsidRDefault="00080FC7">
          <w:pPr>
            <w:pStyle w:val="TOC2"/>
            <w:tabs>
              <w:tab w:val="right" w:leader="dot" w:pos="9350"/>
            </w:tabs>
            <w:rPr>
              <w:rFonts w:cs="Arial"/>
              <w:noProof/>
            </w:rPr>
          </w:pPr>
          <w:hyperlink w:anchor="_Toc213980488" w:history="1">
            <w:r w:rsidR="00D860FD" w:rsidRPr="00D860FD">
              <w:rPr>
                <w:rStyle w:val="Hyperlink"/>
                <w:rFonts w:cs="Arial"/>
                <w:noProof/>
              </w:rPr>
              <w:t>b. Nature of Vodafone’s Global Operations and Value Chain</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_Toc213980488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2</w:t>
            </w:r>
            <w:r w:rsidR="00D860FD" w:rsidRPr="00D860FD">
              <w:rPr>
                <w:rFonts w:cs="Arial"/>
                <w:noProof/>
                <w:webHidden/>
              </w:rPr>
              <w:fldChar w:fldCharType="end"/>
            </w:r>
          </w:hyperlink>
        </w:p>
        <w:p w14:paraId="1E9947EE" w14:textId="493FABF7" w:rsidR="00D860FD" w:rsidRPr="00D860FD" w:rsidRDefault="00080FC7">
          <w:pPr>
            <w:pStyle w:val="TOC2"/>
            <w:tabs>
              <w:tab w:val="right" w:leader="dot" w:pos="9350"/>
            </w:tabs>
            <w:rPr>
              <w:rFonts w:cs="Arial"/>
              <w:noProof/>
            </w:rPr>
          </w:pPr>
          <w:hyperlink w:anchor="_Toc213980489" w:history="1">
            <w:r w:rsidR="00D860FD" w:rsidRPr="00D860FD">
              <w:rPr>
                <w:rStyle w:val="Hyperlink"/>
                <w:rFonts w:cs="Arial"/>
                <w:noProof/>
              </w:rPr>
              <w:t>c. Entry Modes in International Markets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_Toc213980489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4</w:t>
            </w:r>
            <w:r w:rsidR="00D860FD" w:rsidRPr="00D860FD">
              <w:rPr>
                <w:rFonts w:cs="Arial"/>
                <w:noProof/>
                <w:webHidden/>
              </w:rPr>
              <w:fldChar w:fldCharType="end"/>
            </w:r>
          </w:hyperlink>
        </w:p>
        <w:p w14:paraId="796925C9" w14:textId="36E25021" w:rsidR="00D860FD" w:rsidRPr="00D860FD" w:rsidRDefault="00080FC7">
          <w:pPr>
            <w:pStyle w:val="TOC2"/>
            <w:tabs>
              <w:tab w:val="right" w:leader="dot" w:pos="9350"/>
            </w:tabs>
            <w:rPr>
              <w:rFonts w:cs="Arial"/>
              <w:noProof/>
            </w:rPr>
          </w:pPr>
          <w:hyperlink w:anchor="_Toc213980490" w:history="1">
            <w:r w:rsidR="00D860FD" w:rsidRPr="00D860FD">
              <w:rPr>
                <w:rStyle w:val="Hyperlink"/>
                <w:rFonts w:cs="Arial"/>
                <w:noProof/>
              </w:rPr>
              <w:t>d. Benefits of International Operations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_Toc213980490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5</w:t>
            </w:r>
            <w:r w:rsidR="00D860FD" w:rsidRPr="00D860FD">
              <w:rPr>
                <w:rFonts w:cs="Arial"/>
                <w:noProof/>
                <w:webHidden/>
              </w:rPr>
              <w:fldChar w:fldCharType="end"/>
            </w:r>
          </w:hyperlink>
        </w:p>
        <w:p w14:paraId="51DB964A" w14:textId="79BE7F92" w:rsidR="00D860FD" w:rsidRPr="00D860FD" w:rsidRDefault="00080FC7">
          <w:pPr>
            <w:pStyle w:val="TOC2"/>
            <w:tabs>
              <w:tab w:val="right" w:leader="dot" w:pos="9350"/>
            </w:tabs>
            <w:rPr>
              <w:rFonts w:cs="Arial"/>
              <w:noProof/>
            </w:rPr>
          </w:pPr>
          <w:hyperlink w:anchor="_Toc213980491" w:history="1">
            <w:r w:rsidR="00D860FD" w:rsidRPr="00D860FD">
              <w:rPr>
                <w:rStyle w:val="Hyperlink"/>
                <w:rFonts w:cs="Arial"/>
                <w:noProof/>
              </w:rPr>
              <w:t>e. Challenges of International Operations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_Toc213980491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7</w:t>
            </w:r>
            <w:r w:rsidR="00D860FD" w:rsidRPr="00D860FD">
              <w:rPr>
                <w:rFonts w:cs="Arial"/>
                <w:noProof/>
                <w:webHidden/>
              </w:rPr>
              <w:fldChar w:fldCharType="end"/>
            </w:r>
          </w:hyperlink>
        </w:p>
        <w:p w14:paraId="702181E7" w14:textId="6445A043" w:rsidR="00D860FD" w:rsidRPr="00D860FD" w:rsidRDefault="00080FC7">
          <w:pPr>
            <w:pStyle w:val="TOC1"/>
            <w:tabs>
              <w:tab w:val="right" w:leader="dot" w:pos="9350"/>
            </w:tabs>
            <w:rPr>
              <w:rFonts w:cs="Arial"/>
              <w:noProof/>
            </w:rPr>
          </w:pPr>
          <w:hyperlink w:anchor="_Toc213980492" w:history="1">
            <w:r w:rsidR="00D860FD" w:rsidRPr="00D860FD">
              <w:rPr>
                <w:rStyle w:val="Hyperlink"/>
                <w:rFonts w:eastAsia="Times New Roman" w:cs="Arial"/>
                <w:noProof/>
              </w:rPr>
              <w:t>3. OLI Factors and Market Entry into India</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_Toc213980492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8</w:t>
            </w:r>
            <w:r w:rsidR="00D860FD" w:rsidRPr="00D860FD">
              <w:rPr>
                <w:rFonts w:cs="Arial"/>
                <w:noProof/>
                <w:webHidden/>
              </w:rPr>
              <w:fldChar w:fldCharType="end"/>
            </w:r>
          </w:hyperlink>
        </w:p>
        <w:p w14:paraId="50815FC5" w14:textId="7A18CDCE" w:rsidR="00D860FD" w:rsidRPr="00D860FD" w:rsidRDefault="00080FC7">
          <w:pPr>
            <w:pStyle w:val="TOC2"/>
            <w:tabs>
              <w:tab w:val="right" w:leader="dot" w:pos="9350"/>
            </w:tabs>
            <w:rPr>
              <w:rFonts w:cs="Arial"/>
              <w:noProof/>
            </w:rPr>
          </w:pPr>
          <w:hyperlink w:anchor="_Toc213980493" w:history="1">
            <w:r w:rsidR="00D860FD" w:rsidRPr="00D860FD">
              <w:rPr>
                <w:rStyle w:val="Hyperlink"/>
                <w:rFonts w:cs="Arial"/>
                <w:noProof/>
              </w:rPr>
              <w:t>a. Ownership Advantages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_Toc213980493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8</w:t>
            </w:r>
            <w:r w:rsidR="00D860FD" w:rsidRPr="00D860FD">
              <w:rPr>
                <w:rFonts w:cs="Arial"/>
                <w:noProof/>
                <w:webHidden/>
              </w:rPr>
              <w:fldChar w:fldCharType="end"/>
            </w:r>
          </w:hyperlink>
        </w:p>
        <w:p w14:paraId="0E43F54A" w14:textId="4E771993" w:rsidR="00D860FD" w:rsidRPr="00D860FD" w:rsidRDefault="00080FC7">
          <w:pPr>
            <w:pStyle w:val="TOC2"/>
            <w:tabs>
              <w:tab w:val="right" w:leader="dot" w:pos="9350"/>
            </w:tabs>
            <w:rPr>
              <w:rFonts w:cs="Arial"/>
              <w:noProof/>
            </w:rPr>
          </w:pPr>
          <w:hyperlink w:anchor="_Toc213980494" w:history="1">
            <w:r w:rsidR="00D860FD" w:rsidRPr="00D860FD">
              <w:rPr>
                <w:rStyle w:val="Hyperlink"/>
                <w:rFonts w:cs="Arial"/>
                <w:noProof/>
              </w:rPr>
              <w:t>b. Location Advantages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_Toc213980494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10</w:t>
            </w:r>
            <w:r w:rsidR="00D860FD" w:rsidRPr="00D860FD">
              <w:rPr>
                <w:rFonts w:cs="Arial"/>
                <w:noProof/>
                <w:webHidden/>
              </w:rPr>
              <w:fldChar w:fldCharType="end"/>
            </w:r>
          </w:hyperlink>
        </w:p>
        <w:p w14:paraId="6025E0DD" w14:textId="053EB381" w:rsidR="00D860FD" w:rsidRPr="00D860FD" w:rsidRDefault="00080FC7">
          <w:pPr>
            <w:pStyle w:val="TOC2"/>
            <w:tabs>
              <w:tab w:val="right" w:leader="dot" w:pos="9350"/>
            </w:tabs>
            <w:rPr>
              <w:rFonts w:cs="Arial"/>
              <w:noProof/>
            </w:rPr>
          </w:pPr>
          <w:hyperlink w:anchor="_Toc213980495" w:history="1">
            <w:r w:rsidR="00D860FD" w:rsidRPr="00D860FD">
              <w:rPr>
                <w:rStyle w:val="Hyperlink"/>
                <w:rFonts w:cs="Arial"/>
                <w:noProof/>
              </w:rPr>
              <w:t>c. Internalisation Advantages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_Toc213980495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11</w:t>
            </w:r>
            <w:r w:rsidR="00D860FD" w:rsidRPr="00D860FD">
              <w:rPr>
                <w:rFonts w:cs="Arial"/>
                <w:noProof/>
                <w:webHidden/>
              </w:rPr>
              <w:fldChar w:fldCharType="end"/>
            </w:r>
          </w:hyperlink>
        </w:p>
        <w:p w14:paraId="283054FB" w14:textId="2E66019B" w:rsidR="00D860FD" w:rsidRPr="00D860FD" w:rsidRDefault="00080FC7">
          <w:pPr>
            <w:pStyle w:val="TOC2"/>
            <w:tabs>
              <w:tab w:val="right" w:leader="dot" w:pos="9350"/>
            </w:tabs>
            <w:rPr>
              <w:rFonts w:cs="Arial"/>
              <w:noProof/>
            </w:rPr>
          </w:pPr>
          <w:hyperlink w:anchor="_Toc213980496" w:history="1">
            <w:r w:rsidR="00D860FD" w:rsidRPr="00D860FD">
              <w:rPr>
                <w:rStyle w:val="Hyperlink"/>
                <w:rFonts w:cs="Arial"/>
                <w:noProof/>
              </w:rPr>
              <w:t>d. Application of the OLI Framework in India</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_Toc213980496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11</w:t>
            </w:r>
            <w:r w:rsidR="00D860FD" w:rsidRPr="00D860FD">
              <w:rPr>
                <w:rFonts w:cs="Arial"/>
                <w:noProof/>
                <w:webHidden/>
              </w:rPr>
              <w:fldChar w:fldCharType="end"/>
            </w:r>
          </w:hyperlink>
        </w:p>
        <w:p w14:paraId="6138DABA" w14:textId="19E18ACC" w:rsidR="00D860FD" w:rsidRPr="00D860FD" w:rsidRDefault="00080FC7">
          <w:pPr>
            <w:pStyle w:val="TOC1"/>
            <w:tabs>
              <w:tab w:val="right" w:leader="dot" w:pos="9350"/>
            </w:tabs>
            <w:rPr>
              <w:rFonts w:cs="Arial"/>
              <w:noProof/>
            </w:rPr>
          </w:pPr>
          <w:hyperlink w:anchor="_Toc213980497" w:history="1">
            <w:r w:rsidR="00D860FD" w:rsidRPr="00D860FD">
              <w:rPr>
                <w:rStyle w:val="Hyperlink"/>
                <w:rFonts w:eastAsia="Times New Roman" w:cs="Arial"/>
                <w:noProof/>
                <w:lang w:val="en-US"/>
              </w:rPr>
              <w:t>4. Cultural Differences between the UK and India and Their Impact on Vodafone’s Market Entry and Success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_Toc213980497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12</w:t>
            </w:r>
            <w:r w:rsidR="00D860FD" w:rsidRPr="00D860FD">
              <w:rPr>
                <w:rFonts w:cs="Arial"/>
                <w:noProof/>
                <w:webHidden/>
              </w:rPr>
              <w:fldChar w:fldCharType="end"/>
            </w:r>
          </w:hyperlink>
        </w:p>
        <w:p w14:paraId="5D2BFE97" w14:textId="1B876C74" w:rsidR="00D860FD" w:rsidRPr="00D860FD" w:rsidRDefault="00080FC7">
          <w:pPr>
            <w:pStyle w:val="TOC2"/>
            <w:tabs>
              <w:tab w:val="right" w:leader="dot" w:pos="9350"/>
            </w:tabs>
            <w:rPr>
              <w:rFonts w:cs="Arial"/>
              <w:noProof/>
            </w:rPr>
          </w:pPr>
          <w:hyperlink w:anchor="_Toc213980498" w:history="1">
            <w:r w:rsidR="00D860FD" w:rsidRPr="00D860FD">
              <w:rPr>
                <w:rStyle w:val="Hyperlink"/>
                <w:rFonts w:cs="Arial"/>
                <w:noProof/>
              </w:rPr>
              <w:t>a. Understanding Cultural Context through Hofstede’s Dimensions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_Toc213980498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12</w:t>
            </w:r>
            <w:r w:rsidR="00D860FD" w:rsidRPr="00D860FD">
              <w:rPr>
                <w:rFonts w:cs="Arial"/>
                <w:noProof/>
                <w:webHidden/>
              </w:rPr>
              <w:fldChar w:fldCharType="end"/>
            </w:r>
          </w:hyperlink>
        </w:p>
        <w:p w14:paraId="7BD2CBB5" w14:textId="422C45C5" w:rsidR="00D860FD" w:rsidRPr="00D860FD" w:rsidRDefault="00080FC7">
          <w:pPr>
            <w:pStyle w:val="TOC2"/>
            <w:tabs>
              <w:tab w:val="right" w:leader="dot" w:pos="9350"/>
            </w:tabs>
            <w:rPr>
              <w:rFonts w:cs="Arial"/>
              <w:noProof/>
            </w:rPr>
          </w:pPr>
          <w:hyperlink w:anchor="_Toc213980499" w:history="1">
            <w:r w:rsidR="00D860FD" w:rsidRPr="00D860FD">
              <w:rPr>
                <w:rStyle w:val="Hyperlink"/>
                <w:rFonts w:cs="Arial"/>
                <w:noProof/>
              </w:rPr>
              <w:t>b. Cultural Implications for Market Entry Strategy</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_Toc213980499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13</w:t>
            </w:r>
            <w:r w:rsidR="00D860FD" w:rsidRPr="00D860FD">
              <w:rPr>
                <w:rFonts w:cs="Arial"/>
                <w:noProof/>
                <w:webHidden/>
              </w:rPr>
              <w:fldChar w:fldCharType="end"/>
            </w:r>
          </w:hyperlink>
        </w:p>
        <w:p w14:paraId="60DDCB53" w14:textId="6E088E5F" w:rsidR="00D860FD" w:rsidRPr="00D860FD" w:rsidRDefault="00080FC7">
          <w:pPr>
            <w:pStyle w:val="TOC2"/>
            <w:tabs>
              <w:tab w:val="right" w:leader="dot" w:pos="9350"/>
            </w:tabs>
            <w:rPr>
              <w:rFonts w:cs="Arial"/>
              <w:noProof/>
            </w:rPr>
          </w:pPr>
          <w:hyperlink w:anchor="_Toc213980500" w:history="1">
            <w:r w:rsidR="00D860FD" w:rsidRPr="00D860FD">
              <w:rPr>
                <w:rStyle w:val="Hyperlink"/>
                <w:rFonts w:cs="Arial"/>
                <w:noProof/>
              </w:rPr>
              <w:t>c. HR and Organisational Culture Challenges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_Toc213980500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14</w:t>
            </w:r>
            <w:r w:rsidR="00D860FD" w:rsidRPr="00D860FD">
              <w:rPr>
                <w:rFonts w:cs="Arial"/>
                <w:noProof/>
                <w:webHidden/>
              </w:rPr>
              <w:fldChar w:fldCharType="end"/>
            </w:r>
          </w:hyperlink>
        </w:p>
        <w:p w14:paraId="37CE10A3" w14:textId="528867B5" w:rsidR="00D860FD" w:rsidRPr="00D860FD" w:rsidRDefault="00080FC7">
          <w:pPr>
            <w:pStyle w:val="TOC2"/>
            <w:tabs>
              <w:tab w:val="right" w:leader="dot" w:pos="9350"/>
            </w:tabs>
            <w:rPr>
              <w:rFonts w:cs="Arial"/>
              <w:noProof/>
            </w:rPr>
          </w:pPr>
          <w:hyperlink w:anchor="_Toc213980501" w:history="1">
            <w:r w:rsidR="00D860FD" w:rsidRPr="00D860FD">
              <w:rPr>
                <w:rStyle w:val="Hyperlink"/>
                <w:rFonts w:cs="Arial"/>
                <w:noProof/>
              </w:rPr>
              <w:t>d. Marketing and Consumer Behavioural Aspects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_Toc213980501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14</w:t>
            </w:r>
            <w:r w:rsidR="00D860FD" w:rsidRPr="00D860FD">
              <w:rPr>
                <w:rFonts w:cs="Arial"/>
                <w:noProof/>
                <w:webHidden/>
              </w:rPr>
              <w:fldChar w:fldCharType="end"/>
            </w:r>
          </w:hyperlink>
        </w:p>
        <w:p w14:paraId="7760FCC0" w14:textId="7EEB0177" w:rsidR="00D860FD" w:rsidRPr="00D860FD" w:rsidRDefault="00080FC7">
          <w:pPr>
            <w:pStyle w:val="TOC2"/>
            <w:tabs>
              <w:tab w:val="right" w:leader="dot" w:pos="9350"/>
            </w:tabs>
            <w:rPr>
              <w:rFonts w:cs="Arial"/>
              <w:noProof/>
            </w:rPr>
          </w:pPr>
          <w:hyperlink w:anchor="_Toc213980502" w:history="1">
            <w:r w:rsidR="00D860FD" w:rsidRPr="00D860FD">
              <w:rPr>
                <w:rStyle w:val="Hyperlink"/>
                <w:rFonts w:cs="Arial"/>
                <w:noProof/>
              </w:rPr>
              <w:t>e. Impact of Cultural Factors on Success Potential</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_Toc213980502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15</w:t>
            </w:r>
            <w:r w:rsidR="00D860FD" w:rsidRPr="00D860FD">
              <w:rPr>
                <w:rFonts w:cs="Arial"/>
                <w:noProof/>
                <w:webHidden/>
              </w:rPr>
              <w:fldChar w:fldCharType="end"/>
            </w:r>
          </w:hyperlink>
        </w:p>
        <w:p w14:paraId="5ECD5326" w14:textId="28F51F07" w:rsidR="00D860FD" w:rsidRPr="00D860FD" w:rsidRDefault="00080FC7">
          <w:pPr>
            <w:pStyle w:val="TOC1"/>
            <w:tabs>
              <w:tab w:val="right" w:leader="dot" w:pos="9350"/>
            </w:tabs>
            <w:rPr>
              <w:rFonts w:cs="Arial"/>
              <w:noProof/>
            </w:rPr>
          </w:pPr>
          <w:hyperlink w:anchor="_Toc213980503" w:history="1">
            <w:r w:rsidR="00D860FD" w:rsidRPr="00D860FD">
              <w:rPr>
                <w:rStyle w:val="Hyperlink"/>
                <w:rFonts w:cs="Arial"/>
                <w:noProof/>
              </w:rPr>
              <w:t>5. Recommended SOP Adjustments for Success in India</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_Toc213980503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15</w:t>
            </w:r>
            <w:r w:rsidR="00D860FD" w:rsidRPr="00D860FD">
              <w:rPr>
                <w:rFonts w:cs="Arial"/>
                <w:noProof/>
                <w:webHidden/>
              </w:rPr>
              <w:fldChar w:fldCharType="end"/>
            </w:r>
          </w:hyperlink>
        </w:p>
        <w:p w14:paraId="05FBCD52" w14:textId="1F8F36B5" w:rsidR="00D860FD" w:rsidRPr="00D860FD" w:rsidRDefault="00080FC7">
          <w:pPr>
            <w:pStyle w:val="TOC2"/>
            <w:tabs>
              <w:tab w:val="right" w:leader="dot" w:pos="9350"/>
            </w:tabs>
            <w:rPr>
              <w:rFonts w:cs="Arial"/>
              <w:noProof/>
            </w:rPr>
          </w:pPr>
          <w:hyperlink w:anchor="_Toc213980504" w:history="1">
            <w:r w:rsidR="00D860FD" w:rsidRPr="00D860FD">
              <w:rPr>
                <w:rStyle w:val="Hyperlink"/>
                <w:rFonts w:cs="Arial"/>
                <w:noProof/>
              </w:rPr>
              <w:t>a. SOP Adjustment 1: Localised Decision-Making and Governance Framework</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_Toc213980504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15</w:t>
            </w:r>
            <w:r w:rsidR="00D860FD" w:rsidRPr="00D860FD">
              <w:rPr>
                <w:rFonts w:cs="Arial"/>
                <w:noProof/>
                <w:webHidden/>
              </w:rPr>
              <w:fldChar w:fldCharType="end"/>
            </w:r>
          </w:hyperlink>
        </w:p>
        <w:p w14:paraId="28008793" w14:textId="6022E7CA" w:rsidR="00D860FD" w:rsidRPr="00D860FD" w:rsidRDefault="00080FC7">
          <w:pPr>
            <w:pStyle w:val="TOC2"/>
            <w:tabs>
              <w:tab w:val="right" w:leader="dot" w:pos="9350"/>
            </w:tabs>
            <w:rPr>
              <w:rFonts w:cs="Arial"/>
              <w:noProof/>
            </w:rPr>
          </w:pPr>
          <w:hyperlink w:anchor="_Toc213980505" w:history="1">
            <w:r w:rsidR="00D860FD" w:rsidRPr="00D860FD">
              <w:rPr>
                <w:rStyle w:val="Hyperlink"/>
                <w:rFonts w:cs="Arial"/>
                <w:noProof/>
              </w:rPr>
              <w:t>b. SOP Adjustment 2: Enhanced Cultural Integration and Workforce Development</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_Toc213980505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16</w:t>
            </w:r>
            <w:r w:rsidR="00D860FD" w:rsidRPr="00D860FD">
              <w:rPr>
                <w:rFonts w:cs="Arial"/>
                <w:noProof/>
                <w:webHidden/>
              </w:rPr>
              <w:fldChar w:fldCharType="end"/>
            </w:r>
          </w:hyperlink>
        </w:p>
        <w:p w14:paraId="375DE280" w14:textId="30D11CDD" w:rsidR="00D860FD" w:rsidRPr="00D860FD" w:rsidRDefault="00080FC7">
          <w:pPr>
            <w:pStyle w:val="TOC2"/>
            <w:tabs>
              <w:tab w:val="right" w:leader="dot" w:pos="9350"/>
            </w:tabs>
            <w:rPr>
              <w:rFonts w:cs="Arial"/>
              <w:noProof/>
            </w:rPr>
          </w:pPr>
          <w:hyperlink w:anchor="_Toc213980506" w:history="1">
            <w:r w:rsidR="00D860FD" w:rsidRPr="00D860FD">
              <w:rPr>
                <w:rStyle w:val="Hyperlink"/>
                <w:rFonts w:cs="Arial"/>
                <w:noProof/>
              </w:rPr>
              <w:t>c. SOP Adjustment 3: Market-Specific Innovation and Consumer Engagement</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_Toc213980506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18</w:t>
            </w:r>
            <w:r w:rsidR="00D860FD" w:rsidRPr="00D860FD">
              <w:rPr>
                <w:rFonts w:cs="Arial"/>
                <w:noProof/>
                <w:webHidden/>
              </w:rPr>
              <w:fldChar w:fldCharType="end"/>
            </w:r>
          </w:hyperlink>
        </w:p>
        <w:p w14:paraId="27C72902" w14:textId="4CEBDDAE" w:rsidR="00D860FD" w:rsidRPr="00D860FD" w:rsidRDefault="00080FC7">
          <w:pPr>
            <w:pStyle w:val="TOC2"/>
            <w:tabs>
              <w:tab w:val="right" w:leader="dot" w:pos="9350"/>
            </w:tabs>
            <w:rPr>
              <w:rFonts w:cs="Arial"/>
              <w:noProof/>
            </w:rPr>
          </w:pPr>
          <w:hyperlink w:anchor="_Toc213980507" w:history="1">
            <w:r w:rsidR="00D860FD" w:rsidRPr="00D860FD">
              <w:rPr>
                <w:rStyle w:val="Hyperlink"/>
                <w:rFonts w:cs="Arial"/>
                <w:noProof/>
              </w:rPr>
              <w:t>d. Linking SOP Adjustments to OLI and Cultural Analysis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_Toc213980507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19</w:t>
            </w:r>
            <w:r w:rsidR="00D860FD" w:rsidRPr="00D860FD">
              <w:rPr>
                <w:rFonts w:cs="Arial"/>
                <w:noProof/>
                <w:webHidden/>
              </w:rPr>
              <w:fldChar w:fldCharType="end"/>
            </w:r>
          </w:hyperlink>
        </w:p>
        <w:p w14:paraId="1E7D09C5" w14:textId="203723B7" w:rsidR="00D860FD" w:rsidRPr="00D860FD" w:rsidRDefault="00080FC7">
          <w:pPr>
            <w:pStyle w:val="TOC2"/>
            <w:tabs>
              <w:tab w:val="right" w:leader="dot" w:pos="9350"/>
            </w:tabs>
            <w:rPr>
              <w:rFonts w:cs="Arial"/>
              <w:noProof/>
            </w:rPr>
          </w:pPr>
          <w:hyperlink w:anchor="_Toc213980508" w:history="1">
            <w:r w:rsidR="00D860FD" w:rsidRPr="00D860FD">
              <w:rPr>
                <w:rStyle w:val="Hyperlink"/>
                <w:rFonts w:cs="Arial"/>
                <w:noProof/>
              </w:rPr>
              <w:t>e. Strategic and Long-Term Benefits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_Toc213980508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19</w:t>
            </w:r>
            <w:r w:rsidR="00D860FD" w:rsidRPr="00D860FD">
              <w:rPr>
                <w:rFonts w:cs="Arial"/>
                <w:noProof/>
                <w:webHidden/>
              </w:rPr>
              <w:fldChar w:fldCharType="end"/>
            </w:r>
          </w:hyperlink>
        </w:p>
        <w:p w14:paraId="3DEC8E74" w14:textId="6ABFEA5D" w:rsidR="00D860FD" w:rsidRPr="00D860FD" w:rsidRDefault="00080FC7">
          <w:pPr>
            <w:pStyle w:val="TOC1"/>
            <w:tabs>
              <w:tab w:val="right" w:leader="dot" w:pos="9350"/>
            </w:tabs>
            <w:rPr>
              <w:rFonts w:cs="Arial"/>
              <w:noProof/>
            </w:rPr>
          </w:pPr>
          <w:hyperlink w:anchor="_Toc213980509" w:history="1">
            <w:r w:rsidR="00D860FD" w:rsidRPr="00D860FD">
              <w:rPr>
                <w:rStyle w:val="Hyperlink"/>
                <w:rFonts w:eastAsia="Times New Roman" w:cs="Arial"/>
                <w:noProof/>
                <w:lang w:val="en-US"/>
              </w:rPr>
              <w:t>Conclusion</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_Toc213980509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21</w:t>
            </w:r>
            <w:r w:rsidR="00D860FD" w:rsidRPr="00D860FD">
              <w:rPr>
                <w:rFonts w:cs="Arial"/>
                <w:noProof/>
                <w:webHidden/>
              </w:rPr>
              <w:fldChar w:fldCharType="end"/>
            </w:r>
          </w:hyperlink>
        </w:p>
        <w:p w14:paraId="3721C159" w14:textId="1F70B838" w:rsidR="00D860FD" w:rsidRPr="00D860FD" w:rsidRDefault="00080FC7">
          <w:pPr>
            <w:pStyle w:val="TOC1"/>
            <w:tabs>
              <w:tab w:val="right" w:leader="dot" w:pos="9350"/>
            </w:tabs>
            <w:rPr>
              <w:rFonts w:cs="Arial"/>
              <w:noProof/>
            </w:rPr>
          </w:pPr>
          <w:hyperlink w:anchor="_Toc213980510" w:history="1">
            <w:r w:rsidR="00D860FD" w:rsidRPr="00D860FD">
              <w:rPr>
                <w:rStyle w:val="Hyperlink"/>
                <w:rFonts w:eastAsia="Times New Roman" w:cs="Arial"/>
                <w:noProof/>
                <w:lang w:val="en-US"/>
              </w:rPr>
              <w:t>References</w:t>
            </w:r>
            <w:r w:rsidR="00D860FD" w:rsidRPr="00D860FD">
              <w:rPr>
                <w:rFonts w:cs="Arial"/>
                <w:noProof/>
                <w:webHidden/>
              </w:rPr>
              <w:tab/>
            </w:r>
            <w:r w:rsidR="00D860FD" w:rsidRPr="00D860FD">
              <w:rPr>
                <w:rFonts w:cs="Arial"/>
                <w:noProof/>
                <w:webHidden/>
              </w:rPr>
              <w:fldChar w:fldCharType="begin"/>
            </w:r>
            <w:r w:rsidR="00D860FD" w:rsidRPr="00D860FD">
              <w:rPr>
                <w:rFonts w:cs="Arial"/>
                <w:noProof/>
                <w:webHidden/>
              </w:rPr>
              <w:instrText xml:space="preserve"> PAGEREF _Toc213980510 \h </w:instrText>
            </w:r>
            <w:r w:rsidR="00D860FD" w:rsidRPr="00D860FD">
              <w:rPr>
                <w:rFonts w:cs="Arial"/>
                <w:noProof/>
                <w:webHidden/>
              </w:rPr>
            </w:r>
            <w:r w:rsidR="00D860FD" w:rsidRPr="00D860FD">
              <w:rPr>
                <w:rFonts w:cs="Arial"/>
                <w:noProof/>
                <w:webHidden/>
              </w:rPr>
              <w:fldChar w:fldCharType="separate"/>
            </w:r>
            <w:r w:rsidR="00D860FD" w:rsidRPr="00D860FD">
              <w:rPr>
                <w:rFonts w:cs="Arial"/>
                <w:noProof/>
                <w:webHidden/>
              </w:rPr>
              <w:t>22</w:t>
            </w:r>
            <w:r w:rsidR="00D860FD" w:rsidRPr="00D860FD">
              <w:rPr>
                <w:rFonts w:cs="Arial"/>
                <w:noProof/>
                <w:webHidden/>
              </w:rPr>
              <w:fldChar w:fldCharType="end"/>
            </w:r>
          </w:hyperlink>
        </w:p>
        <w:p w14:paraId="63A147E9" w14:textId="42580EFD" w:rsidR="00D860FD" w:rsidRPr="00D860FD" w:rsidRDefault="00D860FD">
          <w:pPr>
            <w:rPr>
              <w:rFonts w:cs="Arial"/>
            </w:rPr>
          </w:pPr>
          <w:r w:rsidRPr="00D860FD">
            <w:rPr>
              <w:rFonts w:cs="Arial"/>
              <w:b/>
              <w:bCs/>
              <w:noProof/>
            </w:rPr>
            <w:fldChar w:fldCharType="end"/>
          </w:r>
        </w:p>
      </w:sdtContent>
    </w:sdt>
    <w:p w14:paraId="40535AB0" w14:textId="77777777" w:rsidR="00520BA5" w:rsidRDefault="00520BA5" w:rsidP="00520BA5">
      <w:pPr>
        <w:rPr>
          <w:rFonts w:cs="Arial"/>
          <w:szCs w:val="24"/>
        </w:rPr>
        <w:sectPr w:rsidR="00520BA5">
          <w:headerReference w:type="default" r:id="rId10"/>
          <w:footerReference w:type="default" r:id="rId11"/>
          <w:pgSz w:w="12240" w:h="15840"/>
          <w:pgMar w:top="1440" w:right="1440" w:bottom="1440" w:left="1440" w:header="720" w:footer="720" w:gutter="0"/>
          <w:cols w:space="720"/>
          <w:docGrid w:linePitch="360"/>
        </w:sectPr>
      </w:pPr>
    </w:p>
    <w:p w14:paraId="590E8756" w14:textId="77777777" w:rsidR="00D6655E" w:rsidRPr="008C6CA6" w:rsidRDefault="00D6655E" w:rsidP="00C50FDB">
      <w:pPr>
        <w:pStyle w:val="Title"/>
        <w:rPr>
          <w:rFonts w:eastAsia="Times New Roman"/>
          <w:sz w:val="32"/>
          <w:lang w:val="en-US"/>
        </w:rPr>
      </w:pPr>
      <w:r w:rsidRPr="008C6CA6">
        <w:rPr>
          <w:rFonts w:eastAsia="Times New Roman"/>
          <w:sz w:val="32"/>
          <w:lang w:val="en-US"/>
        </w:rPr>
        <w:lastRenderedPageBreak/>
        <w:t>International Business Consultancy Report</w:t>
      </w:r>
    </w:p>
    <w:p w14:paraId="27D7B948" w14:textId="186915ED" w:rsidR="00D6655E" w:rsidRPr="008C6CA6" w:rsidRDefault="00D6655E" w:rsidP="00C50FDB">
      <w:pPr>
        <w:pStyle w:val="Title"/>
        <w:rPr>
          <w:rFonts w:eastAsia="Times New Roman"/>
          <w:sz w:val="32"/>
          <w:lang w:val="en-US"/>
        </w:rPr>
      </w:pPr>
      <w:r w:rsidRPr="008C6CA6">
        <w:rPr>
          <w:rFonts w:eastAsia="Times New Roman"/>
          <w:sz w:val="32"/>
          <w:lang w:val="en-US"/>
        </w:rPr>
        <w:t>Vodafone Group plc and its International Operations in India</w:t>
      </w:r>
    </w:p>
    <w:p w14:paraId="19EBC238" w14:textId="0B1D6F1C" w:rsidR="00D6655E" w:rsidRPr="00D6655E" w:rsidRDefault="00D6655E" w:rsidP="00C50FDB">
      <w:pPr>
        <w:pStyle w:val="Heading1"/>
        <w:rPr>
          <w:rFonts w:eastAsia="Times New Roman"/>
          <w:lang w:val="en-US"/>
        </w:rPr>
      </w:pPr>
      <w:bookmarkStart w:id="0" w:name="_Toc213980485"/>
      <w:r w:rsidRPr="00D6655E">
        <w:rPr>
          <w:rFonts w:eastAsia="Times New Roman"/>
          <w:lang w:val="en-US"/>
        </w:rPr>
        <w:t>1.Introduction</w:t>
      </w:r>
      <w:bookmarkEnd w:id="0"/>
      <w:r w:rsidRPr="00D6655E">
        <w:rPr>
          <w:rFonts w:eastAsia="Times New Roman"/>
          <w:lang w:val="en-US"/>
        </w:rPr>
        <w:t xml:space="preserve"> </w:t>
      </w:r>
    </w:p>
    <w:p w14:paraId="0486A7A1" w14:textId="069B553F" w:rsidR="00D6655E" w:rsidRPr="00D6655E" w:rsidRDefault="0086716E" w:rsidP="00C50FDB">
      <w:pPr>
        <w:spacing w:line="360" w:lineRule="auto"/>
        <w:rPr>
          <w:szCs w:val="24"/>
          <w:lang w:val="en-US"/>
        </w:rPr>
      </w:pPr>
      <w:r w:rsidRPr="0086716E">
        <w:rPr>
          <w:szCs w:val="24"/>
          <w:lang w:val="en-US"/>
        </w:rPr>
        <w:t>This report presents an in-depth consultancy analysis of Vodafone Group plc which is one of the global top UK-based multinational telecommunications corporations, in particular, the company's operations in an emerging economy of India. The analysis examines the global business strategy implemented by Vodafone in the context of international business theories and business models. The report opens with the analysis of advantages and challenges faced in the course of its international businesses, with special focus on the value chain, mode of entry and strategic advantage of Vodafone. Subsequently, this establishes the role of OLI (Ownership, Location and Internalisation) framework in the entry of Vodafone in Indian market. The discussion further examines the cultural differences between the United Kingdom and India that influence the strategy and the operational success of Vodafone. Finally, the report comes up with three major recommendations on adjustments to be made to its Standard Operating Procedure (SOP) in order to reinforce the performance and sustainability of Vodafone in the Indian competitive telecommunications sector.</w:t>
      </w:r>
    </w:p>
    <w:p w14:paraId="0FDEC193" w14:textId="10220B49" w:rsidR="00C04D37" w:rsidRPr="006F55B2" w:rsidRDefault="00C04D37" w:rsidP="00C50FDB">
      <w:pPr>
        <w:pStyle w:val="Heading1"/>
        <w:rPr>
          <w:rFonts w:eastAsia="Times New Roman"/>
        </w:rPr>
      </w:pPr>
      <w:bookmarkStart w:id="1" w:name="_Toc213980486"/>
      <w:r w:rsidRPr="006F55B2">
        <w:rPr>
          <w:rFonts w:eastAsia="Times New Roman"/>
        </w:rPr>
        <w:t>2. Benefits and Challenges of International Operations</w:t>
      </w:r>
      <w:bookmarkEnd w:id="1"/>
      <w:r w:rsidRPr="006F55B2">
        <w:rPr>
          <w:rFonts w:eastAsia="Times New Roman"/>
        </w:rPr>
        <w:t xml:space="preserve"> </w:t>
      </w:r>
    </w:p>
    <w:p w14:paraId="6FB4E3DD" w14:textId="11E84548" w:rsidR="00C04D37" w:rsidRPr="00926214" w:rsidRDefault="00C04D37" w:rsidP="00C50FDB">
      <w:pPr>
        <w:pStyle w:val="Heading2"/>
      </w:pPr>
      <w:bookmarkStart w:id="2" w:name="_Toc213980487"/>
      <w:r w:rsidRPr="00926214">
        <w:t xml:space="preserve">a. Why Vodafone Group </w:t>
      </w:r>
      <w:r w:rsidR="00926214" w:rsidRPr="00926214">
        <w:t>Plc</w:t>
      </w:r>
      <w:r w:rsidRPr="00926214">
        <w:t xml:space="preserve"> Qualifies as an MNC/TNC</w:t>
      </w:r>
      <w:bookmarkEnd w:id="2"/>
    </w:p>
    <w:p w14:paraId="7F15FF3D" w14:textId="77777777" w:rsidR="002946B0" w:rsidRPr="002946B0" w:rsidRDefault="002946B0" w:rsidP="00C50FDB">
      <w:pPr>
        <w:spacing w:line="360" w:lineRule="auto"/>
        <w:rPr>
          <w:szCs w:val="24"/>
        </w:rPr>
      </w:pPr>
      <w:r w:rsidRPr="002946B0">
        <w:rPr>
          <w:szCs w:val="24"/>
        </w:rPr>
        <w:t>Vodafone Group plc, based in Newbury, Berkshire, United Kingdom One of the most globally integrated telecommunications corporations. It is both Multinational Corporation (MNC) and Transnational Corporation (TNC) due to the reason of its wide presence of more than 150 countries in the Europe, Africa, Middle East and Asia Pacific region. As of 2024, Vodafone has owned and operated networks in 21 countries with over 300 million customers and around 96,000 employees working across the globe (Vodafone Annual Report, 2024) and partner networks in over 50 other countries.</w:t>
      </w:r>
    </w:p>
    <w:p w14:paraId="1B87835D" w14:textId="33CBFB7F" w:rsidR="00C04D37" w:rsidRPr="006F55B2" w:rsidRDefault="002946B0" w:rsidP="00C50FDB">
      <w:pPr>
        <w:spacing w:line="360" w:lineRule="auto"/>
        <w:rPr>
          <w:szCs w:val="24"/>
        </w:rPr>
      </w:pPr>
      <w:r w:rsidRPr="002946B0">
        <w:rPr>
          <w:szCs w:val="24"/>
        </w:rPr>
        <w:lastRenderedPageBreak/>
        <w:t>The transnational nature of the company is demonstrated by its decentralised organisational structure with subsidiaries and joint ventures, among others, in India, Germany, South Africa and Egypt having a high degree of operational autonomy in accordance with strategic objectives of the UK headquarters. This model is closely related to Trannexperiences model for Transnatural Strategy developed by Bartlett and Ghoshal (1989) that combines advantages of global efficiency with the need of local responsiveness and the knowledge transfer between subsidiaries. Vodafone's ability to organise a complex cross-border operations - ranging from technology innovation to marketing to finance - also seems to fit Dunning's (1988) conceptualisation of MNCs as entities that internalise ownership advantages across international markets.</w:t>
      </w:r>
    </w:p>
    <w:p w14:paraId="38C73D7C" w14:textId="77777777" w:rsidR="00C04D37" w:rsidRPr="006F55B2" w:rsidRDefault="00C04D37" w:rsidP="00C50FDB">
      <w:pPr>
        <w:pStyle w:val="Heading2"/>
      </w:pPr>
      <w:bookmarkStart w:id="3" w:name="_Toc213980488"/>
      <w:r w:rsidRPr="006F55B2">
        <w:t>b. Nature of Vodafone’s Global Operations and Value Chain</w:t>
      </w:r>
      <w:bookmarkEnd w:id="3"/>
    </w:p>
    <w:p w14:paraId="4E8E8873" w14:textId="543A074C" w:rsidR="00C04D37" w:rsidRPr="006F55B2" w:rsidRDefault="00257E7A" w:rsidP="00C50FDB">
      <w:pPr>
        <w:spacing w:line="360" w:lineRule="auto"/>
        <w:rPr>
          <w:szCs w:val="24"/>
        </w:rPr>
      </w:pPr>
      <w:r w:rsidRPr="00257E7A">
        <w:rPr>
          <w:szCs w:val="24"/>
        </w:rPr>
        <w:t xml:space="preserve">Vodafone's global value chain is designed to provide efficiency, innovation and customer satisfaction in a number of geographical regions. In contrast to traditional manufacturing MNCs, the "production" process of Vodafone is more service-based and is aimed to provide the </w:t>
      </w:r>
      <w:r w:rsidR="00CD4F4A" w:rsidRPr="00257E7A">
        <w:rPr>
          <w:szCs w:val="24"/>
        </w:rPr>
        <w:t>delivery</w:t>
      </w:r>
      <w:r w:rsidRPr="00257E7A">
        <w:rPr>
          <w:szCs w:val="24"/>
        </w:rPr>
        <w:t xml:space="preserve"> of digital connectivity, network infrastructural, customer experiences etc. Its value chain consists of Research and Development (R&amp;D), Sourcing &amp; Procurement, Network infrastructural &amp; Operation, Sales &amp; Marketing and Financials.</w:t>
      </w:r>
    </w:p>
    <w:tbl>
      <w:tblPr>
        <w:tblW w:w="1027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5"/>
        <w:gridCol w:w="4899"/>
        <w:gridCol w:w="3853"/>
      </w:tblGrid>
      <w:tr w:rsidR="00C04D37" w:rsidRPr="006F55B2" w14:paraId="024D5603" w14:textId="77777777" w:rsidTr="00257E7A">
        <w:trPr>
          <w:trHeight w:val="899"/>
          <w:tblHeader/>
          <w:tblCellSpacing w:w="15" w:type="dxa"/>
        </w:trPr>
        <w:tc>
          <w:tcPr>
            <w:tcW w:w="1480" w:type="dxa"/>
            <w:vAlign w:val="center"/>
            <w:hideMark/>
          </w:tcPr>
          <w:p w14:paraId="4D158BC7" w14:textId="77777777" w:rsidR="00C04D37" w:rsidRPr="00C50FDB" w:rsidRDefault="00C04D37" w:rsidP="00C50FDB">
            <w:pPr>
              <w:spacing w:line="360" w:lineRule="auto"/>
              <w:rPr>
                <w:b/>
                <w:bCs/>
                <w:szCs w:val="24"/>
              </w:rPr>
            </w:pPr>
            <w:r w:rsidRPr="00C50FDB">
              <w:rPr>
                <w:b/>
                <w:bCs/>
                <w:szCs w:val="24"/>
              </w:rPr>
              <w:t>Value Chain Component</w:t>
            </w:r>
          </w:p>
        </w:tc>
        <w:tc>
          <w:tcPr>
            <w:tcW w:w="4869" w:type="dxa"/>
            <w:vAlign w:val="center"/>
            <w:hideMark/>
          </w:tcPr>
          <w:p w14:paraId="4EA02FA1" w14:textId="77777777" w:rsidR="00C04D37" w:rsidRPr="00C50FDB" w:rsidRDefault="00C04D37" w:rsidP="00C50FDB">
            <w:pPr>
              <w:spacing w:line="360" w:lineRule="auto"/>
              <w:rPr>
                <w:b/>
                <w:bCs/>
                <w:szCs w:val="24"/>
              </w:rPr>
            </w:pPr>
            <w:r w:rsidRPr="00C50FDB">
              <w:rPr>
                <w:b/>
                <w:bCs/>
                <w:szCs w:val="24"/>
              </w:rPr>
              <w:t>Global Operation Focus</w:t>
            </w:r>
          </w:p>
        </w:tc>
        <w:tc>
          <w:tcPr>
            <w:tcW w:w="0" w:type="auto"/>
            <w:vAlign w:val="center"/>
            <w:hideMark/>
          </w:tcPr>
          <w:p w14:paraId="72500143" w14:textId="77777777" w:rsidR="00C04D37" w:rsidRPr="00C50FDB" w:rsidRDefault="00C04D37" w:rsidP="00C50FDB">
            <w:pPr>
              <w:spacing w:line="360" w:lineRule="auto"/>
              <w:rPr>
                <w:b/>
                <w:bCs/>
                <w:szCs w:val="24"/>
              </w:rPr>
            </w:pPr>
            <w:r w:rsidRPr="00C50FDB">
              <w:rPr>
                <w:b/>
                <w:bCs/>
                <w:szCs w:val="24"/>
              </w:rPr>
              <w:t>Example</w:t>
            </w:r>
          </w:p>
        </w:tc>
      </w:tr>
      <w:tr w:rsidR="00C04D37" w:rsidRPr="006F55B2" w14:paraId="5CCB9047" w14:textId="77777777" w:rsidTr="00257E7A">
        <w:trPr>
          <w:trHeight w:val="1246"/>
          <w:tblCellSpacing w:w="15" w:type="dxa"/>
        </w:trPr>
        <w:tc>
          <w:tcPr>
            <w:tcW w:w="1480" w:type="dxa"/>
            <w:vAlign w:val="center"/>
            <w:hideMark/>
          </w:tcPr>
          <w:p w14:paraId="6BE96F81" w14:textId="77777777" w:rsidR="00C04D37" w:rsidRPr="006F55B2" w:rsidRDefault="00C04D37" w:rsidP="00C50FDB">
            <w:pPr>
              <w:spacing w:line="360" w:lineRule="auto"/>
              <w:rPr>
                <w:szCs w:val="24"/>
              </w:rPr>
            </w:pPr>
            <w:r w:rsidRPr="006F55B2">
              <w:rPr>
                <w:szCs w:val="24"/>
              </w:rPr>
              <w:t>Research &amp; Development (R&amp;D)</w:t>
            </w:r>
          </w:p>
        </w:tc>
        <w:tc>
          <w:tcPr>
            <w:tcW w:w="4869" w:type="dxa"/>
            <w:vAlign w:val="center"/>
            <w:hideMark/>
          </w:tcPr>
          <w:p w14:paraId="75678D77" w14:textId="77777777" w:rsidR="00C04D37" w:rsidRPr="006F55B2" w:rsidRDefault="00C04D37" w:rsidP="00C50FDB">
            <w:pPr>
              <w:spacing w:line="360" w:lineRule="auto"/>
              <w:rPr>
                <w:szCs w:val="24"/>
              </w:rPr>
            </w:pPr>
            <w:r w:rsidRPr="006F55B2">
              <w:rPr>
                <w:szCs w:val="24"/>
              </w:rPr>
              <w:t>Centralised in the UK and Germany, with innovation hubs in India and Spain</w:t>
            </w:r>
          </w:p>
        </w:tc>
        <w:tc>
          <w:tcPr>
            <w:tcW w:w="0" w:type="auto"/>
            <w:vAlign w:val="center"/>
            <w:hideMark/>
          </w:tcPr>
          <w:p w14:paraId="20AB0AD7" w14:textId="77777777" w:rsidR="00C04D37" w:rsidRPr="006F55B2" w:rsidRDefault="00C04D37" w:rsidP="00C50FDB">
            <w:pPr>
              <w:spacing w:line="360" w:lineRule="auto"/>
              <w:rPr>
                <w:szCs w:val="24"/>
              </w:rPr>
            </w:pPr>
            <w:r w:rsidRPr="006F55B2">
              <w:rPr>
                <w:szCs w:val="24"/>
              </w:rPr>
              <w:t>5G deployment, AI-driven network optimisation, Internet of Things (IoT) applications</w:t>
            </w:r>
          </w:p>
        </w:tc>
      </w:tr>
      <w:tr w:rsidR="00C04D37" w:rsidRPr="006F55B2" w14:paraId="2C3821A1" w14:textId="77777777" w:rsidTr="00257E7A">
        <w:trPr>
          <w:trHeight w:val="1246"/>
          <w:tblCellSpacing w:w="15" w:type="dxa"/>
        </w:trPr>
        <w:tc>
          <w:tcPr>
            <w:tcW w:w="1480" w:type="dxa"/>
            <w:vAlign w:val="center"/>
            <w:hideMark/>
          </w:tcPr>
          <w:p w14:paraId="086ADA26" w14:textId="77777777" w:rsidR="00C04D37" w:rsidRPr="006F55B2" w:rsidRDefault="00C04D37" w:rsidP="00C50FDB">
            <w:pPr>
              <w:spacing w:line="360" w:lineRule="auto"/>
              <w:rPr>
                <w:szCs w:val="24"/>
              </w:rPr>
            </w:pPr>
            <w:r w:rsidRPr="006F55B2">
              <w:rPr>
                <w:szCs w:val="24"/>
              </w:rPr>
              <w:t>Sourcing &amp; Procurement</w:t>
            </w:r>
          </w:p>
        </w:tc>
        <w:tc>
          <w:tcPr>
            <w:tcW w:w="4869" w:type="dxa"/>
            <w:vAlign w:val="center"/>
            <w:hideMark/>
          </w:tcPr>
          <w:p w14:paraId="063F9BEE" w14:textId="77777777" w:rsidR="00C04D37" w:rsidRPr="006F55B2" w:rsidRDefault="00C04D37" w:rsidP="00C50FDB">
            <w:pPr>
              <w:spacing w:line="360" w:lineRule="auto"/>
              <w:rPr>
                <w:szCs w:val="24"/>
              </w:rPr>
            </w:pPr>
            <w:r w:rsidRPr="006F55B2">
              <w:rPr>
                <w:szCs w:val="24"/>
              </w:rPr>
              <w:t>Strategic partnerships with major telecom vendors such as Ericsson, Nokia, and Dell</w:t>
            </w:r>
          </w:p>
        </w:tc>
        <w:tc>
          <w:tcPr>
            <w:tcW w:w="0" w:type="auto"/>
            <w:vAlign w:val="center"/>
            <w:hideMark/>
          </w:tcPr>
          <w:p w14:paraId="514DAECF" w14:textId="77777777" w:rsidR="00C04D37" w:rsidRPr="006F55B2" w:rsidRDefault="00C04D37" w:rsidP="00C50FDB">
            <w:pPr>
              <w:spacing w:line="360" w:lineRule="auto"/>
              <w:rPr>
                <w:szCs w:val="24"/>
              </w:rPr>
            </w:pPr>
            <w:r w:rsidRPr="006F55B2">
              <w:rPr>
                <w:szCs w:val="24"/>
              </w:rPr>
              <w:t>Global hardware sourcing and network equipment procurement</w:t>
            </w:r>
          </w:p>
        </w:tc>
      </w:tr>
      <w:tr w:rsidR="00C04D37" w:rsidRPr="006F55B2" w14:paraId="3A61E351" w14:textId="77777777" w:rsidTr="00257E7A">
        <w:trPr>
          <w:trHeight w:val="1257"/>
          <w:tblCellSpacing w:w="15" w:type="dxa"/>
        </w:trPr>
        <w:tc>
          <w:tcPr>
            <w:tcW w:w="1480" w:type="dxa"/>
            <w:vAlign w:val="center"/>
            <w:hideMark/>
          </w:tcPr>
          <w:p w14:paraId="006EDC95" w14:textId="77777777" w:rsidR="00C04D37" w:rsidRPr="006F55B2" w:rsidRDefault="00C04D37" w:rsidP="00C50FDB">
            <w:pPr>
              <w:spacing w:line="360" w:lineRule="auto"/>
              <w:rPr>
                <w:szCs w:val="24"/>
              </w:rPr>
            </w:pPr>
            <w:r w:rsidRPr="006F55B2">
              <w:rPr>
                <w:szCs w:val="24"/>
              </w:rPr>
              <w:lastRenderedPageBreak/>
              <w:t>Network Infrastructure &amp; Production</w:t>
            </w:r>
          </w:p>
        </w:tc>
        <w:tc>
          <w:tcPr>
            <w:tcW w:w="4869" w:type="dxa"/>
            <w:vAlign w:val="center"/>
            <w:hideMark/>
          </w:tcPr>
          <w:p w14:paraId="3810F15C" w14:textId="77777777" w:rsidR="00C04D37" w:rsidRPr="006F55B2" w:rsidRDefault="00C04D37" w:rsidP="00C50FDB">
            <w:pPr>
              <w:spacing w:line="360" w:lineRule="auto"/>
              <w:rPr>
                <w:szCs w:val="24"/>
              </w:rPr>
            </w:pPr>
            <w:r w:rsidRPr="006F55B2">
              <w:rPr>
                <w:szCs w:val="24"/>
              </w:rPr>
              <w:t>Managed across Europe, Africa, and Asia through technology sharing and local adaptation</w:t>
            </w:r>
          </w:p>
        </w:tc>
        <w:tc>
          <w:tcPr>
            <w:tcW w:w="0" w:type="auto"/>
            <w:vAlign w:val="center"/>
            <w:hideMark/>
          </w:tcPr>
          <w:p w14:paraId="7D0816DC" w14:textId="77777777" w:rsidR="00C04D37" w:rsidRPr="006F55B2" w:rsidRDefault="00C04D37" w:rsidP="00C50FDB">
            <w:pPr>
              <w:spacing w:line="360" w:lineRule="auto"/>
              <w:rPr>
                <w:szCs w:val="24"/>
              </w:rPr>
            </w:pPr>
            <w:r w:rsidRPr="006F55B2">
              <w:rPr>
                <w:szCs w:val="24"/>
              </w:rPr>
              <w:t>Large-scale 5G rollout in the UK, Germany, Italy, and India</w:t>
            </w:r>
          </w:p>
        </w:tc>
      </w:tr>
      <w:tr w:rsidR="00C04D37" w:rsidRPr="006F55B2" w14:paraId="08A1F535" w14:textId="77777777" w:rsidTr="00257E7A">
        <w:trPr>
          <w:trHeight w:val="1246"/>
          <w:tblCellSpacing w:w="15" w:type="dxa"/>
        </w:trPr>
        <w:tc>
          <w:tcPr>
            <w:tcW w:w="1480" w:type="dxa"/>
            <w:vAlign w:val="center"/>
            <w:hideMark/>
          </w:tcPr>
          <w:p w14:paraId="585A7BC2" w14:textId="77777777" w:rsidR="00C04D37" w:rsidRPr="006F55B2" w:rsidRDefault="00C04D37" w:rsidP="00C50FDB">
            <w:pPr>
              <w:spacing w:line="360" w:lineRule="auto"/>
              <w:rPr>
                <w:szCs w:val="24"/>
              </w:rPr>
            </w:pPr>
            <w:r w:rsidRPr="006F55B2">
              <w:rPr>
                <w:szCs w:val="24"/>
              </w:rPr>
              <w:t>Sales &amp; Marketing</w:t>
            </w:r>
          </w:p>
        </w:tc>
        <w:tc>
          <w:tcPr>
            <w:tcW w:w="4869" w:type="dxa"/>
            <w:vAlign w:val="center"/>
            <w:hideMark/>
          </w:tcPr>
          <w:p w14:paraId="224A9972" w14:textId="77777777" w:rsidR="00C04D37" w:rsidRPr="006F55B2" w:rsidRDefault="00C04D37" w:rsidP="00C50FDB">
            <w:pPr>
              <w:spacing w:line="360" w:lineRule="auto"/>
              <w:rPr>
                <w:szCs w:val="24"/>
              </w:rPr>
            </w:pPr>
            <w:r w:rsidRPr="006F55B2">
              <w:rPr>
                <w:szCs w:val="24"/>
              </w:rPr>
              <w:t>Global brand campaigns with local cultural customisation</w:t>
            </w:r>
          </w:p>
        </w:tc>
        <w:tc>
          <w:tcPr>
            <w:tcW w:w="0" w:type="auto"/>
            <w:vAlign w:val="center"/>
            <w:hideMark/>
          </w:tcPr>
          <w:p w14:paraId="22ED6755" w14:textId="77777777" w:rsidR="00C04D37" w:rsidRPr="006F55B2" w:rsidRDefault="00C04D37" w:rsidP="00C50FDB">
            <w:pPr>
              <w:spacing w:line="360" w:lineRule="auto"/>
              <w:rPr>
                <w:szCs w:val="24"/>
              </w:rPr>
            </w:pPr>
            <w:r w:rsidRPr="006F55B2">
              <w:rPr>
                <w:szCs w:val="24"/>
              </w:rPr>
              <w:t>“Together We Can” and “ZooZoo” campaigns tailored to specific markets</w:t>
            </w:r>
          </w:p>
        </w:tc>
      </w:tr>
      <w:tr w:rsidR="00C04D37" w:rsidRPr="006F55B2" w14:paraId="5B5C3F4B" w14:textId="77777777" w:rsidTr="00257E7A">
        <w:trPr>
          <w:trHeight w:val="1246"/>
          <w:tblCellSpacing w:w="15" w:type="dxa"/>
        </w:trPr>
        <w:tc>
          <w:tcPr>
            <w:tcW w:w="1480" w:type="dxa"/>
            <w:vAlign w:val="center"/>
            <w:hideMark/>
          </w:tcPr>
          <w:p w14:paraId="4848B71D" w14:textId="77777777" w:rsidR="00C04D37" w:rsidRPr="006F55B2" w:rsidRDefault="00C04D37" w:rsidP="00C50FDB">
            <w:pPr>
              <w:spacing w:line="360" w:lineRule="auto"/>
              <w:rPr>
                <w:szCs w:val="24"/>
              </w:rPr>
            </w:pPr>
            <w:r w:rsidRPr="006F55B2">
              <w:rPr>
                <w:szCs w:val="24"/>
              </w:rPr>
              <w:t>Financing &amp; Capital Structure</w:t>
            </w:r>
          </w:p>
        </w:tc>
        <w:tc>
          <w:tcPr>
            <w:tcW w:w="4869" w:type="dxa"/>
            <w:vAlign w:val="center"/>
            <w:hideMark/>
          </w:tcPr>
          <w:p w14:paraId="28A5AA9B" w14:textId="77777777" w:rsidR="00C04D37" w:rsidRPr="006F55B2" w:rsidRDefault="00C04D37" w:rsidP="00C50FDB">
            <w:pPr>
              <w:spacing w:line="360" w:lineRule="auto"/>
              <w:rPr>
                <w:szCs w:val="24"/>
              </w:rPr>
            </w:pPr>
            <w:r w:rsidRPr="006F55B2">
              <w:rPr>
                <w:szCs w:val="24"/>
              </w:rPr>
              <w:t>Centralised capital management via London Stock Exchange and NASDAQ listings</w:t>
            </w:r>
          </w:p>
        </w:tc>
        <w:tc>
          <w:tcPr>
            <w:tcW w:w="0" w:type="auto"/>
            <w:vAlign w:val="center"/>
            <w:hideMark/>
          </w:tcPr>
          <w:p w14:paraId="768EB254" w14:textId="77777777" w:rsidR="00C04D37" w:rsidRPr="006F55B2" w:rsidRDefault="00C04D37" w:rsidP="00C50FDB">
            <w:pPr>
              <w:spacing w:line="360" w:lineRule="auto"/>
              <w:rPr>
                <w:szCs w:val="24"/>
              </w:rPr>
            </w:pPr>
            <w:r w:rsidRPr="006F55B2">
              <w:rPr>
                <w:szCs w:val="24"/>
              </w:rPr>
              <w:t>Cross-border financing, mergers, and acquisitions</w:t>
            </w:r>
          </w:p>
        </w:tc>
      </w:tr>
    </w:tbl>
    <w:p w14:paraId="75A70039" w14:textId="77777777" w:rsidR="00257E7A" w:rsidRPr="00257E7A" w:rsidRDefault="00257E7A" w:rsidP="00C50FDB">
      <w:pPr>
        <w:spacing w:line="360" w:lineRule="auto"/>
        <w:rPr>
          <w:szCs w:val="24"/>
        </w:rPr>
      </w:pPr>
      <w:r w:rsidRPr="00257E7A">
        <w:rPr>
          <w:szCs w:val="24"/>
        </w:rPr>
        <w:t>Vodafone's research and development operations is based on network innovation, 5G technological, integration of artificial intelligence and IoT solutions. Its innovation centres in Newbury, Düsseldorf and Pune work with one another to develop the scalable technologies that can operate over the developed or developing market. For example, Vodafone's IoT platform, which was developed first in Europe, has been successfully used in India in smart city and logistics (Vodafone Idea, 2023).</w:t>
      </w:r>
    </w:p>
    <w:p w14:paraId="22C06EAA" w14:textId="631E1D78" w:rsidR="00257E7A" w:rsidRPr="00257E7A" w:rsidRDefault="00257E7A" w:rsidP="00C50FDB">
      <w:pPr>
        <w:spacing w:line="360" w:lineRule="auto"/>
        <w:rPr>
          <w:szCs w:val="24"/>
        </w:rPr>
      </w:pPr>
      <w:r w:rsidRPr="00257E7A">
        <w:rPr>
          <w:szCs w:val="24"/>
        </w:rPr>
        <w:t xml:space="preserve">In sourcing, Vodafone has this size across the world with which it negotiates competitive contracts with network suppliers. This makes possible cost efficiencies by taking advantage of bulk procurement and also assuring a uniformity to the quality of service. </w:t>
      </w:r>
      <w:r w:rsidR="000C7782" w:rsidRPr="000C7782">
        <w:rPr>
          <w:szCs w:val="24"/>
        </w:rPr>
        <w:t>The ethical side of the company's procurement strategy is also in line with its commitments to sustainability and ethical sourcing, with its ESG report for 2024 providing details of the supplier audits in order to ensure that they comply with environmental and labour standards</w:t>
      </w:r>
      <w:r w:rsidRPr="00257E7A">
        <w:rPr>
          <w:szCs w:val="24"/>
        </w:rPr>
        <w:t>.</w:t>
      </w:r>
    </w:p>
    <w:p w14:paraId="4B622F39" w14:textId="77777777" w:rsidR="00257E7A" w:rsidRPr="00257E7A" w:rsidRDefault="00257E7A" w:rsidP="00C50FDB">
      <w:pPr>
        <w:spacing w:line="360" w:lineRule="auto"/>
        <w:rPr>
          <w:szCs w:val="24"/>
        </w:rPr>
      </w:pPr>
      <w:r w:rsidRPr="00257E7A">
        <w:rPr>
          <w:szCs w:val="24"/>
        </w:rPr>
        <w:t xml:space="preserve">In the infrastructure of network sector, investments of Vodafone are in the field of Fibre optics in Europe and mobile towers in India and Africa. Its joint venture with Indus Towers Limited in India is one of the largest joint venture for telecom infrastructure in Asia. </w:t>
      </w:r>
      <w:r w:rsidRPr="00257E7A">
        <w:rPr>
          <w:szCs w:val="24"/>
        </w:rPr>
        <w:lastRenderedPageBreak/>
        <w:t>Through this, Vodafone saves the cost of infrastructure and achieves the connectivity to the rural areas.</w:t>
      </w:r>
    </w:p>
    <w:p w14:paraId="10BA71C8" w14:textId="77777777" w:rsidR="00257E7A" w:rsidRPr="00257E7A" w:rsidRDefault="00257E7A" w:rsidP="00C50FDB">
      <w:pPr>
        <w:spacing w:line="360" w:lineRule="auto"/>
        <w:rPr>
          <w:szCs w:val="24"/>
        </w:rPr>
      </w:pPr>
      <w:r w:rsidRPr="00257E7A">
        <w:rPr>
          <w:szCs w:val="24"/>
        </w:rPr>
        <w:t>Sales and marketing-This is another important part of the value chain. Vodafone applies global branding strategy and local adaptation which is consistent with Levitt's (1983) theory of 'globalisation with local customisation.' The "ZooZoo" campaign in India and "Red" branding in Europe, are both reflecting major brand values of the brands connecting, empowering and innovation and are keeping in mind the cultural preferences while we talk about messaging and aesthetics.</w:t>
      </w:r>
    </w:p>
    <w:p w14:paraId="301137B0" w14:textId="3DA2CFF7" w:rsidR="00C04D37" w:rsidRPr="006F55B2" w:rsidRDefault="00257E7A" w:rsidP="00C50FDB">
      <w:pPr>
        <w:spacing w:line="360" w:lineRule="auto"/>
        <w:rPr>
          <w:szCs w:val="24"/>
        </w:rPr>
      </w:pPr>
      <w:r w:rsidRPr="00257E7A">
        <w:rPr>
          <w:szCs w:val="24"/>
        </w:rPr>
        <w:t>In terms of finance, Vodafone takes a centralised form for the treasury with the head offices in London that is responsible for the cross-border cash flows, hedging policies, international mergers and acquisitions funding systems. Major financial decisions like merger with the Idea Cellular in India in 2018 and the sale of its Verizon Wireless joint venture in 2014 earlier in its history is a showcase of Vodafone's ability to mobilise capital around the world for strategic restructuring and expansion</w:t>
      </w:r>
      <w:r w:rsidR="00C04D37" w:rsidRPr="006F55B2">
        <w:rPr>
          <w:szCs w:val="24"/>
        </w:rPr>
        <w:t>.</w:t>
      </w:r>
    </w:p>
    <w:p w14:paraId="1F921DB3" w14:textId="77777777" w:rsidR="00C04D37" w:rsidRPr="006F55B2" w:rsidRDefault="00C04D37" w:rsidP="00C50FDB">
      <w:pPr>
        <w:pStyle w:val="Heading2"/>
      </w:pPr>
      <w:bookmarkStart w:id="4" w:name="_Toc213980489"/>
      <w:r w:rsidRPr="006F55B2">
        <w:t>c. Entry Modes in International Markets</w:t>
      </w:r>
      <w:bookmarkEnd w:id="4"/>
    </w:p>
    <w:p w14:paraId="381553C9" w14:textId="77777777" w:rsidR="000C7782" w:rsidRPr="000C7782" w:rsidRDefault="000C7782" w:rsidP="00C50FDB">
      <w:pPr>
        <w:spacing w:line="360" w:lineRule="auto"/>
        <w:rPr>
          <w:szCs w:val="24"/>
        </w:rPr>
      </w:pPr>
      <w:r w:rsidRPr="000C7782">
        <w:rPr>
          <w:szCs w:val="24"/>
        </w:rPr>
        <w:t>Vodafone's international expansion has been characterised by a combination of entry mode adapted to the institutional, cultural and market conditions of each region. These range from wholly owned subsidiaries to joint ventures to strategic alliances to mergers and acquisitions (M&amp;A).</w:t>
      </w:r>
    </w:p>
    <w:p w14:paraId="253C112D" w14:textId="77777777" w:rsidR="000C7782" w:rsidRPr="000C7782" w:rsidRDefault="000C7782" w:rsidP="00C50FDB">
      <w:pPr>
        <w:spacing w:line="360" w:lineRule="auto"/>
        <w:rPr>
          <w:szCs w:val="24"/>
        </w:rPr>
      </w:pPr>
      <w:r w:rsidRPr="000C7782">
        <w:rPr>
          <w:szCs w:val="24"/>
        </w:rPr>
        <w:t>Greenfield Investments - Vodafone has been able to enter a number of smaller or emerging markets through greenfield investments. For instance, the introduction of Vodafone Ghana and Vodafone Qatar, Vodafone constructs operations from scratch, giving them full control over the introduction of technology, quality standards, and brand positioning.</w:t>
      </w:r>
    </w:p>
    <w:p w14:paraId="0C6BA5F2" w14:textId="77777777" w:rsidR="000C7782" w:rsidRPr="000C7782" w:rsidRDefault="000C7782" w:rsidP="00C50FDB">
      <w:pPr>
        <w:spacing w:line="360" w:lineRule="auto"/>
        <w:rPr>
          <w:szCs w:val="24"/>
        </w:rPr>
      </w:pPr>
      <w:r w:rsidRPr="000C7782">
        <w:rPr>
          <w:szCs w:val="24"/>
        </w:rPr>
        <w:t xml:space="preserve">Mergers and Acquisitions (M&amp;A) - The overwhelming strategy of Vodafone has been M&amp;A. Notable examples are the acquisition of Mannesmann AG (Germany) in 2000 at a price of GBP112 billion, one of the biggest corporate takeovers in history, and the acquisition of Hutchison Essar in India in 2007, allowing Vodafone implementing the </w:t>
      </w:r>
      <w:r w:rsidRPr="000C7782">
        <w:rPr>
          <w:szCs w:val="24"/>
        </w:rPr>
        <w:lastRenderedPageBreak/>
        <w:t>strategy, immediate access to one of the world's fastest growing telecom markets. Such acquisitions not only brought about instant infrastructure but also very well market knowledge and a customer base (Grant, 2021).</w:t>
      </w:r>
    </w:p>
    <w:p w14:paraId="18C9EA0A" w14:textId="77777777" w:rsidR="000C7782" w:rsidRPr="000C7782" w:rsidRDefault="000C7782" w:rsidP="00C50FDB">
      <w:pPr>
        <w:spacing w:line="360" w:lineRule="auto"/>
        <w:rPr>
          <w:szCs w:val="24"/>
        </w:rPr>
      </w:pPr>
      <w:r w:rsidRPr="000C7782">
        <w:rPr>
          <w:szCs w:val="24"/>
        </w:rPr>
        <w:t>Joint Ventures and Strategic Alliances - In India, the first entry of Vodafone was made through joint venture with Essar group in the form of Vodafone Essar Limited. This was a partnership that exploited Essar's local market knowledge and political connections that were essential to the India regulatory environment. Later, Vodafone joined forces with Idea Cellular in 2018, which formed Vodafone Idea Limited, which consolidated its room in the market against fierce domestic rivals Reliance Jio and Bharti Airtel.</w:t>
      </w:r>
    </w:p>
    <w:p w14:paraId="15245328" w14:textId="77777777" w:rsidR="000C7782" w:rsidRPr="000C7782" w:rsidRDefault="000C7782" w:rsidP="00C50FDB">
      <w:pPr>
        <w:spacing w:line="360" w:lineRule="auto"/>
        <w:rPr>
          <w:szCs w:val="24"/>
        </w:rPr>
      </w:pPr>
      <w:r w:rsidRPr="000C7782">
        <w:rPr>
          <w:szCs w:val="24"/>
        </w:rPr>
        <w:t>Franchising and Partner Markets - Vodafone's Partner Markets programme allows it to diversify its global brand footprint without being directly involved (through ownership). Partner operators in more than 50 countries including the Middle East and Africa, the Vodafone brand can be used, allowing Vodafone to benefit from brand royalties and get a soft presence with little investment risk (Vodafone Annual Report, 2024).</w:t>
      </w:r>
    </w:p>
    <w:p w14:paraId="02DBDE6B" w14:textId="1B562985" w:rsidR="00C04D37" w:rsidRPr="006F55B2" w:rsidRDefault="000C7782" w:rsidP="00C50FDB">
      <w:pPr>
        <w:spacing w:line="360" w:lineRule="auto"/>
        <w:rPr>
          <w:szCs w:val="24"/>
        </w:rPr>
      </w:pPr>
      <w:r w:rsidRPr="000C7782">
        <w:rPr>
          <w:szCs w:val="24"/>
        </w:rPr>
        <w:t>Across these modes, the acquisition and mergers dominate the expansion strategy of Vodafone, especially in large and competitive markets. The upside of this strategy is a quick market entry and scale, but the downside comes through issues such as post-merger cultural integration, redundancy management and the challenge of regulatory scrutiny. For instance, the approval process on the Vodafone-Idea merger lasted for a long time and faced difficulties later in bringing together organisational cultures and systems (PwC India, 2023)</w:t>
      </w:r>
      <w:r w:rsidR="00C04D37" w:rsidRPr="006F55B2">
        <w:rPr>
          <w:szCs w:val="24"/>
        </w:rPr>
        <w:t>.</w:t>
      </w:r>
    </w:p>
    <w:p w14:paraId="47F063D8" w14:textId="77777777" w:rsidR="00C04D37" w:rsidRPr="006F55B2" w:rsidRDefault="00C04D37" w:rsidP="00C50FDB">
      <w:pPr>
        <w:pStyle w:val="Heading2"/>
      </w:pPr>
      <w:bookmarkStart w:id="5" w:name="_Toc213980490"/>
      <w:r w:rsidRPr="006F55B2">
        <w:t>d. Benefits of International Operations</w:t>
      </w:r>
      <w:bookmarkEnd w:id="5"/>
    </w:p>
    <w:p w14:paraId="3B7052C8" w14:textId="77777777" w:rsidR="001614C5" w:rsidRPr="001614C5" w:rsidRDefault="001614C5" w:rsidP="00C50FDB">
      <w:pPr>
        <w:spacing w:line="360" w:lineRule="auto"/>
        <w:rPr>
          <w:szCs w:val="24"/>
        </w:rPr>
      </w:pPr>
      <w:r w:rsidRPr="001614C5">
        <w:rPr>
          <w:szCs w:val="24"/>
        </w:rPr>
        <w:t>The international operations of Vodafone are beneficial in many strategic aspects of enhancing the resilience, growth and global competitiveness of the firm.</w:t>
      </w:r>
    </w:p>
    <w:p w14:paraId="5F2499A5" w14:textId="1A948CEB" w:rsidR="001614C5" w:rsidRPr="0080252A" w:rsidRDefault="001614C5" w:rsidP="00C50FDB">
      <w:pPr>
        <w:pStyle w:val="ListParagraph"/>
        <w:numPr>
          <w:ilvl w:val="0"/>
          <w:numId w:val="19"/>
        </w:numPr>
        <w:spacing w:line="360" w:lineRule="auto"/>
        <w:rPr>
          <w:szCs w:val="24"/>
        </w:rPr>
      </w:pPr>
      <w:r w:rsidRPr="0080252A">
        <w:rPr>
          <w:szCs w:val="24"/>
        </w:rPr>
        <w:t>Economies of Scale and Scope</w:t>
      </w:r>
    </w:p>
    <w:p w14:paraId="38BDCA97" w14:textId="77777777" w:rsidR="0080252A" w:rsidRDefault="001614C5" w:rsidP="00C50FDB">
      <w:pPr>
        <w:spacing w:line="360" w:lineRule="auto"/>
        <w:rPr>
          <w:szCs w:val="24"/>
        </w:rPr>
      </w:pPr>
      <w:r w:rsidRPr="001614C5">
        <w:rPr>
          <w:szCs w:val="24"/>
        </w:rPr>
        <w:t xml:space="preserve">This network of operations across a range of geographies allows Vodafone to benefit from significant economies of scale in its technology development, procurement and </w:t>
      </w:r>
      <w:r w:rsidRPr="001614C5">
        <w:rPr>
          <w:szCs w:val="24"/>
        </w:rPr>
        <w:lastRenderedPageBreak/>
        <w:t xml:space="preserve">marketing. The global standardisation of its network architecture - including the introduction of uniform 5G and cloud technologies - reduce unit costs and helps increase operational efficiency (Grant, 2021). </w:t>
      </w:r>
    </w:p>
    <w:p w14:paraId="706A77BE" w14:textId="0BF9F43F" w:rsidR="001614C5" w:rsidRPr="0080252A" w:rsidRDefault="001614C5" w:rsidP="00C50FDB">
      <w:pPr>
        <w:pStyle w:val="ListParagraph"/>
        <w:numPr>
          <w:ilvl w:val="0"/>
          <w:numId w:val="19"/>
        </w:numPr>
        <w:spacing w:line="360" w:lineRule="auto"/>
        <w:rPr>
          <w:szCs w:val="24"/>
        </w:rPr>
      </w:pPr>
      <w:r w:rsidRPr="0080252A">
        <w:rPr>
          <w:szCs w:val="24"/>
        </w:rPr>
        <w:t>Risk Diversification</w:t>
      </w:r>
    </w:p>
    <w:p w14:paraId="3F809A60" w14:textId="77777777" w:rsidR="001614C5" w:rsidRPr="001614C5" w:rsidRDefault="001614C5" w:rsidP="00C50FDB">
      <w:pPr>
        <w:spacing w:line="360" w:lineRule="auto"/>
        <w:rPr>
          <w:szCs w:val="24"/>
        </w:rPr>
      </w:pPr>
      <w:r w:rsidRPr="001614C5">
        <w:rPr>
          <w:szCs w:val="24"/>
        </w:rPr>
        <w:t>At the same time, having several revenue sources where its activities are distributed flowing from developed and emerging markets, Vodafone can effectively diversify its revenue base. Economic downturns in Europe for example can be made up for by high rates of growth in markets such as India, Turkey and Egypt. This geographic diversification acts as a hedge against volatility of the macro economy and selectional risks as per the principles of modern portfolio theory (Markowitz, 1952).</w:t>
      </w:r>
    </w:p>
    <w:p w14:paraId="43AF3382" w14:textId="764DB544" w:rsidR="001614C5" w:rsidRPr="0080252A" w:rsidRDefault="001614C5" w:rsidP="00C50FDB">
      <w:pPr>
        <w:pStyle w:val="ListParagraph"/>
        <w:numPr>
          <w:ilvl w:val="0"/>
          <w:numId w:val="19"/>
        </w:numPr>
        <w:spacing w:line="360" w:lineRule="auto"/>
        <w:rPr>
          <w:szCs w:val="24"/>
        </w:rPr>
      </w:pPr>
      <w:r w:rsidRPr="0080252A">
        <w:rPr>
          <w:szCs w:val="24"/>
        </w:rPr>
        <w:t>Knowledge and Innovation Transfer</w:t>
      </w:r>
    </w:p>
    <w:p w14:paraId="3357EBE0" w14:textId="77777777" w:rsidR="001614C5" w:rsidRPr="001614C5" w:rsidRDefault="001614C5" w:rsidP="00C50FDB">
      <w:pPr>
        <w:spacing w:line="360" w:lineRule="auto"/>
        <w:rPr>
          <w:szCs w:val="24"/>
        </w:rPr>
      </w:pPr>
      <w:r w:rsidRPr="001614C5">
        <w:rPr>
          <w:szCs w:val="24"/>
        </w:rPr>
        <w:t>Vodafone has the international organization fostering inter-regional knowledge flows, which are in line with Nonaka's (1994) theory of knowledge creation. The company was successful in copying innovations across borders - the M-Pesa mobile payment system, introduced in Kenya back in 2007 was brought to India in 2013, for example. Similarly, a lot of digitalisation and network automation practices developed in Europe have been applied to cost-efficient deployment also in emerging economies. This transnational learning loop creates dynamic capabilities of the firm and increases the innovative capacity of the firm.</w:t>
      </w:r>
    </w:p>
    <w:p w14:paraId="4F00CE8F" w14:textId="31BF96A6" w:rsidR="001614C5" w:rsidRPr="0080252A" w:rsidRDefault="001614C5" w:rsidP="00C50FDB">
      <w:pPr>
        <w:pStyle w:val="ListParagraph"/>
        <w:numPr>
          <w:ilvl w:val="0"/>
          <w:numId w:val="19"/>
        </w:numPr>
        <w:spacing w:line="360" w:lineRule="auto"/>
        <w:rPr>
          <w:szCs w:val="24"/>
        </w:rPr>
      </w:pPr>
      <w:r w:rsidRPr="0080252A">
        <w:rPr>
          <w:szCs w:val="24"/>
        </w:rPr>
        <w:t>Brand and Market Expansion</w:t>
      </w:r>
    </w:p>
    <w:p w14:paraId="0A4BC8C3" w14:textId="1CFB562A" w:rsidR="00C04D37" w:rsidRPr="006F55B2" w:rsidRDefault="001614C5" w:rsidP="00C50FDB">
      <w:pPr>
        <w:spacing w:line="360" w:lineRule="auto"/>
        <w:rPr>
          <w:szCs w:val="24"/>
        </w:rPr>
      </w:pPr>
      <w:r w:rsidRPr="001614C5">
        <w:rPr>
          <w:szCs w:val="24"/>
        </w:rPr>
        <w:t>One of the most important benefits of the buyout is the strong global brand equity in Vodafone. Recognised for reliability and technological leadership, the Vodafone brand helps to bring increased trust from customers, regulators and investors around the world. Through having a consistent brand identity and marketing that is locally relevant means that Vodafone has a brand consistency and at the same time market relevance. The ability of the company to communicate universal values of connectivity and empowerment with adaptation for the cultural context is illustrated in the company's "Together We Can" campaign (The Economic Times, 2022).</w:t>
      </w:r>
    </w:p>
    <w:p w14:paraId="1861913F" w14:textId="77777777" w:rsidR="00C04D37" w:rsidRPr="006F55B2" w:rsidRDefault="00C04D37" w:rsidP="00C50FDB">
      <w:pPr>
        <w:pStyle w:val="Heading2"/>
      </w:pPr>
      <w:bookmarkStart w:id="6" w:name="_Toc213980491"/>
      <w:r w:rsidRPr="006F55B2">
        <w:lastRenderedPageBreak/>
        <w:t>e. Challenges of International Operations</w:t>
      </w:r>
      <w:bookmarkEnd w:id="6"/>
    </w:p>
    <w:p w14:paraId="228FF63D" w14:textId="15268FC7" w:rsidR="005C3B4B" w:rsidRPr="005C3B4B" w:rsidRDefault="005C3B4B" w:rsidP="00C50FDB">
      <w:pPr>
        <w:spacing w:line="360" w:lineRule="auto"/>
        <w:rPr>
          <w:szCs w:val="24"/>
        </w:rPr>
      </w:pPr>
      <w:r w:rsidRPr="005C3B4B">
        <w:rPr>
          <w:szCs w:val="24"/>
        </w:rPr>
        <w:t>Despite the great amounts of benefits, Vodafone suffers at the hands of many issues inherent in operating in the telecommunication business globally.</w:t>
      </w:r>
    </w:p>
    <w:p w14:paraId="0BBF7F24" w14:textId="307DE88B" w:rsidR="005C3B4B" w:rsidRPr="005C3B4B" w:rsidRDefault="005C3B4B" w:rsidP="00C50FDB">
      <w:pPr>
        <w:pStyle w:val="ListParagraph"/>
        <w:numPr>
          <w:ilvl w:val="0"/>
          <w:numId w:val="19"/>
        </w:numPr>
        <w:spacing w:line="360" w:lineRule="auto"/>
        <w:rPr>
          <w:szCs w:val="24"/>
        </w:rPr>
      </w:pPr>
      <w:r w:rsidRPr="005C3B4B">
        <w:rPr>
          <w:szCs w:val="24"/>
        </w:rPr>
        <w:t>Regulatory and Political Risks</w:t>
      </w:r>
    </w:p>
    <w:p w14:paraId="4C7D37CF" w14:textId="14AC3474" w:rsidR="005C3B4B" w:rsidRPr="005C3B4B" w:rsidRDefault="005C3B4B" w:rsidP="00C50FDB">
      <w:pPr>
        <w:spacing w:line="360" w:lineRule="auto"/>
        <w:rPr>
          <w:szCs w:val="24"/>
        </w:rPr>
      </w:pPr>
      <w:r w:rsidRPr="005C3B4B">
        <w:rPr>
          <w:szCs w:val="24"/>
        </w:rPr>
        <w:t xml:space="preserve">Telecommunications is among the most regulated industries in the world. Vodafone's experience in India has been good example of flow of unpredictable regulation being a threat to profitability. Disagreements between the company and the Indian government on retrospective taxation, dating back to the years (the Vodafone International Holdings B.V. v. Union of India case in 2012), have been the cause of multi-billion-dollar demands and reputational damage (BBC News, 2021). </w:t>
      </w:r>
    </w:p>
    <w:p w14:paraId="7AD2CEB9" w14:textId="6963D08E" w:rsidR="005C3B4B" w:rsidRPr="005C3B4B" w:rsidRDefault="005C3B4B" w:rsidP="00C50FDB">
      <w:pPr>
        <w:pStyle w:val="ListParagraph"/>
        <w:numPr>
          <w:ilvl w:val="0"/>
          <w:numId w:val="19"/>
        </w:numPr>
        <w:spacing w:line="360" w:lineRule="auto"/>
        <w:rPr>
          <w:szCs w:val="24"/>
        </w:rPr>
      </w:pPr>
      <w:r w:rsidRPr="005C3B4B">
        <w:rPr>
          <w:szCs w:val="24"/>
        </w:rPr>
        <w:t>Culture and Differences in the Markets</w:t>
      </w:r>
    </w:p>
    <w:p w14:paraId="045176D6" w14:textId="334261BC" w:rsidR="005C3B4B" w:rsidRPr="005C3B4B" w:rsidRDefault="005C3B4B" w:rsidP="00C50FDB">
      <w:pPr>
        <w:spacing w:line="360" w:lineRule="auto"/>
        <w:rPr>
          <w:szCs w:val="24"/>
        </w:rPr>
      </w:pPr>
      <w:r w:rsidRPr="005C3B4B">
        <w:rPr>
          <w:szCs w:val="24"/>
        </w:rPr>
        <w:t xml:space="preserve">Cultural differences affect customer preference, communication style and service expectations. For Vodafone, personalization of marketing and service delivery in local norms meant a big investment. </w:t>
      </w:r>
    </w:p>
    <w:p w14:paraId="4448AB4F" w14:textId="136A8B9C" w:rsidR="005C3B4B" w:rsidRPr="005C3B4B" w:rsidRDefault="005C3B4B" w:rsidP="00C50FDB">
      <w:pPr>
        <w:pStyle w:val="ListParagraph"/>
        <w:numPr>
          <w:ilvl w:val="0"/>
          <w:numId w:val="19"/>
        </w:numPr>
        <w:spacing w:line="360" w:lineRule="auto"/>
        <w:rPr>
          <w:szCs w:val="24"/>
        </w:rPr>
      </w:pPr>
      <w:r w:rsidRPr="005C3B4B">
        <w:rPr>
          <w:szCs w:val="24"/>
        </w:rPr>
        <w:t>Competitive Pressure</w:t>
      </w:r>
    </w:p>
    <w:p w14:paraId="32E0DF0D" w14:textId="39D1E2BE" w:rsidR="005C3B4B" w:rsidRPr="005C3B4B" w:rsidRDefault="005C3B4B" w:rsidP="00C50FDB">
      <w:pPr>
        <w:spacing w:line="360" w:lineRule="auto"/>
        <w:rPr>
          <w:szCs w:val="24"/>
        </w:rPr>
      </w:pPr>
      <w:r w:rsidRPr="005C3B4B">
        <w:rPr>
          <w:szCs w:val="24"/>
        </w:rPr>
        <w:t>Vodafone has a lot of competition from both the local incumbents and the global challengers. In India, the entry of Reliance Jio (2016) shook the balks with excessive pricing, offer of free data and digital ecosystem bundling. This forces Vodafone to merge with Idea cellular if it wants to survive. Even after merger, Vodafone idea limited, are still loosing its market share to Jio and Airtel</w:t>
      </w:r>
      <w:r w:rsidR="008C6CA6">
        <w:rPr>
          <w:szCs w:val="24"/>
        </w:rPr>
        <w:t xml:space="preserve"> </w:t>
      </w:r>
      <w:r w:rsidRPr="005C3B4B">
        <w:rPr>
          <w:szCs w:val="24"/>
        </w:rPr>
        <w:t xml:space="preserve">(Statista, 2024). </w:t>
      </w:r>
    </w:p>
    <w:p w14:paraId="77D9B808" w14:textId="08D48FDA" w:rsidR="005C3B4B" w:rsidRPr="005C3B4B" w:rsidRDefault="005C3B4B" w:rsidP="00C50FDB">
      <w:pPr>
        <w:pStyle w:val="ListParagraph"/>
        <w:numPr>
          <w:ilvl w:val="0"/>
          <w:numId w:val="19"/>
        </w:numPr>
        <w:spacing w:line="360" w:lineRule="auto"/>
        <w:rPr>
          <w:szCs w:val="24"/>
        </w:rPr>
      </w:pPr>
      <w:r w:rsidRPr="005C3B4B">
        <w:rPr>
          <w:szCs w:val="24"/>
        </w:rPr>
        <w:t>Currency Volatility and Economic Volatility</w:t>
      </w:r>
    </w:p>
    <w:p w14:paraId="76760197" w14:textId="77777777" w:rsidR="005C3B4B" w:rsidRPr="005C3B4B" w:rsidRDefault="005C3B4B" w:rsidP="00C50FDB">
      <w:pPr>
        <w:spacing w:line="360" w:lineRule="auto"/>
        <w:rPr>
          <w:szCs w:val="24"/>
        </w:rPr>
      </w:pPr>
      <w:r w:rsidRPr="005C3B4B">
        <w:rPr>
          <w:szCs w:val="24"/>
        </w:rPr>
        <w:t>With revenues denominated in different currencies, Vodafone is exposed to foreign exchange risks (especially in emerging markets). Depreciation of currency like Indian Rupee or Turkish Lira against the Euro or Sterling Pound may be affecting the profit margin. Vodafone is engaged in hedging strategies and financial instruments to mitigate these impacts and is unable to eliminate them entirely (Vodafone Annual Report, 2024).</w:t>
      </w:r>
    </w:p>
    <w:p w14:paraId="2827F345" w14:textId="6C698A29" w:rsidR="005C3B4B" w:rsidRPr="005C3B4B" w:rsidRDefault="005C3B4B" w:rsidP="00C50FDB">
      <w:pPr>
        <w:pStyle w:val="ListParagraph"/>
        <w:numPr>
          <w:ilvl w:val="0"/>
          <w:numId w:val="19"/>
        </w:numPr>
        <w:spacing w:line="360" w:lineRule="auto"/>
        <w:rPr>
          <w:szCs w:val="24"/>
        </w:rPr>
      </w:pPr>
      <w:r w:rsidRPr="005C3B4B">
        <w:rPr>
          <w:szCs w:val="24"/>
        </w:rPr>
        <w:lastRenderedPageBreak/>
        <w:t>Inequalities in the Technological Infrastructure</w:t>
      </w:r>
    </w:p>
    <w:p w14:paraId="4C5D487F" w14:textId="12606532" w:rsidR="00D6655E" w:rsidRPr="005C3B4B" w:rsidRDefault="005C3B4B" w:rsidP="00C50FDB">
      <w:pPr>
        <w:spacing w:line="360" w:lineRule="auto"/>
        <w:rPr>
          <w:szCs w:val="24"/>
        </w:rPr>
      </w:pPr>
      <w:r w:rsidRPr="005C3B4B">
        <w:rPr>
          <w:szCs w:val="24"/>
        </w:rPr>
        <w:t xml:space="preserve">Emerging economies do not have harmonious infrastructure for advancing technology like 5G in most of the cases. Vodafone's network deployment in India has faced some challenges like the stability of the power supply, delayed assignment of the spectrum, and poor network connectivity in rural areas (PwC India, 2023). </w:t>
      </w:r>
    </w:p>
    <w:p w14:paraId="28BF1458" w14:textId="6977322A" w:rsidR="00B44983" w:rsidRPr="009D6180" w:rsidRDefault="00B44983" w:rsidP="00C50FDB">
      <w:pPr>
        <w:pStyle w:val="Heading1"/>
        <w:rPr>
          <w:rFonts w:eastAsia="Times New Roman"/>
        </w:rPr>
      </w:pPr>
      <w:bookmarkStart w:id="7" w:name="_Toc213980492"/>
      <w:r w:rsidRPr="009D6180">
        <w:rPr>
          <w:rFonts w:eastAsia="Times New Roman"/>
        </w:rPr>
        <w:t>3. OLI Factors and Market Entry into India</w:t>
      </w:r>
      <w:bookmarkEnd w:id="7"/>
      <w:r w:rsidRPr="009D6180">
        <w:rPr>
          <w:rFonts w:eastAsia="Times New Roman"/>
        </w:rPr>
        <w:t xml:space="preserve"> </w:t>
      </w:r>
    </w:p>
    <w:p w14:paraId="56EC8928" w14:textId="77777777" w:rsidR="0079617E" w:rsidRPr="0079617E" w:rsidRDefault="0079617E" w:rsidP="00C50FDB">
      <w:pPr>
        <w:spacing w:line="360" w:lineRule="auto"/>
        <w:rPr>
          <w:rFonts w:eastAsia="Times New Roman" w:cs="Arial"/>
          <w:szCs w:val="24"/>
        </w:rPr>
      </w:pPr>
      <w:r w:rsidRPr="0079617E">
        <w:rPr>
          <w:rFonts w:eastAsia="Times New Roman" w:cs="Arial"/>
          <w:szCs w:val="24"/>
        </w:rPr>
        <w:t>The OLI Paradigm, which is also referred to as the Eclectic Paradigm, developed by John Dunning (1988) offers frame work to structure analysis of the internationalization strategies of multinational corporations (MNCs). The paradigm is based on the three categories of advantages that determine the decision of foreign direct investment (FDI): Ownership-specific (O), Location-specific (L) and Internalisation (I). Ownership advantages are seen to be associated with firm-specific assets or capabilities, location advantages are associated with host country characteristics that make investment desirable, and internalisation advantages are seen as those that explain the choice by a firm to control its operations rather than outsource or license them. Collectively, these factors influence why, where and how a firm participates in the international markets.</w:t>
      </w:r>
    </w:p>
    <w:p w14:paraId="58D93DBD" w14:textId="04780B66" w:rsidR="00B44983" w:rsidRPr="009D6180" w:rsidRDefault="0079617E" w:rsidP="00C50FDB">
      <w:pPr>
        <w:spacing w:line="360" w:lineRule="auto"/>
        <w:rPr>
          <w:rFonts w:eastAsia="Times New Roman" w:cs="Arial"/>
          <w:szCs w:val="24"/>
        </w:rPr>
      </w:pPr>
      <w:r w:rsidRPr="0079617E">
        <w:rPr>
          <w:rFonts w:eastAsia="Times New Roman" w:cs="Arial"/>
          <w:szCs w:val="24"/>
        </w:rPr>
        <w:t>Vodafone Group plc's entry into India is a good example of the implementation of the OLI framework. The journey of the company from the acquisition of Hutchison Essar in 2007 through the merger with Idea Cellular in 2018 can be traced as how Vodafone could exploit the global strengths, opportunistic market in India and preferred internalization approach to retain control of the key assets</w:t>
      </w:r>
      <w:r w:rsidR="00B44983" w:rsidRPr="009D6180">
        <w:rPr>
          <w:rFonts w:eastAsia="Times New Roman" w:cs="Arial"/>
          <w:szCs w:val="24"/>
        </w:rPr>
        <w:t>.</w:t>
      </w:r>
    </w:p>
    <w:p w14:paraId="212250C8" w14:textId="77777777" w:rsidR="00B44983" w:rsidRPr="009D6180" w:rsidRDefault="00B44983" w:rsidP="00C50FDB">
      <w:pPr>
        <w:pStyle w:val="Heading2"/>
      </w:pPr>
      <w:bookmarkStart w:id="8" w:name="_Toc213980493"/>
      <w:r w:rsidRPr="009D6180">
        <w:t>a. Ownership Advantages</w:t>
      </w:r>
      <w:bookmarkEnd w:id="8"/>
    </w:p>
    <w:p w14:paraId="6C306346" w14:textId="77777777" w:rsidR="0079617E" w:rsidRPr="0079617E" w:rsidRDefault="0079617E" w:rsidP="00C50FDB">
      <w:pPr>
        <w:spacing w:line="360" w:lineRule="auto"/>
        <w:rPr>
          <w:rFonts w:eastAsia="Times New Roman" w:cs="Arial"/>
          <w:szCs w:val="24"/>
        </w:rPr>
      </w:pPr>
      <w:r w:rsidRPr="0079617E">
        <w:rPr>
          <w:rFonts w:eastAsia="Times New Roman" w:cs="Arial"/>
          <w:szCs w:val="24"/>
        </w:rPr>
        <w:t>Ownership advantages include firm-specific assets and capacities that give them a competitive advantage in foreign markets. For Vodafone, such advantages played a key role in enabling it to enter India.</w:t>
      </w:r>
    </w:p>
    <w:p w14:paraId="175D5A56" w14:textId="4C905E47" w:rsidR="0079617E" w:rsidRPr="0079617E" w:rsidRDefault="0079617E" w:rsidP="00C50FDB">
      <w:pPr>
        <w:pStyle w:val="ListParagraph"/>
        <w:numPr>
          <w:ilvl w:val="0"/>
          <w:numId w:val="19"/>
        </w:numPr>
        <w:spacing w:line="360" w:lineRule="auto"/>
        <w:rPr>
          <w:rFonts w:eastAsia="Times New Roman" w:cs="Arial"/>
          <w:szCs w:val="24"/>
        </w:rPr>
      </w:pPr>
      <w:r w:rsidRPr="0079617E">
        <w:rPr>
          <w:rFonts w:eastAsia="Times New Roman" w:cs="Arial"/>
          <w:szCs w:val="24"/>
        </w:rPr>
        <w:t>Technological and Managerial Skills</w:t>
      </w:r>
    </w:p>
    <w:p w14:paraId="735F49EA" w14:textId="6E5C752E" w:rsidR="0079617E" w:rsidRPr="0079617E" w:rsidRDefault="0079617E" w:rsidP="00C50FDB">
      <w:pPr>
        <w:spacing w:line="360" w:lineRule="auto"/>
        <w:rPr>
          <w:rFonts w:eastAsia="Times New Roman" w:cs="Arial"/>
          <w:szCs w:val="24"/>
        </w:rPr>
      </w:pPr>
      <w:r w:rsidRPr="0079617E">
        <w:rPr>
          <w:rFonts w:eastAsia="Times New Roman" w:cs="Arial"/>
          <w:szCs w:val="24"/>
        </w:rPr>
        <w:lastRenderedPageBreak/>
        <w:t xml:space="preserve">Vodafone has always been a leader of innovation from the GSM to 4G and 5G telecommunication technology, and a pioneering force behind Internet of Things (IoT) solutions and Mobile Financial Services, such as M-Pesa, which was later adapted for the Indian market. These technological competencies are intangible assets that would pass Dunning's criteria for an advantage of ownership. Managerially, Vodafone conducts itself on the lines of the Transnational Model formulated by Bartlett and Ghoshal (1989), a mix of global coordination and subsidiary autonomy. </w:t>
      </w:r>
    </w:p>
    <w:p w14:paraId="29A38A73" w14:textId="0FCE40ED" w:rsidR="0079617E" w:rsidRPr="00795036" w:rsidRDefault="0079617E" w:rsidP="00C50FDB">
      <w:pPr>
        <w:pStyle w:val="ListParagraph"/>
        <w:numPr>
          <w:ilvl w:val="0"/>
          <w:numId w:val="19"/>
        </w:numPr>
        <w:spacing w:line="360" w:lineRule="auto"/>
        <w:rPr>
          <w:rFonts w:eastAsia="Times New Roman" w:cs="Arial"/>
          <w:szCs w:val="24"/>
        </w:rPr>
      </w:pPr>
      <w:r w:rsidRPr="00795036">
        <w:rPr>
          <w:rFonts w:eastAsia="Times New Roman" w:cs="Arial"/>
          <w:szCs w:val="24"/>
        </w:rPr>
        <w:t>Brand Equity and Capabilities for Marketing</w:t>
      </w:r>
    </w:p>
    <w:p w14:paraId="02031BBF" w14:textId="02313BD3" w:rsidR="0079617E" w:rsidRPr="0079617E" w:rsidRDefault="0079617E" w:rsidP="00C50FDB">
      <w:pPr>
        <w:spacing w:line="360" w:lineRule="auto"/>
        <w:rPr>
          <w:rFonts w:eastAsia="Times New Roman" w:cs="Arial"/>
          <w:szCs w:val="24"/>
        </w:rPr>
      </w:pPr>
      <w:r w:rsidRPr="0079617E">
        <w:rPr>
          <w:rFonts w:eastAsia="Times New Roman" w:cs="Arial"/>
          <w:szCs w:val="24"/>
        </w:rPr>
        <w:t xml:space="preserve">Vodafone's worldwide brand is an offspring in which it owns a brand. </w:t>
      </w:r>
      <w:r w:rsidR="00795036" w:rsidRPr="00795036">
        <w:rPr>
          <w:rFonts w:eastAsia="Times New Roman" w:cs="Arial"/>
          <w:szCs w:val="24"/>
        </w:rPr>
        <w:t>Its visual identity (the red speech mark logo) and slogan (Power to You) convey the message of trust, connectivity and empowerment</w:t>
      </w:r>
      <w:r w:rsidRPr="0079617E">
        <w:rPr>
          <w:rFonts w:eastAsia="Times New Roman" w:cs="Arial"/>
          <w:szCs w:val="24"/>
        </w:rPr>
        <w:t>. In India, brand equity ensured lightning-fast customer acquisition, enabled by the localized campaigning such as the famous ZooZoo advertisements, thereby showing the company's capacity to blend global brand strength with culturally-sensitive marketing.</w:t>
      </w:r>
    </w:p>
    <w:p w14:paraId="4C4C2A2E" w14:textId="6D9EC23F" w:rsidR="0079617E" w:rsidRPr="00795036" w:rsidRDefault="0079617E" w:rsidP="00C50FDB">
      <w:pPr>
        <w:pStyle w:val="ListParagraph"/>
        <w:numPr>
          <w:ilvl w:val="0"/>
          <w:numId w:val="19"/>
        </w:numPr>
        <w:spacing w:line="360" w:lineRule="auto"/>
        <w:rPr>
          <w:rFonts w:eastAsia="Times New Roman" w:cs="Arial"/>
          <w:szCs w:val="24"/>
        </w:rPr>
      </w:pPr>
      <w:r w:rsidRPr="00795036">
        <w:rPr>
          <w:rFonts w:eastAsia="Times New Roman" w:cs="Arial"/>
          <w:szCs w:val="24"/>
        </w:rPr>
        <w:t>Financial Strength and Opportunity to Capital</w:t>
      </w:r>
    </w:p>
    <w:p w14:paraId="20FAFE9B" w14:textId="77777777" w:rsidR="0079617E" w:rsidRPr="0079617E" w:rsidRDefault="0079617E" w:rsidP="00C50FDB">
      <w:pPr>
        <w:spacing w:line="360" w:lineRule="auto"/>
        <w:rPr>
          <w:rFonts w:eastAsia="Times New Roman" w:cs="Arial"/>
          <w:szCs w:val="24"/>
        </w:rPr>
      </w:pPr>
      <w:r w:rsidRPr="0079617E">
        <w:rPr>
          <w:rFonts w:eastAsia="Times New Roman" w:cs="Arial"/>
          <w:szCs w:val="24"/>
        </w:rPr>
        <w:t>Listing in the London Stock Exchange (LSE) and placing in the FTSE 100 Index provides Vodafone with access to significant financial resources. These resources facilitated acquisition of high-value deals like Hutchison Essar ($11.1 billion) and later acquisitions, facilitating hit on the market fast enough while managing the financial risks in the process. The strength of the company's finances also enables it to absorb shocks from regulations changes, competition and currency changes in emerging markets.</w:t>
      </w:r>
    </w:p>
    <w:p w14:paraId="58064D42" w14:textId="289DE31F" w:rsidR="0079617E" w:rsidRPr="00795036" w:rsidRDefault="0079617E" w:rsidP="00C50FDB">
      <w:pPr>
        <w:pStyle w:val="ListParagraph"/>
        <w:numPr>
          <w:ilvl w:val="0"/>
          <w:numId w:val="19"/>
        </w:numPr>
        <w:spacing w:line="360" w:lineRule="auto"/>
        <w:rPr>
          <w:rFonts w:eastAsia="Times New Roman" w:cs="Arial"/>
          <w:szCs w:val="24"/>
        </w:rPr>
      </w:pPr>
      <w:r w:rsidRPr="00795036">
        <w:rPr>
          <w:rFonts w:eastAsia="Times New Roman" w:cs="Arial"/>
          <w:szCs w:val="24"/>
        </w:rPr>
        <w:t>Global Experience &amp; Human Capital</w:t>
      </w:r>
    </w:p>
    <w:p w14:paraId="6F0A1803" w14:textId="3D386C4B" w:rsidR="00B44983" w:rsidRPr="009D6180" w:rsidRDefault="0079617E" w:rsidP="00C50FDB">
      <w:pPr>
        <w:spacing w:line="360" w:lineRule="auto"/>
        <w:rPr>
          <w:rFonts w:eastAsia="Times New Roman" w:cs="Arial"/>
          <w:szCs w:val="24"/>
        </w:rPr>
      </w:pPr>
      <w:r w:rsidRPr="0079617E">
        <w:rPr>
          <w:rFonts w:eastAsia="Times New Roman" w:cs="Arial"/>
          <w:szCs w:val="24"/>
        </w:rPr>
        <w:t>Vodafone has a coverage of more than 150 nations and has more than 96,000 people working for it globally. The company's cross-cultural management experience and skills in international operations followed by frameworks such as the Uppsala Model (Johanson &amp; Vahlne, 1977) are connected to reduce uncertainty in new markets. In India, this had the advantage of complexity of regulatory environment and Vodafone could manage joint ventures and set up collaborative relationship with local stakeholders</w:t>
      </w:r>
      <w:r w:rsidR="00B44983" w:rsidRPr="009D6180">
        <w:rPr>
          <w:rFonts w:eastAsia="Times New Roman" w:cs="Arial"/>
          <w:szCs w:val="24"/>
        </w:rPr>
        <w:t>.</w:t>
      </w:r>
    </w:p>
    <w:p w14:paraId="714822BF" w14:textId="77777777" w:rsidR="00B44983" w:rsidRPr="009D6180" w:rsidRDefault="00B44983" w:rsidP="00C50FDB">
      <w:pPr>
        <w:pStyle w:val="Heading2"/>
      </w:pPr>
      <w:bookmarkStart w:id="9" w:name="_Toc213980494"/>
      <w:r w:rsidRPr="009D6180">
        <w:lastRenderedPageBreak/>
        <w:t>b. Location Advantages</w:t>
      </w:r>
      <w:bookmarkEnd w:id="9"/>
    </w:p>
    <w:p w14:paraId="5768A1D9" w14:textId="77777777" w:rsidR="00CA3370" w:rsidRPr="00CA3370" w:rsidRDefault="00CA3370" w:rsidP="00C50FDB">
      <w:pPr>
        <w:spacing w:line="360" w:lineRule="auto"/>
        <w:rPr>
          <w:rFonts w:eastAsia="Times New Roman" w:cs="Arial"/>
          <w:szCs w:val="24"/>
        </w:rPr>
      </w:pPr>
      <w:r w:rsidRPr="00CA3370">
        <w:rPr>
          <w:rFonts w:eastAsia="Times New Roman" w:cs="Arial"/>
          <w:szCs w:val="24"/>
        </w:rPr>
        <w:t>Location-specific advantages mark out the host country advantages as why the host country is an attractive destination for foreign investment. Vodafone received a fascinating package of opportunities in India:</w:t>
      </w:r>
    </w:p>
    <w:p w14:paraId="6415D992" w14:textId="0BEC4D3B" w:rsidR="00CA3370" w:rsidRPr="00CA3370" w:rsidRDefault="00CA3370" w:rsidP="00C50FDB">
      <w:pPr>
        <w:pStyle w:val="ListParagraph"/>
        <w:numPr>
          <w:ilvl w:val="0"/>
          <w:numId w:val="19"/>
        </w:numPr>
        <w:spacing w:line="360" w:lineRule="auto"/>
        <w:rPr>
          <w:rFonts w:eastAsia="Times New Roman" w:cs="Arial"/>
          <w:szCs w:val="24"/>
        </w:rPr>
      </w:pPr>
      <w:r w:rsidRPr="00CA3370">
        <w:rPr>
          <w:rFonts w:eastAsia="Times New Roman" w:cs="Arial"/>
          <w:szCs w:val="24"/>
        </w:rPr>
        <w:t>Large Market Potential</w:t>
      </w:r>
    </w:p>
    <w:p w14:paraId="3548AAC7" w14:textId="6866C8BF" w:rsidR="00CA3370" w:rsidRPr="00CA3370" w:rsidRDefault="00CA3370" w:rsidP="00C50FDB">
      <w:pPr>
        <w:spacing w:line="360" w:lineRule="auto"/>
        <w:rPr>
          <w:rFonts w:eastAsia="Times New Roman" w:cs="Arial"/>
          <w:szCs w:val="24"/>
        </w:rPr>
      </w:pPr>
      <w:r w:rsidRPr="00CA3370">
        <w:rPr>
          <w:rFonts w:eastAsia="Times New Roman" w:cs="Arial"/>
          <w:szCs w:val="24"/>
        </w:rPr>
        <w:t xml:space="preserve">India is the world's second-largest mobile market having over 1.1 billion subscribers as of 2024 (TRAI, 2024). Rising smartphone penetration and a growing middle class was a long-term growth potential for Vodafone in particular for mobile data and digital services. </w:t>
      </w:r>
    </w:p>
    <w:p w14:paraId="3FCC6DFC" w14:textId="2EAC4A37" w:rsidR="00CA3370" w:rsidRPr="00CA3370" w:rsidRDefault="00CA3370" w:rsidP="00C50FDB">
      <w:pPr>
        <w:pStyle w:val="ListParagraph"/>
        <w:numPr>
          <w:ilvl w:val="0"/>
          <w:numId w:val="19"/>
        </w:numPr>
        <w:spacing w:line="360" w:lineRule="auto"/>
        <w:rPr>
          <w:rFonts w:eastAsia="Times New Roman" w:cs="Arial"/>
          <w:szCs w:val="24"/>
        </w:rPr>
      </w:pPr>
      <w:r w:rsidRPr="00CA3370">
        <w:rPr>
          <w:rFonts w:eastAsia="Times New Roman" w:cs="Arial"/>
          <w:szCs w:val="24"/>
        </w:rPr>
        <w:t>Economic Liberalization and Regulations</w:t>
      </w:r>
    </w:p>
    <w:p w14:paraId="1BE7D150" w14:textId="77777777" w:rsidR="00CA3370" w:rsidRDefault="00CA3370" w:rsidP="00C50FDB">
      <w:pPr>
        <w:spacing w:line="360" w:lineRule="auto"/>
        <w:rPr>
          <w:rFonts w:eastAsia="Times New Roman" w:cs="Arial"/>
          <w:szCs w:val="24"/>
        </w:rPr>
      </w:pPr>
      <w:r w:rsidRPr="00CA3370">
        <w:rPr>
          <w:rFonts w:eastAsia="Times New Roman" w:cs="Arial"/>
          <w:szCs w:val="24"/>
        </w:rPr>
        <w:t xml:space="preserve">A policy of liberalization in the telecom sector after 1990s opened up to foreign direct investment in the telecom sector. The Telecom Policy 1999 and the regulatory reforms later made possible the acquisition of Hutchison Essar by Vodafone and thus they immediately entered the markets. </w:t>
      </w:r>
    </w:p>
    <w:p w14:paraId="53774BC9" w14:textId="2F4506A2" w:rsidR="00CA3370" w:rsidRPr="00CA3370" w:rsidRDefault="00CA3370" w:rsidP="00C50FDB">
      <w:pPr>
        <w:pStyle w:val="ListParagraph"/>
        <w:numPr>
          <w:ilvl w:val="0"/>
          <w:numId w:val="19"/>
        </w:numPr>
        <w:spacing w:line="360" w:lineRule="auto"/>
        <w:rPr>
          <w:rFonts w:eastAsia="Times New Roman" w:cs="Arial"/>
          <w:szCs w:val="24"/>
        </w:rPr>
      </w:pPr>
      <w:r w:rsidRPr="00CA3370">
        <w:rPr>
          <w:rFonts w:eastAsia="Times New Roman" w:cs="Arial"/>
          <w:szCs w:val="24"/>
        </w:rPr>
        <w:t>Cost Effective and Skilled Labour</w:t>
      </w:r>
    </w:p>
    <w:p w14:paraId="22A351DC" w14:textId="77777777" w:rsidR="00CA3370" w:rsidRPr="00CA3370" w:rsidRDefault="00CA3370" w:rsidP="00C50FDB">
      <w:pPr>
        <w:spacing w:line="360" w:lineRule="auto"/>
        <w:rPr>
          <w:rFonts w:eastAsia="Times New Roman" w:cs="Arial"/>
          <w:szCs w:val="24"/>
        </w:rPr>
      </w:pPr>
      <w:r w:rsidRPr="00CA3370">
        <w:rPr>
          <w:rFonts w:eastAsia="Times New Roman" w:cs="Arial"/>
          <w:szCs w:val="24"/>
        </w:rPr>
        <w:t>India provides access to a skilled workforce, which is cost efficient, particularly in IT, engineering and customer service. Through their shared service centers and call centers, Vodafone took advantage of this and enabled both local and global operations.</w:t>
      </w:r>
    </w:p>
    <w:p w14:paraId="6E8837B7" w14:textId="5C7D5594" w:rsidR="00CA3370" w:rsidRPr="00CA3370" w:rsidRDefault="00CA3370" w:rsidP="00C50FDB">
      <w:pPr>
        <w:pStyle w:val="ListParagraph"/>
        <w:numPr>
          <w:ilvl w:val="0"/>
          <w:numId w:val="19"/>
        </w:numPr>
        <w:spacing w:line="360" w:lineRule="auto"/>
        <w:rPr>
          <w:rFonts w:eastAsia="Times New Roman" w:cs="Arial"/>
          <w:szCs w:val="24"/>
        </w:rPr>
      </w:pPr>
      <w:r w:rsidRPr="00CA3370">
        <w:rPr>
          <w:rFonts w:eastAsia="Times New Roman" w:cs="Arial"/>
          <w:szCs w:val="24"/>
        </w:rPr>
        <w:t>Development of Digital Ecosystem</w:t>
      </w:r>
    </w:p>
    <w:p w14:paraId="7ACE5CAA" w14:textId="77777777" w:rsidR="00CA3370" w:rsidRPr="00CA3370" w:rsidRDefault="00CA3370" w:rsidP="00C50FDB">
      <w:pPr>
        <w:spacing w:line="360" w:lineRule="auto"/>
        <w:rPr>
          <w:rFonts w:eastAsia="Times New Roman" w:cs="Arial"/>
          <w:szCs w:val="24"/>
        </w:rPr>
      </w:pPr>
      <w:r w:rsidRPr="00CA3370">
        <w:rPr>
          <w:rFonts w:eastAsia="Times New Roman" w:cs="Arial"/>
          <w:szCs w:val="24"/>
        </w:rPr>
        <w:t>India Digital India initiative was a booster of digital literacy, Internet access and mobile payments. Vodafone's investments in mobiles data and broadband and fintech services acted in line with this national agenda increasing legitimacy and growth potential.</w:t>
      </w:r>
    </w:p>
    <w:p w14:paraId="59C5E941" w14:textId="4642C40B" w:rsidR="00CA3370" w:rsidRPr="00CA3370" w:rsidRDefault="00CA3370" w:rsidP="00C50FDB">
      <w:pPr>
        <w:pStyle w:val="ListParagraph"/>
        <w:numPr>
          <w:ilvl w:val="0"/>
          <w:numId w:val="19"/>
        </w:numPr>
        <w:spacing w:line="360" w:lineRule="auto"/>
        <w:rPr>
          <w:rFonts w:eastAsia="Times New Roman" w:cs="Arial"/>
          <w:szCs w:val="24"/>
        </w:rPr>
      </w:pPr>
      <w:r w:rsidRPr="00CA3370">
        <w:rPr>
          <w:rFonts w:eastAsia="Times New Roman" w:cs="Arial"/>
          <w:szCs w:val="24"/>
        </w:rPr>
        <w:t>Strategic Location in the Region</w:t>
      </w:r>
    </w:p>
    <w:p w14:paraId="6FD8B8E7" w14:textId="4A009EAD" w:rsidR="00B44983" w:rsidRPr="009D6180" w:rsidRDefault="00CA3370" w:rsidP="00C50FDB">
      <w:pPr>
        <w:spacing w:line="360" w:lineRule="auto"/>
        <w:rPr>
          <w:rFonts w:eastAsia="Times New Roman" w:cs="Arial"/>
          <w:szCs w:val="24"/>
        </w:rPr>
      </w:pPr>
      <w:r w:rsidRPr="00CA3370">
        <w:rPr>
          <w:rFonts w:eastAsia="Times New Roman" w:cs="Arial"/>
          <w:szCs w:val="24"/>
        </w:rPr>
        <w:t>India's geographical location provides access to other Betuam high growing markets and can have a common center for technology development in the region and collaborative R&amp;D development</w:t>
      </w:r>
      <w:r w:rsidR="00B44983" w:rsidRPr="009D6180">
        <w:rPr>
          <w:rFonts w:eastAsia="Times New Roman" w:cs="Arial"/>
          <w:szCs w:val="24"/>
        </w:rPr>
        <w:t>.</w:t>
      </w:r>
    </w:p>
    <w:p w14:paraId="683A615D" w14:textId="77777777" w:rsidR="00B44983" w:rsidRPr="009D6180" w:rsidRDefault="00B44983" w:rsidP="00C50FDB">
      <w:pPr>
        <w:pStyle w:val="Heading2"/>
      </w:pPr>
      <w:bookmarkStart w:id="10" w:name="_Toc213980495"/>
      <w:r w:rsidRPr="009D6180">
        <w:lastRenderedPageBreak/>
        <w:t>c. Internalisation Advantages</w:t>
      </w:r>
      <w:bookmarkEnd w:id="10"/>
    </w:p>
    <w:p w14:paraId="3D2FB2DC" w14:textId="77777777" w:rsidR="00CA3370" w:rsidRPr="00CA3370" w:rsidRDefault="00CA3370" w:rsidP="00C50FDB">
      <w:pPr>
        <w:spacing w:line="360" w:lineRule="auto"/>
        <w:rPr>
          <w:rFonts w:eastAsia="Times New Roman" w:cs="Arial"/>
          <w:szCs w:val="24"/>
        </w:rPr>
      </w:pPr>
      <w:r w:rsidRPr="00CA3370">
        <w:rPr>
          <w:rFonts w:eastAsia="Times New Roman" w:cs="Arial"/>
          <w:szCs w:val="24"/>
        </w:rPr>
        <w:t>Internalisation can be understood as the reason that Vodafone chose to purchase and manage operations in-house as opposed to licensing their technology and/or outsourcing their network operations:</w:t>
      </w:r>
    </w:p>
    <w:p w14:paraId="69ED6BE0" w14:textId="63DED685" w:rsidR="00CA3370" w:rsidRPr="00CA3370" w:rsidRDefault="00CA3370" w:rsidP="00C50FDB">
      <w:pPr>
        <w:pStyle w:val="ListParagraph"/>
        <w:numPr>
          <w:ilvl w:val="0"/>
          <w:numId w:val="19"/>
        </w:numPr>
        <w:spacing w:line="360" w:lineRule="auto"/>
        <w:rPr>
          <w:rFonts w:eastAsia="Times New Roman" w:cs="Arial"/>
          <w:szCs w:val="24"/>
        </w:rPr>
      </w:pPr>
      <w:r w:rsidRPr="00CA3370">
        <w:rPr>
          <w:rFonts w:eastAsia="Times New Roman" w:cs="Arial"/>
          <w:szCs w:val="24"/>
        </w:rPr>
        <w:t>Control Over the Technology and Quality</w:t>
      </w:r>
    </w:p>
    <w:p w14:paraId="545054EE" w14:textId="77777777" w:rsidR="00CA3370" w:rsidRPr="00CA3370" w:rsidRDefault="00CA3370" w:rsidP="00C50FDB">
      <w:pPr>
        <w:spacing w:line="360" w:lineRule="auto"/>
        <w:rPr>
          <w:rFonts w:eastAsia="Times New Roman" w:cs="Arial"/>
          <w:szCs w:val="24"/>
        </w:rPr>
      </w:pPr>
      <w:r w:rsidRPr="00CA3370">
        <w:rPr>
          <w:rFonts w:eastAsia="Times New Roman" w:cs="Arial"/>
          <w:szCs w:val="24"/>
        </w:rPr>
        <w:t>Direct ownership guarantees technology deployment uniformity as well as quality service without the risks of third-party partners.</w:t>
      </w:r>
    </w:p>
    <w:p w14:paraId="28D6FF29" w14:textId="3B9790A3" w:rsidR="00CA3370" w:rsidRPr="00CA3370" w:rsidRDefault="00CA3370" w:rsidP="00C50FDB">
      <w:pPr>
        <w:pStyle w:val="ListParagraph"/>
        <w:numPr>
          <w:ilvl w:val="0"/>
          <w:numId w:val="19"/>
        </w:numPr>
        <w:spacing w:line="360" w:lineRule="auto"/>
        <w:rPr>
          <w:rFonts w:eastAsia="Times New Roman" w:cs="Arial"/>
          <w:szCs w:val="24"/>
        </w:rPr>
      </w:pPr>
      <w:r w:rsidRPr="00CA3370">
        <w:rPr>
          <w:rFonts w:eastAsia="Times New Roman" w:cs="Arial"/>
          <w:szCs w:val="24"/>
        </w:rPr>
        <w:t>Protection of Proprietary Assets</w:t>
      </w:r>
    </w:p>
    <w:p w14:paraId="5B07936C" w14:textId="77777777" w:rsidR="00CA3370" w:rsidRPr="00CA3370" w:rsidRDefault="00CA3370" w:rsidP="00C50FDB">
      <w:pPr>
        <w:spacing w:line="360" w:lineRule="auto"/>
        <w:rPr>
          <w:rFonts w:eastAsia="Times New Roman" w:cs="Arial"/>
          <w:szCs w:val="24"/>
        </w:rPr>
      </w:pPr>
      <w:r w:rsidRPr="00CA3370">
        <w:rPr>
          <w:rFonts w:eastAsia="Times New Roman" w:cs="Arial"/>
          <w:szCs w:val="24"/>
        </w:rPr>
        <w:t>Vodafone network management systems, artificial intelligence data analytics and mobile financial platforms are proprietary assets that are highly vulnerable to imitation and thus worth guarding to make sense in terms of transaction cost theory (Buckley and Casson 1976).</w:t>
      </w:r>
    </w:p>
    <w:p w14:paraId="4CAF73AB" w14:textId="4144C57D" w:rsidR="00CA3370" w:rsidRPr="00CA3370" w:rsidRDefault="00DB2EE2" w:rsidP="00C50FDB">
      <w:pPr>
        <w:pStyle w:val="ListParagraph"/>
        <w:numPr>
          <w:ilvl w:val="0"/>
          <w:numId w:val="19"/>
        </w:numPr>
        <w:spacing w:line="360" w:lineRule="auto"/>
        <w:rPr>
          <w:rFonts w:eastAsia="Times New Roman" w:cs="Arial"/>
          <w:szCs w:val="24"/>
        </w:rPr>
      </w:pPr>
      <w:r w:rsidRPr="00DB2EE2">
        <w:rPr>
          <w:rFonts w:eastAsia="Times New Roman" w:cs="Arial"/>
          <w:szCs w:val="24"/>
        </w:rPr>
        <w:t>Integration of Global Systems</w:t>
      </w:r>
    </w:p>
    <w:p w14:paraId="01F5545F" w14:textId="77777777" w:rsidR="00CA3370" w:rsidRPr="00CA3370" w:rsidRDefault="00CA3370" w:rsidP="00C50FDB">
      <w:pPr>
        <w:spacing w:line="360" w:lineRule="auto"/>
        <w:rPr>
          <w:rFonts w:eastAsia="Times New Roman" w:cs="Arial"/>
          <w:szCs w:val="24"/>
        </w:rPr>
      </w:pPr>
      <w:r w:rsidRPr="00CA3370">
        <w:rPr>
          <w:rFonts w:eastAsia="Times New Roman" w:cs="Arial"/>
          <w:szCs w:val="24"/>
        </w:rPr>
        <w:t>Integration with Vodafone's global ERP, CRM and financial systems helps improve efficiency, reporting and compliance to ensure seamless alignment with the global operations.</w:t>
      </w:r>
    </w:p>
    <w:p w14:paraId="3BB26D8B" w14:textId="3C1965EE" w:rsidR="00CA3370" w:rsidRPr="00CA3370" w:rsidRDefault="00CA3370" w:rsidP="00C50FDB">
      <w:pPr>
        <w:pStyle w:val="ListParagraph"/>
        <w:numPr>
          <w:ilvl w:val="0"/>
          <w:numId w:val="19"/>
        </w:numPr>
        <w:spacing w:line="360" w:lineRule="auto"/>
        <w:rPr>
          <w:rFonts w:eastAsia="Times New Roman" w:cs="Arial"/>
          <w:szCs w:val="24"/>
        </w:rPr>
      </w:pPr>
      <w:r w:rsidRPr="00CA3370">
        <w:rPr>
          <w:rFonts w:eastAsia="Times New Roman" w:cs="Arial"/>
          <w:szCs w:val="24"/>
        </w:rPr>
        <w:t>Reduced Transaction Costs</w:t>
      </w:r>
    </w:p>
    <w:p w14:paraId="4EF55C4D" w14:textId="43DAFD7E" w:rsidR="00B44983" w:rsidRPr="009D6180" w:rsidRDefault="00CA3370" w:rsidP="00C50FDB">
      <w:pPr>
        <w:spacing w:line="360" w:lineRule="auto"/>
        <w:rPr>
          <w:rFonts w:eastAsia="Times New Roman" w:cs="Arial"/>
          <w:szCs w:val="24"/>
        </w:rPr>
      </w:pPr>
      <w:r w:rsidRPr="00CA3370">
        <w:rPr>
          <w:rFonts w:eastAsia="Times New Roman" w:cs="Arial"/>
          <w:szCs w:val="24"/>
        </w:rPr>
        <w:t xml:space="preserve">By internalizing operations, Vodafone reduces costs of negotiation, monitoring and enforcement in </w:t>
      </w:r>
      <w:r w:rsidR="00DB2EE2" w:rsidRPr="00CA3370">
        <w:rPr>
          <w:rFonts w:eastAsia="Times New Roman" w:cs="Arial"/>
          <w:szCs w:val="24"/>
        </w:rPr>
        <w:t>favoring</w:t>
      </w:r>
      <w:r w:rsidRPr="00CA3370">
        <w:rPr>
          <w:rFonts w:eastAsia="Times New Roman" w:cs="Arial"/>
          <w:szCs w:val="24"/>
        </w:rPr>
        <w:t xml:space="preserve"> good coordination across borders</w:t>
      </w:r>
      <w:r w:rsidR="00B44983" w:rsidRPr="009D6180">
        <w:rPr>
          <w:rFonts w:eastAsia="Times New Roman" w:cs="Arial"/>
          <w:szCs w:val="24"/>
        </w:rPr>
        <w:t>.</w:t>
      </w:r>
    </w:p>
    <w:p w14:paraId="35E2D38F" w14:textId="77777777" w:rsidR="00B44983" w:rsidRPr="009D6180" w:rsidRDefault="00B44983" w:rsidP="00C50FDB">
      <w:pPr>
        <w:pStyle w:val="Heading2"/>
      </w:pPr>
      <w:bookmarkStart w:id="11" w:name="_Toc213980496"/>
      <w:r w:rsidRPr="009D6180">
        <w:t>d. Application of the OLI Framework in India</w:t>
      </w:r>
      <w:bookmarkEnd w:id="11"/>
    </w:p>
    <w:p w14:paraId="59DAE9C4" w14:textId="38D8E64C" w:rsidR="00B44983" w:rsidRPr="002F0AD8" w:rsidRDefault="002F0AD8" w:rsidP="00C50FDB">
      <w:pPr>
        <w:spacing w:line="360" w:lineRule="auto"/>
      </w:pPr>
      <w:r>
        <w:t>Vodafone's 2007 acquisition of Hutchison Essar is a perfect example of the OLI framework at work</w:t>
      </w:r>
      <w:r w:rsidR="00B44983" w:rsidRPr="009D6180">
        <w:rPr>
          <w:rFonts w:eastAsia="Times New Roman" w:cs="Arial"/>
          <w:szCs w:val="24"/>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75"/>
        <w:gridCol w:w="3262"/>
        <w:gridCol w:w="3364"/>
        <w:gridCol w:w="949"/>
      </w:tblGrid>
      <w:tr w:rsidR="00DD52ED" w:rsidRPr="00DD52ED" w14:paraId="6A354C00" w14:textId="77777777" w:rsidTr="00DD52ED">
        <w:trPr>
          <w:tblHeader/>
          <w:tblCellSpacing w:w="15" w:type="dxa"/>
        </w:trPr>
        <w:tc>
          <w:tcPr>
            <w:tcW w:w="0" w:type="auto"/>
            <w:vAlign w:val="center"/>
            <w:hideMark/>
          </w:tcPr>
          <w:p w14:paraId="1EABAC75" w14:textId="77777777" w:rsidR="00DD52ED" w:rsidRPr="00DD52ED" w:rsidRDefault="00DD52ED" w:rsidP="00DD52ED">
            <w:pPr>
              <w:rPr>
                <w:b/>
                <w:bCs/>
                <w:lang w:val="en-US"/>
              </w:rPr>
            </w:pPr>
            <w:r w:rsidRPr="00DD52ED">
              <w:rPr>
                <w:b/>
                <w:bCs/>
                <w:lang w:val="en-US"/>
              </w:rPr>
              <w:lastRenderedPageBreak/>
              <w:t>OLI Component</w:t>
            </w:r>
          </w:p>
        </w:tc>
        <w:tc>
          <w:tcPr>
            <w:tcW w:w="0" w:type="auto"/>
            <w:vAlign w:val="center"/>
            <w:hideMark/>
          </w:tcPr>
          <w:p w14:paraId="3B03D5BA" w14:textId="77777777" w:rsidR="00DD52ED" w:rsidRPr="00DD52ED" w:rsidRDefault="00DD52ED" w:rsidP="00DD52ED">
            <w:pPr>
              <w:rPr>
                <w:b/>
                <w:bCs/>
                <w:lang w:val="en-US"/>
              </w:rPr>
            </w:pPr>
            <w:r w:rsidRPr="00DD52ED">
              <w:rPr>
                <w:b/>
                <w:bCs/>
                <w:lang w:val="en-US"/>
              </w:rPr>
              <w:t>Key Advantages / Inputs</w:t>
            </w:r>
          </w:p>
        </w:tc>
        <w:tc>
          <w:tcPr>
            <w:tcW w:w="0" w:type="auto"/>
            <w:vAlign w:val="center"/>
            <w:hideMark/>
          </w:tcPr>
          <w:p w14:paraId="1D2B1684" w14:textId="77777777" w:rsidR="00DD52ED" w:rsidRPr="00DD52ED" w:rsidRDefault="00DD52ED" w:rsidP="00DD52ED">
            <w:pPr>
              <w:rPr>
                <w:b/>
                <w:bCs/>
                <w:lang w:val="en-US"/>
              </w:rPr>
            </w:pPr>
            <w:r w:rsidRPr="00DD52ED">
              <w:rPr>
                <w:b/>
                <w:bCs/>
                <w:lang w:val="en-US"/>
              </w:rPr>
              <w:t>Impact on India Entry Strategy</w:t>
            </w:r>
          </w:p>
        </w:tc>
        <w:tc>
          <w:tcPr>
            <w:tcW w:w="0" w:type="auto"/>
            <w:vAlign w:val="center"/>
            <w:hideMark/>
          </w:tcPr>
          <w:p w14:paraId="190B868B" w14:textId="77777777" w:rsidR="00DD52ED" w:rsidRPr="00DD52ED" w:rsidRDefault="00DD52ED" w:rsidP="00DD52ED">
            <w:pPr>
              <w:rPr>
                <w:b/>
                <w:bCs/>
                <w:lang w:val="en-US"/>
              </w:rPr>
            </w:pPr>
            <w:r w:rsidRPr="00DD52ED">
              <w:rPr>
                <w:b/>
                <w:bCs/>
                <w:lang w:val="en-US"/>
              </w:rPr>
              <w:t>Score (1–10)</w:t>
            </w:r>
          </w:p>
        </w:tc>
      </w:tr>
      <w:tr w:rsidR="00DD52ED" w:rsidRPr="00DD52ED" w14:paraId="51F09F18" w14:textId="77777777" w:rsidTr="00DD52ED">
        <w:trPr>
          <w:tblCellSpacing w:w="15" w:type="dxa"/>
        </w:trPr>
        <w:tc>
          <w:tcPr>
            <w:tcW w:w="0" w:type="auto"/>
            <w:vAlign w:val="center"/>
            <w:hideMark/>
          </w:tcPr>
          <w:p w14:paraId="19B17D1C" w14:textId="77777777" w:rsidR="00DD52ED" w:rsidRPr="00DD52ED" w:rsidRDefault="00DD52ED" w:rsidP="00DD52ED">
            <w:pPr>
              <w:rPr>
                <w:b/>
                <w:bCs/>
                <w:lang w:val="en-US"/>
              </w:rPr>
            </w:pPr>
            <w:r w:rsidRPr="00DD52ED">
              <w:rPr>
                <w:b/>
                <w:bCs/>
                <w:lang w:val="en-US"/>
              </w:rPr>
              <w:t>Ownership</w:t>
            </w:r>
          </w:p>
        </w:tc>
        <w:tc>
          <w:tcPr>
            <w:tcW w:w="0" w:type="auto"/>
            <w:vAlign w:val="center"/>
            <w:hideMark/>
          </w:tcPr>
          <w:p w14:paraId="49195E3C" w14:textId="77777777" w:rsidR="00DD52ED" w:rsidRPr="00DD52ED" w:rsidRDefault="00DD52ED" w:rsidP="00DD52ED">
            <w:pPr>
              <w:rPr>
                <w:lang w:val="en-US"/>
              </w:rPr>
            </w:pPr>
            <w:r w:rsidRPr="00DD52ED">
              <w:rPr>
                <w:lang w:val="en-US"/>
              </w:rPr>
              <w:t>Brand equity, global network technology, financial strength, managerial expertise</w:t>
            </w:r>
          </w:p>
        </w:tc>
        <w:tc>
          <w:tcPr>
            <w:tcW w:w="0" w:type="auto"/>
            <w:vAlign w:val="center"/>
            <w:hideMark/>
          </w:tcPr>
          <w:p w14:paraId="6D40ED13" w14:textId="77777777" w:rsidR="00DD52ED" w:rsidRPr="00DD52ED" w:rsidRDefault="00DD52ED" w:rsidP="00DD52ED">
            <w:pPr>
              <w:rPr>
                <w:lang w:val="en-US"/>
              </w:rPr>
            </w:pPr>
            <w:r w:rsidRPr="00DD52ED">
              <w:rPr>
                <w:lang w:val="en-US"/>
              </w:rPr>
              <w:t>Enabled rapid acquisition, rollout of 4G/5G, and strong brand differentiation</w:t>
            </w:r>
          </w:p>
        </w:tc>
        <w:tc>
          <w:tcPr>
            <w:tcW w:w="0" w:type="auto"/>
            <w:vAlign w:val="center"/>
            <w:hideMark/>
          </w:tcPr>
          <w:p w14:paraId="6ED3E477" w14:textId="77777777" w:rsidR="00DD52ED" w:rsidRPr="00DD52ED" w:rsidRDefault="00DD52ED" w:rsidP="00DD52ED">
            <w:pPr>
              <w:rPr>
                <w:lang w:val="en-US"/>
              </w:rPr>
            </w:pPr>
            <w:r w:rsidRPr="00DD52ED">
              <w:rPr>
                <w:lang w:val="en-US"/>
              </w:rPr>
              <w:t>9</w:t>
            </w:r>
          </w:p>
        </w:tc>
      </w:tr>
      <w:tr w:rsidR="00DD52ED" w:rsidRPr="00DD52ED" w14:paraId="4D8BFAFE" w14:textId="77777777" w:rsidTr="00DD52ED">
        <w:trPr>
          <w:tblCellSpacing w:w="15" w:type="dxa"/>
        </w:trPr>
        <w:tc>
          <w:tcPr>
            <w:tcW w:w="0" w:type="auto"/>
            <w:vAlign w:val="center"/>
            <w:hideMark/>
          </w:tcPr>
          <w:p w14:paraId="17142AEC" w14:textId="77777777" w:rsidR="00DD52ED" w:rsidRPr="00DD52ED" w:rsidRDefault="00DD52ED" w:rsidP="00DD52ED">
            <w:pPr>
              <w:rPr>
                <w:b/>
                <w:bCs/>
                <w:lang w:val="en-US"/>
              </w:rPr>
            </w:pPr>
            <w:r w:rsidRPr="00DD52ED">
              <w:rPr>
                <w:b/>
                <w:bCs/>
                <w:lang w:val="en-US"/>
              </w:rPr>
              <w:t>Location</w:t>
            </w:r>
          </w:p>
        </w:tc>
        <w:tc>
          <w:tcPr>
            <w:tcW w:w="0" w:type="auto"/>
            <w:vAlign w:val="center"/>
            <w:hideMark/>
          </w:tcPr>
          <w:p w14:paraId="7BBF52FB" w14:textId="77777777" w:rsidR="00DD52ED" w:rsidRPr="00DD52ED" w:rsidRDefault="00DD52ED" w:rsidP="00DD52ED">
            <w:pPr>
              <w:rPr>
                <w:lang w:val="en-US"/>
              </w:rPr>
            </w:pPr>
            <w:r w:rsidRPr="00DD52ED">
              <w:rPr>
                <w:lang w:val="en-US"/>
              </w:rPr>
              <w:t>Large subscriber base, skilled labour, FDI liberalisation, fast digital adoption</w:t>
            </w:r>
          </w:p>
        </w:tc>
        <w:tc>
          <w:tcPr>
            <w:tcW w:w="0" w:type="auto"/>
            <w:vAlign w:val="center"/>
            <w:hideMark/>
          </w:tcPr>
          <w:p w14:paraId="75DF70AD" w14:textId="77777777" w:rsidR="00DD52ED" w:rsidRPr="00DD52ED" w:rsidRDefault="00DD52ED" w:rsidP="00DD52ED">
            <w:pPr>
              <w:rPr>
                <w:lang w:val="en-US"/>
              </w:rPr>
            </w:pPr>
            <w:r w:rsidRPr="00DD52ED">
              <w:rPr>
                <w:lang w:val="en-US"/>
              </w:rPr>
              <w:t>Justified major long-term investment and expansion in high-growth telecom market</w:t>
            </w:r>
          </w:p>
        </w:tc>
        <w:tc>
          <w:tcPr>
            <w:tcW w:w="0" w:type="auto"/>
            <w:vAlign w:val="center"/>
            <w:hideMark/>
          </w:tcPr>
          <w:p w14:paraId="17F282AE" w14:textId="77777777" w:rsidR="00DD52ED" w:rsidRPr="00DD52ED" w:rsidRDefault="00DD52ED" w:rsidP="00DD52ED">
            <w:pPr>
              <w:rPr>
                <w:lang w:val="en-US"/>
              </w:rPr>
            </w:pPr>
            <w:r w:rsidRPr="00DD52ED">
              <w:rPr>
                <w:lang w:val="en-US"/>
              </w:rPr>
              <w:t>8</w:t>
            </w:r>
          </w:p>
        </w:tc>
      </w:tr>
      <w:tr w:rsidR="00DD52ED" w:rsidRPr="00DD52ED" w14:paraId="21BDFB0E" w14:textId="77777777" w:rsidTr="00DD52ED">
        <w:trPr>
          <w:tblCellSpacing w:w="15" w:type="dxa"/>
        </w:trPr>
        <w:tc>
          <w:tcPr>
            <w:tcW w:w="0" w:type="auto"/>
            <w:vAlign w:val="center"/>
            <w:hideMark/>
          </w:tcPr>
          <w:p w14:paraId="0E28BB71" w14:textId="77777777" w:rsidR="00DD52ED" w:rsidRPr="00DD52ED" w:rsidRDefault="00DD52ED" w:rsidP="00DD52ED">
            <w:pPr>
              <w:rPr>
                <w:b/>
                <w:bCs/>
                <w:lang w:val="en-US"/>
              </w:rPr>
            </w:pPr>
            <w:r w:rsidRPr="00DD52ED">
              <w:rPr>
                <w:b/>
                <w:bCs/>
                <w:lang w:val="en-US"/>
              </w:rPr>
              <w:t>Internalisation</w:t>
            </w:r>
          </w:p>
        </w:tc>
        <w:tc>
          <w:tcPr>
            <w:tcW w:w="0" w:type="auto"/>
            <w:vAlign w:val="center"/>
            <w:hideMark/>
          </w:tcPr>
          <w:p w14:paraId="4BAB975F" w14:textId="77777777" w:rsidR="00DD52ED" w:rsidRPr="00DD52ED" w:rsidRDefault="00DD52ED" w:rsidP="00DD52ED">
            <w:pPr>
              <w:rPr>
                <w:lang w:val="en-US"/>
              </w:rPr>
            </w:pPr>
            <w:r w:rsidRPr="00DD52ED">
              <w:rPr>
                <w:lang w:val="en-US"/>
              </w:rPr>
              <w:t>Need for operational control, safeguarding of proprietary assets, global integration</w:t>
            </w:r>
          </w:p>
        </w:tc>
        <w:tc>
          <w:tcPr>
            <w:tcW w:w="0" w:type="auto"/>
            <w:vAlign w:val="center"/>
            <w:hideMark/>
          </w:tcPr>
          <w:p w14:paraId="10DAEFA1" w14:textId="77777777" w:rsidR="00DD52ED" w:rsidRPr="00DD52ED" w:rsidRDefault="00DD52ED" w:rsidP="00DD52ED">
            <w:pPr>
              <w:rPr>
                <w:lang w:val="en-US"/>
              </w:rPr>
            </w:pPr>
            <w:r w:rsidRPr="00DD52ED">
              <w:rPr>
                <w:lang w:val="en-US"/>
              </w:rPr>
              <w:t>Favoured full FDI through acquisition to ensure service quality and technology safety</w:t>
            </w:r>
          </w:p>
        </w:tc>
        <w:tc>
          <w:tcPr>
            <w:tcW w:w="0" w:type="auto"/>
            <w:vAlign w:val="center"/>
            <w:hideMark/>
          </w:tcPr>
          <w:p w14:paraId="3A27BE58" w14:textId="77777777" w:rsidR="00DD52ED" w:rsidRPr="00DD52ED" w:rsidRDefault="00DD52ED" w:rsidP="00DD52ED">
            <w:pPr>
              <w:rPr>
                <w:lang w:val="en-US"/>
              </w:rPr>
            </w:pPr>
            <w:r w:rsidRPr="00DD52ED">
              <w:rPr>
                <w:lang w:val="en-US"/>
              </w:rPr>
              <w:t>7</w:t>
            </w:r>
          </w:p>
        </w:tc>
      </w:tr>
    </w:tbl>
    <w:p w14:paraId="2C05B441" w14:textId="0E38E41F" w:rsidR="00DD52ED" w:rsidRDefault="00293997" w:rsidP="00C50FDB">
      <w:pPr>
        <w:spacing w:line="360" w:lineRule="auto"/>
      </w:pPr>
      <w:r>
        <w:rPr>
          <w:noProof/>
        </w:rPr>
        <w:drawing>
          <wp:inline distT="0" distB="0" distL="0" distR="0" wp14:anchorId="37942B17" wp14:editId="58C9B841">
            <wp:extent cx="5969000" cy="2806700"/>
            <wp:effectExtent l="0" t="0" r="12700" b="12700"/>
            <wp:docPr id="1" name="Chart 1">
              <a:extLst xmlns:a="http://schemas.openxmlformats.org/drawingml/2006/main">
                <a:ext uri="{FF2B5EF4-FFF2-40B4-BE49-F238E27FC236}">
                  <a16:creationId xmlns:a16="http://schemas.microsoft.com/office/drawing/2014/main" id="{F067955C-E57E-448E-B46E-84A8209C52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2E1255" w14:textId="5C93C552" w:rsidR="00D6655E" w:rsidRPr="006009BA" w:rsidRDefault="002F0AD8" w:rsidP="00C50FDB">
      <w:pPr>
        <w:spacing w:line="360" w:lineRule="auto"/>
      </w:pPr>
      <w:r>
        <w:t>This strategy made Vodafone a significant player in the market but exposed the company to local-regulatory tax and competitive risks, which finally brought about the merger with Idea Cellular in 2018 to attain the scale efficiencies and financial stability (Statista, 2024; Vodafone Annual Report, 2024).</w:t>
      </w:r>
    </w:p>
    <w:p w14:paraId="78823180" w14:textId="0791EA51" w:rsidR="00D6655E" w:rsidRPr="00D6655E" w:rsidRDefault="00D6655E" w:rsidP="00C50FDB">
      <w:pPr>
        <w:pStyle w:val="Heading1"/>
        <w:rPr>
          <w:rFonts w:eastAsia="Times New Roman"/>
          <w:lang w:val="en-US"/>
        </w:rPr>
      </w:pPr>
      <w:bookmarkStart w:id="12" w:name="_Toc213980497"/>
      <w:r w:rsidRPr="00D6655E">
        <w:rPr>
          <w:rFonts w:eastAsia="Times New Roman"/>
          <w:lang w:val="en-US"/>
        </w:rPr>
        <w:lastRenderedPageBreak/>
        <w:t>4. Cultural Differences between the UK and India and Their Impact on Vodafone’s Market Entry and Success</w:t>
      </w:r>
      <w:bookmarkEnd w:id="12"/>
      <w:r w:rsidRPr="00D6655E">
        <w:rPr>
          <w:rFonts w:eastAsia="Times New Roman"/>
          <w:lang w:val="en-US"/>
        </w:rPr>
        <w:t xml:space="preserve"> </w:t>
      </w:r>
    </w:p>
    <w:p w14:paraId="35B1E79F" w14:textId="77777777" w:rsidR="00D6655E" w:rsidRPr="00D6655E" w:rsidRDefault="00D6655E" w:rsidP="00C50FDB">
      <w:pPr>
        <w:pStyle w:val="Heading2"/>
      </w:pPr>
      <w:bookmarkStart w:id="13" w:name="_Toc213980498"/>
      <w:r w:rsidRPr="00D6655E">
        <w:t>a. Understanding Cultural Context through Hofstede’s Dimensions</w:t>
      </w:r>
      <w:bookmarkEnd w:id="13"/>
    </w:p>
    <w:p w14:paraId="050F9CCD" w14:textId="56B807B1" w:rsidR="00D6655E" w:rsidRPr="00D6655E" w:rsidRDefault="001867BD" w:rsidP="00C50FDB">
      <w:pPr>
        <w:spacing w:line="360" w:lineRule="auto"/>
        <w:rPr>
          <w:szCs w:val="24"/>
          <w:lang w:val="en-US"/>
        </w:rPr>
      </w:pPr>
      <w:r w:rsidRPr="001867BD">
        <w:rPr>
          <w:szCs w:val="24"/>
          <w:lang w:val="en-US"/>
        </w:rPr>
        <w:t>Hofstede's cultural framework is a useful lens for analysing the difference between the UK (Vodafone's home country) and India (the emerging economy) (Hofstede Insights, 2024). The UK has a low power distance, high individualism and a fairly low level of uncertainty avoidance. On the other hand, India has high power distance, moderate collectivism, and high uncertainty avoidance. Such contrasts have significant implications for how Vodafone is managed and how people are recruited and managed, and how the company communicates to the public.</w:t>
      </w:r>
    </w:p>
    <w:tbl>
      <w:tblPr>
        <w:tblW w:w="1028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97"/>
        <w:gridCol w:w="1708"/>
        <w:gridCol w:w="1606"/>
        <w:gridCol w:w="4875"/>
      </w:tblGrid>
      <w:tr w:rsidR="00D6655E" w:rsidRPr="00D6655E" w14:paraId="29E7F656" w14:textId="77777777" w:rsidTr="001867BD">
        <w:trPr>
          <w:trHeight w:val="1166"/>
          <w:tblHeader/>
          <w:tblCellSpacing w:w="15" w:type="dxa"/>
        </w:trPr>
        <w:tc>
          <w:tcPr>
            <w:tcW w:w="0" w:type="auto"/>
            <w:vAlign w:val="center"/>
            <w:hideMark/>
          </w:tcPr>
          <w:p w14:paraId="42FF1660" w14:textId="77777777" w:rsidR="00D6655E" w:rsidRPr="001867BD" w:rsidRDefault="00D6655E" w:rsidP="00C50FDB">
            <w:pPr>
              <w:spacing w:line="360" w:lineRule="auto"/>
              <w:rPr>
                <w:b/>
                <w:bCs/>
                <w:szCs w:val="24"/>
                <w:lang w:val="en-US"/>
              </w:rPr>
            </w:pPr>
            <w:r w:rsidRPr="001867BD">
              <w:rPr>
                <w:b/>
                <w:bCs/>
                <w:szCs w:val="24"/>
                <w:lang w:val="en-US"/>
              </w:rPr>
              <w:t>Hofstede’s Cultural Dimension</w:t>
            </w:r>
          </w:p>
        </w:tc>
        <w:tc>
          <w:tcPr>
            <w:tcW w:w="0" w:type="auto"/>
            <w:vAlign w:val="center"/>
            <w:hideMark/>
          </w:tcPr>
          <w:p w14:paraId="4F0A39AA" w14:textId="77777777" w:rsidR="00D6655E" w:rsidRPr="001867BD" w:rsidRDefault="00D6655E" w:rsidP="00C50FDB">
            <w:pPr>
              <w:spacing w:line="360" w:lineRule="auto"/>
              <w:rPr>
                <w:b/>
                <w:bCs/>
                <w:szCs w:val="24"/>
                <w:lang w:val="en-US"/>
              </w:rPr>
            </w:pPr>
            <w:r w:rsidRPr="001867BD">
              <w:rPr>
                <w:b/>
                <w:bCs/>
                <w:szCs w:val="24"/>
                <w:lang w:val="en-US"/>
              </w:rPr>
              <w:t>United Kingdom</w:t>
            </w:r>
          </w:p>
        </w:tc>
        <w:tc>
          <w:tcPr>
            <w:tcW w:w="0" w:type="auto"/>
            <w:vAlign w:val="center"/>
            <w:hideMark/>
          </w:tcPr>
          <w:p w14:paraId="565311F6" w14:textId="77777777" w:rsidR="00D6655E" w:rsidRPr="001867BD" w:rsidRDefault="00D6655E" w:rsidP="00C50FDB">
            <w:pPr>
              <w:spacing w:line="360" w:lineRule="auto"/>
              <w:rPr>
                <w:b/>
                <w:bCs/>
                <w:szCs w:val="24"/>
                <w:lang w:val="en-US"/>
              </w:rPr>
            </w:pPr>
            <w:r w:rsidRPr="001867BD">
              <w:rPr>
                <w:b/>
                <w:bCs/>
                <w:szCs w:val="24"/>
                <w:lang w:val="en-US"/>
              </w:rPr>
              <w:t>India</w:t>
            </w:r>
          </w:p>
        </w:tc>
        <w:tc>
          <w:tcPr>
            <w:tcW w:w="0" w:type="auto"/>
            <w:vAlign w:val="center"/>
            <w:hideMark/>
          </w:tcPr>
          <w:p w14:paraId="4BE4F716" w14:textId="77777777" w:rsidR="00D6655E" w:rsidRPr="001867BD" w:rsidRDefault="00D6655E" w:rsidP="00C50FDB">
            <w:pPr>
              <w:spacing w:line="360" w:lineRule="auto"/>
              <w:rPr>
                <w:b/>
                <w:bCs/>
                <w:szCs w:val="24"/>
                <w:lang w:val="en-US"/>
              </w:rPr>
            </w:pPr>
            <w:r w:rsidRPr="001867BD">
              <w:rPr>
                <w:b/>
                <w:bCs/>
                <w:szCs w:val="24"/>
                <w:lang w:val="en-US"/>
              </w:rPr>
              <w:t>Implications for Vodafone</w:t>
            </w:r>
          </w:p>
        </w:tc>
      </w:tr>
      <w:tr w:rsidR="00D6655E" w:rsidRPr="00D6655E" w14:paraId="02916838" w14:textId="77777777" w:rsidTr="001867BD">
        <w:trPr>
          <w:trHeight w:val="639"/>
          <w:tblCellSpacing w:w="15" w:type="dxa"/>
        </w:trPr>
        <w:tc>
          <w:tcPr>
            <w:tcW w:w="0" w:type="auto"/>
            <w:vAlign w:val="center"/>
            <w:hideMark/>
          </w:tcPr>
          <w:p w14:paraId="42E217EF" w14:textId="77777777" w:rsidR="00D6655E" w:rsidRPr="00D6655E" w:rsidRDefault="00D6655E" w:rsidP="00C50FDB">
            <w:pPr>
              <w:spacing w:line="360" w:lineRule="auto"/>
              <w:rPr>
                <w:szCs w:val="24"/>
                <w:lang w:val="en-US"/>
              </w:rPr>
            </w:pPr>
            <w:r w:rsidRPr="00D6655E">
              <w:rPr>
                <w:szCs w:val="24"/>
                <w:lang w:val="en-US"/>
              </w:rPr>
              <w:t>Power Distance</w:t>
            </w:r>
          </w:p>
        </w:tc>
        <w:tc>
          <w:tcPr>
            <w:tcW w:w="0" w:type="auto"/>
            <w:vAlign w:val="center"/>
            <w:hideMark/>
          </w:tcPr>
          <w:p w14:paraId="76BD0BBB" w14:textId="77777777" w:rsidR="00D6655E" w:rsidRPr="00D6655E" w:rsidRDefault="00D6655E" w:rsidP="00C50FDB">
            <w:pPr>
              <w:spacing w:line="360" w:lineRule="auto"/>
              <w:rPr>
                <w:szCs w:val="24"/>
                <w:lang w:val="en-US"/>
              </w:rPr>
            </w:pPr>
            <w:r w:rsidRPr="00D6655E">
              <w:rPr>
                <w:szCs w:val="24"/>
                <w:lang w:val="en-US"/>
              </w:rPr>
              <w:t>Low</w:t>
            </w:r>
          </w:p>
        </w:tc>
        <w:tc>
          <w:tcPr>
            <w:tcW w:w="0" w:type="auto"/>
            <w:vAlign w:val="center"/>
            <w:hideMark/>
          </w:tcPr>
          <w:p w14:paraId="4D77F1F4" w14:textId="77777777" w:rsidR="00D6655E" w:rsidRPr="00D6655E" w:rsidRDefault="00D6655E" w:rsidP="00C50FDB">
            <w:pPr>
              <w:spacing w:line="360" w:lineRule="auto"/>
              <w:rPr>
                <w:szCs w:val="24"/>
                <w:lang w:val="en-US"/>
              </w:rPr>
            </w:pPr>
            <w:r w:rsidRPr="00D6655E">
              <w:rPr>
                <w:szCs w:val="24"/>
                <w:lang w:val="en-US"/>
              </w:rPr>
              <w:t>High</w:t>
            </w:r>
          </w:p>
        </w:tc>
        <w:tc>
          <w:tcPr>
            <w:tcW w:w="0" w:type="auto"/>
            <w:vAlign w:val="center"/>
            <w:hideMark/>
          </w:tcPr>
          <w:p w14:paraId="0D8A0293" w14:textId="3685D947" w:rsidR="00D6655E" w:rsidRPr="00D6655E" w:rsidRDefault="00D6655E" w:rsidP="00C50FDB">
            <w:pPr>
              <w:spacing w:line="360" w:lineRule="auto"/>
              <w:rPr>
                <w:szCs w:val="24"/>
                <w:lang w:val="en-US"/>
              </w:rPr>
            </w:pPr>
            <w:r w:rsidRPr="00D6655E">
              <w:rPr>
                <w:szCs w:val="24"/>
                <w:lang w:val="en-US"/>
              </w:rPr>
              <w:t xml:space="preserve">Indian employees expect hierarchical authority; Vodafone needed to adapt </w:t>
            </w:r>
          </w:p>
        </w:tc>
      </w:tr>
      <w:tr w:rsidR="00D6655E" w:rsidRPr="00D6655E" w14:paraId="14B7368E" w14:textId="77777777" w:rsidTr="001867BD">
        <w:trPr>
          <w:trHeight w:val="1177"/>
          <w:tblCellSpacing w:w="15" w:type="dxa"/>
        </w:trPr>
        <w:tc>
          <w:tcPr>
            <w:tcW w:w="0" w:type="auto"/>
            <w:vAlign w:val="center"/>
            <w:hideMark/>
          </w:tcPr>
          <w:p w14:paraId="1F57E345" w14:textId="77777777" w:rsidR="00D6655E" w:rsidRPr="00D6655E" w:rsidRDefault="00D6655E" w:rsidP="00C50FDB">
            <w:pPr>
              <w:spacing w:line="360" w:lineRule="auto"/>
              <w:rPr>
                <w:szCs w:val="24"/>
                <w:lang w:val="en-US"/>
              </w:rPr>
            </w:pPr>
            <w:r w:rsidRPr="00D6655E">
              <w:rPr>
                <w:szCs w:val="24"/>
                <w:lang w:val="en-US"/>
              </w:rPr>
              <w:t>Individualism vs Collectivism</w:t>
            </w:r>
          </w:p>
        </w:tc>
        <w:tc>
          <w:tcPr>
            <w:tcW w:w="0" w:type="auto"/>
            <w:vAlign w:val="center"/>
            <w:hideMark/>
          </w:tcPr>
          <w:p w14:paraId="09B68705" w14:textId="77777777" w:rsidR="00D6655E" w:rsidRPr="00D6655E" w:rsidRDefault="00D6655E" w:rsidP="00C50FDB">
            <w:pPr>
              <w:spacing w:line="360" w:lineRule="auto"/>
              <w:rPr>
                <w:szCs w:val="24"/>
                <w:lang w:val="en-US"/>
              </w:rPr>
            </w:pPr>
            <w:r w:rsidRPr="00D6655E">
              <w:rPr>
                <w:szCs w:val="24"/>
                <w:lang w:val="en-US"/>
              </w:rPr>
              <w:t>Highly individualistic</w:t>
            </w:r>
          </w:p>
        </w:tc>
        <w:tc>
          <w:tcPr>
            <w:tcW w:w="0" w:type="auto"/>
            <w:vAlign w:val="center"/>
            <w:hideMark/>
          </w:tcPr>
          <w:p w14:paraId="3A6670BB" w14:textId="77777777" w:rsidR="00D6655E" w:rsidRPr="00D6655E" w:rsidRDefault="00D6655E" w:rsidP="00C50FDB">
            <w:pPr>
              <w:spacing w:line="360" w:lineRule="auto"/>
              <w:rPr>
                <w:szCs w:val="24"/>
                <w:lang w:val="en-US"/>
              </w:rPr>
            </w:pPr>
            <w:r w:rsidRPr="00D6655E">
              <w:rPr>
                <w:szCs w:val="24"/>
                <w:lang w:val="en-US"/>
              </w:rPr>
              <w:t>Moderately collectivist</w:t>
            </w:r>
          </w:p>
        </w:tc>
        <w:tc>
          <w:tcPr>
            <w:tcW w:w="0" w:type="auto"/>
            <w:vAlign w:val="center"/>
            <w:hideMark/>
          </w:tcPr>
          <w:p w14:paraId="06FF8C54" w14:textId="77777777" w:rsidR="00D6655E" w:rsidRPr="00D6655E" w:rsidRDefault="00D6655E" w:rsidP="00C50FDB">
            <w:pPr>
              <w:spacing w:line="360" w:lineRule="auto"/>
              <w:rPr>
                <w:szCs w:val="24"/>
                <w:lang w:val="en-US"/>
              </w:rPr>
            </w:pPr>
            <w:r w:rsidRPr="00D6655E">
              <w:rPr>
                <w:szCs w:val="24"/>
                <w:lang w:val="en-US"/>
              </w:rPr>
              <w:t>Marketing strategies had to emphasise family, community, and social value rather than individual achievement</w:t>
            </w:r>
          </w:p>
        </w:tc>
      </w:tr>
      <w:tr w:rsidR="00D6655E" w:rsidRPr="00D6655E" w14:paraId="5BBC6B7A" w14:textId="77777777" w:rsidTr="001867BD">
        <w:trPr>
          <w:trHeight w:val="1491"/>
          <w:tblCellSpacing w:w="15" w:type="dxa"/>
        </w:trPr>
        <w:tc>
          <w:tcPr>
            <w:tcW w:w="0" w:type="auto"/>
            <w:vAlign w:val="center"/>
            <w:hideMark/>
          </w:tcPr>
          <w:p w14:paraId="53B4965D" w14:textId="77777777" w:rsidR="00D6655E" w:rsidRPr="00D6655E" w:rsidRDefault="00D6655E" w:rsidP="00C50FDB">
            <w:pPr>
              <w:spacing w:line="360" w:lineRule="auto"/>
              <w:rPr>
                <w:szCs w:val="24"/>
                <w:lang w:val="en-US"/>
              </w:rPr>
            </w:pPr>
            <w:r w:rsidRPr="00D6655E">
              <w:rPr>
                <w:szCs w:val="24"/>
                <w:lang w:val="en-US"/>
              </w:rPr>
              <w:t>Uncertainty Avoidance</w:t>
            </w:r>
          </w:p>
        </w:tc>
        <w:tc>
          <w:tcPr>
            <w:tcW w:w="0" w:type="auto"/>
            <w:vAlign w:val="center"/>
            <w:hideMark/>
          </w:tcPr>
          <w:p w14:paraId="51F95124" w14:textId="77777777" w:rsidR="00D6655E" w:rsidRPr="00D6655E" w:rsidRDefault="00D6655E" w:rsidP="00C50FDB">
            <w:pPr>
              <w:spacing w:line="360" w:lineRule="auto"/>
              <w:rPr>
                <w:szCs w:val="24"/>
                <w:lang w:val="en-US"/>
              </w:rPr>
            </w:pPr>
            <w:r w:rsidRPr="00D6655E">
              <w:rPr>
                <w:szCs w:val="24"/>
                <w:lang w:val="en-US"/>
              </w:rPr>
              <w:t>Low</w:t>
            </w:r>
          </w:p>
        </w:tc>
        <w:tc>
          <w:tcPr>
            <w:tcW w:w="0" w:type="auto"/>
            <w:vAlign w:val="center"/>
            <w:hideMark/>
          </w:tcPr>
          <w:p w14:paraId="64AAA65F" w14:textId="77777777" w:rsidR="00D6655E" w:rsidRPr="00D6655E" w:rsidRDefault="00D6655E" w:rsidP="00C50FDB">
            <w:pPr>
              <w:spacing w:line="360" w:lineRule="auto"/>
              <w:rPr>
                <w:szCs w:val="24"/>
                <w:lang w:val="en-US"/>
              </w:rPr>
            </w:pPr>
            <w:r w:rsidRPr="00D6655E">
              <w:rPr>
                <w:szCs w:val="24"/>
                <w:lang w:val="en-US"/>
              </w:rPr>
              <w:t>High</w:t>
            </w:r>
          </w:p>
        </w:tc>
        <w:tc>
          <w:tcPr>
            <w:tcW w:w="0" w:type="auto"/>
            <w:vAlign w:val="center"/>
            <w:hideMark/>
          </w:tcPr>
          <w:p w14:paraId="01BD719E" w14:textId="77777777" w:rsidR="00D6655E" w:rsidRPr="00D6655E" w:rsidRDefault="00D6655E" w:rsidP="00C50FDB">
            <w:pPr>
              <w:spacing w:line="360" w:lineRule="auto"/>
              <w:rPr>
                <w:szCs w:val="24"/>
                <w:lang w:val="en-US"/>
              </w:rPr>
            </w:pPr>
            <w:r w:rsidRPr="00D6655E">
              <w:rPr>
                <w:szCs w:val="24"/>
                <w:lang w:val="en-US"/>
              </w:rPr>
              <w:t>Vodafone faced consumer scepticism towards contract models; prepaid systems were adopted to reduce perceived risk</w:t>
            </w:r>
          </w:p>
        </w:tc>
      </w:tr>
      <w:tr w:rsidR="00D6655E" w:rsidRPr="00D6655E" w14:paraId="2179FEA0" w14:textId="77777777" w:rsidTr="001867BD">
        <w:trPr>
          <w:trHeight w:val="1166"/>
          <w:tblCellSpacing w:w="15" w:type="dxa"/>
        </w:trPr>
        <w:tc>
          <w:tcPr>
            <w:tcW w:w="0" w:type="auto"/>
            <w:vAlign w:val="center"/>
            <w:hideMark/>
          </w:tcPr>
          <w:p w14:paraId="66740030" w14:textId="77777777" w:rsidR="00D6655E" w:rsidRPr="00D6655E" w:rsidRDefault="00D6655E" w:rsidP="00C50FDB">
            <w:pPr>
              <w:spacing w:line="360" w:lineRule="auto"/>
              <w:rPr>
                <w:szCs w:val="24"/>
                <w:lang w:val="en-US"/>
              </w:rPr>
            </w:pPr>
            <w:r w:rsidRPr="00D6655E">
              <w:rPr>
                <w:szCs w:val="24"/>
                <w:lang w:val="en-US"/>
              </w:rPr>
              <w:t>Long-Term Orientation</w:t>
            </w:r>
          </w:p>
        </w:tc>
        <w:tc>
          <w:tcPr>
            <w:tcW w:w="0" w:type="auto"/>
            <w:vAlign w:val="center"/>
            <w:hideMark/>
          </w:tcPr>
          <w:p w14:paraId="0B380C41" w14:textId="77777777" w:rsidR="00D6655E" w:rsidRPr="00D6655E" w:rsidRDefault="00D6655E" w:rsidP="00C50FDB">
            <w:pPr>
              <w:spacing w:line="360" w:lineRule="auto"/>
              <w:rPr>
                <w:szCs w:val="24"/>
                <w:lang w:val="en-US"/>
              </w:rPr>
            </w:pPr>
            <w:r w:rsidRPr="00D6655E">
              <w:rPr>
                <w:szCs w:val="24"/>
                <w:lang w:val="en-US"/>
              </w:rPr>
              <w:t>Moderate</w:t>
            </w:r>
          </w:p>
        </w:tc>
        <w:tc>
          <w:tcPr>
            <w:tcW w:w="0" w:type="auto"/>
            <w:vAlign w:val="center"/>
            <w:hideMark/>
          </w:tcPr>
          <w:p w14:paraId="003AD2CA" w14:textId="77777777" w:rsidR="00D6655E" w:rsidRPr="00D6655E" w:rsidRDefault="00D6655E" w:rsidP="00C50FDB">
            <w:pPr>
              <w:spacing w:line="360" w:lineRule="auto"/>
              <w:rPr>
                <w:szCs w:val="24"/>
                <w:lang w:val="en-US"/>
              </w:rPr>
            </w:pPr>
            <w:r w:rsidRPr="00D6655E">
              <w:rPr>
                <w:szCs w:val="24"/>
                <w:lang w:val="en-US"/>
              </w:rPr>
              <w:t>High</w:t>
            </w:r>
          </w:p>
        </w:tc>
        <w:tc>
          <w:tcPr>
            <w:tcW w:w="0" w:type="auto"/>
            <w:vAlign w:val="center"/>
            <w:hideMark/>
          </w:tcPr>
          <w:p w14:paraId="6BB53332" w14:textId="77777777" w:rsidR="00D6655E" w:rsidRPr="00D6655E" w:rsidRDefault="00D6655E" w:rsidP="00C50FDB">
            <w:pPr>
              <w:spacing w:line="360" w:lineRule="auto"/>
              <w:rPr>
                <w:szCs w:val="24"/>
                <w:lang w:val="en-US"/>
              </w:rPr>
            </w:pPr>
            <w:r w:rsidRPr="00D6655E">
              <w:rPr>
                <w:szCs w:val="24"/>
                <w:lang w:val="en-US"/>
              </w:rPr>
              <w:t>Vodafone adapted to a market valuing endurance and relationship-building over short-term gain</w:t>
            </w:r>
          </w:p>
        </w:tc>
      </w:tr>
      <w:tr w:rsidR="00D6655E" w:rsidRPr="00D6655E" w14:paraId="0676CDAB" w14:textId="77777777" w:rsidTr="001867BD">
        <w:trPr>
          <w:trHeight w:val="1481"/>
          <w:tblCellSpacing w:w="15" w:type="dxa"/>
        </w:trPr>
        <w:tc>
          <w:tcPr>
            <w:tcW w:w="0" w:type="auto"/>
            <w:vAlign w:val="center"/>
            <w:hideMark/>
          </w:tcPr>
          <w:p w14:paraId="602A12EB" w14:textId="77777777" w:rsidR="00D6655E" w:rsidRPr="00D6655E" w:rsidRDefault="00D6655E" w:rsidP="00C50FDB">
            <w:pPr>
              <w:spacing w:line="360" w:lineRule="auto"/>
              <w:rPr>
                <w:szCs w:val="24"/>
                <w:lang w:val="en-US"/>
              </w:rPr>
            </w:pPr>
            <w:r w:rsidRPr="00D6655E">
              <w:rPr>
                <w:szCs w:val="24"/>
                <w:lang w:val="en-US"/>
              </w:rPr>
              <w:lastRenderedPageBreak/>
              <w:t>Indulgence vs Restraint</w:t>
            </w:r>
          </w:p>
        </w:tc>
        <w:tc>
          <w:tcPr>
            <w:tcW w:w="0" w:type="auto"/>
            <w:vAlign w:val="center"/>
            <w:hideMark/>
          </w:tcPr>
          <w:p w14:paraId="4924B68F" w14:textId="77777777" w:rsidR="00D6655E" w:rsidRPr="00D6655E" w:rsidRDefault="00D6655E" w:rsidP="00C50FDB">
            <w:pPr>
              <w:spacing w:line="360" w:lineRule="auto"/>
              <w:rPr>
                <w:szCs w:val="24"/>
                <w:lang w:val="en-US"/>
              </w:rPr>
            </w:pPr>
            <w:r w:rsidRPr="00D6655E">
              <w:rPr>
                <w:szCs w:val="24"/>
                <w:lang w:val="en-US"/>
              </w:rPr>
              <w:t>High indulgence</w:t>
            </w:r>
          </w:p>
        </w:tc>
        <w:tc>
          <w:tcPr>
            <w:tcW w:w="0" w:type="auto"/>
            <w:vAlign w:val="center"/>
            <w:hideMark/>
          </w:tcPr>
          <w:p w14:paraId="207C6916" w14:textId="77777777" w:rsidR="00D6655E" w:rsidRPr="00D6655E" w:rsidRDefault="00D6655E" w:rsidP="00C50FDB">
            <w:pPr>
              <w:spacing w:line="360" w:lineRule="auto"/>
              <w:rPr>
                <w:szCs w:val="24"/>
                <w:lang w:val="en-US"/>
              </w:rPr>
            </w:pPr>
            <w:r w:rsidRPr="00D6655E">
              <w:rPr>
                <w:szCs w:val="24"/>
                <w:lang w:val="en-US"/>
              </w:rPr>
              <w:t>Moderate restraint</w:t>
            </w:r>
          </w:p>
        </w:tc>
        <w:tc>
          <w:tcPr>
            <w:tcW w:w="0" w:type="auto"/>
            <w:vAlign w:val="center"/>
            <w:hideMark/>
          </w:tcPr>
          <w:p w14:paraId="5FD8425D" w14:textId="77777777" w:rsidR="00D6655E" w:rsidRPr="00D6655E" w:rsidRDefault="00D6655E" w:rsidP="00C50FDB">
            <w:pPr>
              <w:spacing w:line="360" w:lineRule="auto"/>
              <w:rPr>
                <w:szCs w:val="24"/>
                <w:lang w:val="en-US"/>
              </w:rPr>
            </w:pPr>
            <w:r w:rsidRPr="00D6655E">
              <w:rPr>
                <w:szCs w:val="24"/>
                <w:lang w:val="en-US"/>
              </w:rPr>
              <w:t>Vodafone promoted affordable leisure (data entertainment, music, video) appealing to emerging middle-class desires</w:t>
            </w:r>
          </w:p>
        </w:tc>
      </w:tr>
    </w:tbl>
    <w:p w14:paraId="16BCD178" w14:textId="77777777" w:rsidR="00D6655E" w:rsidRPr="00D6655E" w:rsidRDefault="00D6655E" w:rsidP="00C50FDB">
      <w:pPr>
        <w:pStyle w:val="Heading2"/>
      </w:pPr>
      <w:bookmarkStart w:id="14" w:name="_Toc213980499"/>
      <w:r w:rsidRPr="00D6655E">
        <w:t>b. Cultural Implications for Market Entry Strategy</w:t>
      </w:r>
      <w:bookmarkEnd w:id="14"/>
    </w:p>
    <w:p w14:paraId="29A97385" w14:textId="77777777" w:rsidR="00853E20" w:rsidRPr="00853E20" w:rsidRDefault="00853E20" w:rsidP="00C50FDB">
      <w:pPr>
        <w:spacing w:line="360" w:lineRule="auto"/>
        <w:rPr>
          <w:szCs w:val="24"/>
          <w:lang w:val="en-US"/>
        </w:rPr>
      </w:pPr>
      <w:r w:rsidRPr="00853E20">
        <w:rPr>
          <w:szCs w:val="24"/>
          <w:lang w:val="en-US"/>
        </w:rPr>
        <w:t>When Vodafone entered India in 2007 through the purchase of Hutchison Essar, cultural integration became one of the major challenges. British corporate culture places a high emphasis on direct communication, punctuality of time, and low-context communication (Meyer, 2014). In contrast, Indian business culture is more relationship oriented and emphasizes much on trust and informal networks ("jugaad. Vodafone had initially struggled to establish rapport with local partners, regulators and suppliers as a result of different norms of communication.</w:t>
      </w:r>
    </w:p>
    <w:p w14:paraId="64C18590" w14:textId="77777777" w:rsidR="00853E20" w:rsidRPr="00853E20" w:rsidRDefault="00853E20" w:rsidP="00C50FDB">
      <w:pPr>
        <w:spacing w:line="360" w:lineRule="auto"/>
        <w:rPr>
          <w:szCs w:val="24"/>
          <w:lang w:val="en-US"/>
        </w:rPr>
      </w:pPr>
      <w:r w:rsidRPr="00853E20">
        <w:rPr>
          <w:szCs w:val="24"/>
          <w:lang w:val="en-US"/>
        </w:rPr>
        <w:t>Vodafone's marketing campaigns subsequently achieved successful integration of Indian cultural motifs - for instance, the "ZooZoo" advertising campaigns which cleverly managed to enthuse humour without any linguistic barriers, appealed to the varied population of India (The Economic Times, 2023. The ability to localise content to maintain a global brand consistency became the key to Vodafone's success.</w:t>
      </w:r>
    </w:p>
    <w:p w14:paraId="0D3F9599" w14:textId="77777777" w:rsidR="00D6655E" w:rsidRPr="00D6655E" w:rsidRDefault="00D6655E" w:rsidP="00C50FDB">
      <w:pPr>
        <w:pStyle w:val="Heading2"/>
      </w:pPr>
      <w:bookmarkStart w:id="15" w:name="_Toc213980500"/>
      <w:r w:rsidRPr="00D6655E">
        <w:t>c. HR and Organisational Culture Challenges</w:t>
      </w:r>
      <w:bookmarkEnd w:id="15"/>
    </w:p>
    <w:p w14:paraId="0DAA293D" w14:textId="77777777" w:rsidR="00853E20" w:rsidRPr="00853E20" w:rsidRDefault="00853E20" w:rsidP="00C50FDB">
      <w:pPr>
        <w:spacing w:line="360" w:lineRule="auto"/>
        <w:rPr>
          <w:szCs w:val="24"/>
          <w:lang w:val="en-US"/>
        </w:rPr>
      </w:pPr>
      <w:r w:rsidRPr="00853E20">
        <w:rPr>
          <w:szCs w:val="24"/>
          <w:lang w:val="en-US"/>
        </w:rPr>
        <w:t xml:space="preserve">Human resource management is one other area where cultural distance had an effect on Vodafone's operations. The company at first followed standardised HR models used in Europe - performance-based incentives and meritocracy. However, in India, job security, recognition, and group belonging were appreciated by employees (Singh &amp; Gupta, 2022). Vodafone's subsequent HR reforms - including better welfare benefits and training </w:t>
      </w:r>
      <w:r w:rsidRPr="00853E20">
        <w:rPr>
          <w:szCs w:val="24"/>
          <w:lang w:val="en-US"/>
        </w:rPr>
        <w:lastRenderedPageBreak/>
        <w:t>opportunities as well as community engagement programs - contributed to better retention and morale.</w:t>
      </w:r>
    </w:p>
    <w:p w14:paraId="42411D3A" w14:textId="0265516D" w:rsidR="00D6655E" w:rsidRPr="00D6655E" w:rsidRDefault="00853E20" w:rsidP="00C50FDB">
      <w:pPr>
        <w:spacing w:line="360" w:lineRule="auto"/>
        <w:rPr>
          <w:szCs w:val="24"/>
          <w:lang w:val="en-US"/>
        </w:rPr>
      </w:pPr>
      <w:r w:rsidRPr="00853E20">
        <w:rPr>
          <w:szCs w:val="24"/>
          <w:lang w:val="en-US"/>
        </w:rPr>
        <w:t>Cross-cultural communication training also became an important HR practice. Managers from the UK were oriented in Indian negotiation etiquette, religious sensitivities and social customs. Local employees were enabled to be involved in decision-making to lessen the power distance gap.</w:t>
      </w:r>
    </w:p>
    <w:p w14:paraId="570B14F5" w14:textId="77777777" w:rsidR="00D6655E" w:rsidRPr="00D6655E" w:rsidRDefault="00D6655E" w:rsidP="00C50FDB">
      <w:pPr>
        <w:pStyle w:val="Heading2"/>
      </w:pPr>
      <w:bookmarkStart w:id="16" w:name="_Toc213980501"/>
      <w:r w:rsidRPr="00D6655E">
        <w:t>d. Marketing and Consumer Behavioural Aspects</w:t>
      </w:r>
      <w:bookmarkEnd w:id="16"/>
    </w:p>
    <w:p w14:paraId="1899FA21" w14:textId="77777777" w:rsidR="00853E20" w:rsidRPr="00853E20" w:rsidRDefault="00853E20" w:rsidP="00C50FDB">
      <w:pPr>
        <w:spacing w:line="360" w:lineRule="auto"/>
        <w:rPr>
          <w:szCs w:val="24"/>
          <w:lang w:val="en-US"/>
        </w:rPr>
      </w:pPr>
      <w:r w:rsidRPr="00853E20">
        <w:rPr>
          <w:szCs w:val="24"/>
          <w:lang w:val="en-US"/>
        </w:rPr>
        <w:t>The British consumers buying power, price sensitivity and brand loyalty is very different when compared to Indian consumers. The initial pricing strategy adopted by Vodafone following European models could not sustain in the price-cutoff telecommunication industry of India which was dominated by Airtel and Reliance Jio. Seeing this, Vodafone changed its strategy to value-based approach by including inexpensive data plans with entertainment, which fits the Indian collectivist and cost-focused culture (Statista, 2024).</w:t>
      </w:r>
    </w:p>
    <w:p w14:paraId="4AEAFE49" w14:textId="3DDC465E" w:rsidR="00D6655E" w:rsidRPr="00D6655E" w:rsidRDefault="00853E20" w:rsidP="00C50FDB">
      <w:pPr>
        <w:spacing w:line="360" w:lineRule="auto"/>
        <w:rPr>
          <w:szCs w:val="24"/>
          <w:lang w:val="en-US"/>
        </w:rPr>
      </w:pPr>
      <w:r w:rsidRPr="00853E20">
        <w:rPr>
          <w:szCs w:val="24"/>
          <w:lang w:val="en-US"/>
        </w:rPr>
        <w:t>Also, the consumer behaviour is strongly shaped by religious festivals and social events. Vodafone organized promotional campaigns in Diwali, Eid, and Holi by relating its brand to emotional as well as cultural touchpoints. That trust and brand recall were built on cultural sensitivity</w:t>
      </w:r>
      <w:r w:rsidR="00D6655E" w:rsidRPr="00D6655E">
        <w:rPr>
          <w:szCs w:val="24"/>
          <w:lang w:val="en-US"/>
        </w:rPr>
        <w:t>.</w:t>
      </w:r>
    </w:p>
    <w:p w14:paraId="342A09FE" w14:textId="77777777" w:rsidR="00D6655E" w:rsidRPr="00D6655E" w:rsidRDefault="00D6655E" w:rsidP="00C50FDB">
      <w:pPr>
        <w:pStyle w:val="Heading2"/>
      </w:pPr>
      <w:bookmarkStart w:id="17" w:name="_Toc213980502"/>
      <w:r w:rsidRPr="00D6655E">
        <w:t>e. Impact of Cultural Factors on Success Potential</w:t>
      </w:r>
      <w:bookmarkEnd w:id="17"/>
    </w:p>
    <w:p w14:paraId="3C322867" w14:textId="485E8327" w:rsidR="00D6655E" w:rsidRDefault="00556598" w:rsidP="00D860FD">
      <w:pPr>
        <w:spacing w:line="360" w:lineRule="auto"/>
        <w:rPr>
          <w:szCs w:val="24"/>
          <w:lang w:val="en-US"/>
        </w:rPr>
      </w:pPr>
      <w:r w:rsidRPr="00556598">
        <w:rPr>
          <w:szCs w:val="24"/>
          <w:lang w:val="en-US"/>
        </w:rPr>
        <w:t>Vodafone's India success has been a mixed bag - it's got the brand and the network in the right place, has had the financial ties yanked and has been belittled by both the rules and the competition. Cultural adaptability is one of the factors that determines its resilience.</w:t>
      </w:r>
      <w:r>
        <w:rPr>
          <w:szCs w:val="24"/>
          <w:lang w:val="en-US"/>
        </w:rPr>
        <w:t xml:space="preserve"> </w:t>
      </w:r>
      <w:r w:rsidRPr="00556598">
        <w:rPr>
          <w:szCs w:val="24"/>
          <w:lang w:val="en-US"/>
        </w:rPr>
        <w:t>Marketing</w:t>
      </w:r>
      <w:r>
        <w:rPr>
          <w:szCs w:val="24"/>
          <w:lang w:val="en-US"/>
        </w:rPr>
        <w:t xml:space="preserve"> </w:t>
      </w:r>
      <w:r w:rsidRPr="00556598">
        <w:rPr>
          <w:szCs w:val="24"/>
          <w:lang w:val="en-US"/>
        </w:rPr>
        <w:t xml:space="preserve">localisation, </w:t>
      </w:r>
      <w:r>
        <w:rPr>
          <w:szCs w:val="24"/>
          <w:lang w:val="en-US"/>
        </w:rPr>
        <w:t xml:space="preserve">decentralizing </w:t>
      </w:r>
      <w:r w:rsidRPr="00556598">
        <w:rPr>
          <w:szCs w:val="24"/>
          <w:lang w:val="en-US"/>
        </w:rPr>
        <w:t>HR and deference to hierarchical nuances made the company a trusted global, yet local brand. However, persistent cultural misalignments in the way the bureaucracy handles things, long-term relationships, and pricing strategies continue to give a test to its strategic flexibility (PwC India, 2023)</w:t>
      </w:r>
      <w:r w:rsidR="00D6655E" w:rsidRPr="00D6655E">
        <w:rPr>
          <w:szCs w:val="24"/>
          <w:lang w:val="en-US"/>
        </w:rPr>
        <w:t>.</w:t>
      </w:r>
    </w:p>
    <w:p w14:paraId="6CDA4303" w14:textId="3C4CE829" w:rsidR="00CF345D" w:rsidRDefault="00CF345D" w:rsidP="00D860FD">
      <w:pPr>
        <w:spacing w:line="360" w:lineRule="auto"/>
        <w:rPr>
          <w:szCs w:val="24"/>
          <w:lang w:val="en-US"/>
        </w:rPr>
      </w:pPr>
    </w:p>
    <w:p w14:paraId="6D733D97" w14:textId="546F2382" w:rsidR="00CF345D" w:rsidRDefault="00CF345D" w:rsidP="00D860FD">
      <w:pPr>
        <w:spacing w:line="360" w:lineRule="auto"/>
        <w:rPr>
          <w:szCs w:val="24"/>
          <w:lang w:val="en-US"/>
        </w:rPr>
      </w:pPr>
      <w:r>
        <w:rPr>
          <w:noProof/>
          <w:szCs w:val="24"/>
          <w:lang w:val="en-US"/>
        </w:rPr>
        <w:lastRenderedPageBreak/>
        <mc:AlternateContent>
          <mc:Choice Requires="wps">
            <w:drawing>
              <wp:anchor distT="0" distB="0" distL="114300" distR="114300" simplePos="0" relativeHeight="251660288" behindDoc="0" locked="0" layoutInCell="1" allowOverlap="1" wp14:anchorId="46B220E5" wp14:editId="67DCCC3D">
                <wp:simplePos x="0" y="0"/>
                <wp:positionH relativeFrom="column">
                  <wp:posOffset>-88900</wp:posOffset>
                </wp:positionH>
                <wp:positionV relativeFrom="paragraph">
                  <wp:posOffset>-412750</wp:posOffset>
                </wp:positionV>
                <wp:extent cx="5867400" cy="1765300"/>
                <wp:effectExtent l="0" t="0" r="0" b="6350"/>
                <wp:wrapNone/>
                <wp:docPr id="3" name="Text Box 3"/>
                <wp:cNvGraphicFramePr/>
                <a:graphic xmlns:a="http://schemas.openxmlformats.org/drawingml/2006/main">
                  <a:graphicData uri="http://schemas.microsoft.com/office/word/2010/wordprocessingShape">
                    <wps:wsp>
                      <wps:cNvSpPr txBox="1"/>
                      <wps:spPr>
                        <a:xfrm>
                          <a:off x="0" y="0"/>
                          <a:ext cx="5867400" cy="1765300"/>
                        </a:xfrm>
                        <a:prstGeom prst="rect">
                          <a:avLst/>
                        </a:prstGeom>
                        <a:noFill/>
                        <a:ln w="6350">
                          <a:noFill/>
                        </a:ln>
                      </wps:spPr>
                      <wps:txbx>
                        <w:txbxContent>
                          <w:p w14:paraId="60AE90D3" w14:textId="5CCA326C" w:rsidR="00CF345D" w:rsidRDefault="00CF345D">
                            <w:r>
                              <w:rPr>
                                <w:noProof/>
                              </w:rPr>
                              <w:drawing>
                                <wp:inline distT="0" distB="0" distL="0" distR="0" wp14:anchorId="53FD3EE9" wp14:editId="287A4D82">
                                  <wp:extent cx="3759200" cy="1454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3759200" cy="14541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6B220E5" id="_x0000_t202" coordsize="21600,21600" o:spt="202" path="m,l,21600r21600,l21600,xe">
                <v:stroke joinstyle="miter"/>
                <v:path gradientshapeok="t" o:connecttype="rect"/>
              </v:shapetype>
              <v:shape id="Text Box 3" o:spid="_x0000_s1026" type="#_x0000_t202" style="position:absolute;left:0;text-align:left;margin-left:-7pt;margin-top:-32.5pt;width:462pt;height:13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" filled="f" stroked="f" strokeweight=".5pt">
                <v:textbox>
                  <w:txbxContent>
                    <w:p w14:paraId="60AE90D3" w14:textId="5CCA326C" w:rsidR="00CF345D" w:rsidRDefault="00CF345D">
                      <w:r>
                        <w:rPr>
                          <w:noProof/>
                        </w:rPr>
                        <w:drawing>
                          <wp:inline distT="0" distB="0" distL="0" distR="0" wp14:anchorId="53FD3EE9" wp14:editId="287A4D82">
                            <wp:extent cx="3759200" cy="1454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3759200" cy="1454150"/>
                                    </a:xfrm>
                                    <a:prstGeom prst="rect">
                                      <a:avLst/>
                                    </a:prstGeom>
                                  </pic:spPr>
                                </pic:pic>
                              </a:graphicData>
                            </a:graphic>
                          </wp:inline>
                        </w:drawing>
                      </w:r>
                    </w:p>
                  </w:txbxContent>
                </v:textbox>
              </v:shape>
            </w:pict>
          </mc:Fallback>
        </mc:AlternateContent>
      </w:r>
    </w:p>
    <w:p w14:paraId="46FD381C" w14:textId="7B5E6DC0" w:rsidR="00CF345D" w:rsidRDefault="00CF345D" w:rsidP="00D860FD">
      <w:pPr>
        <w:spacing w:line="360" w:lineRule="auto"/>
        <w:rPr>
          <w:szCs w:val="24"/>
          <w:lang w:val="en-US"/>
        </w:rPr>
      </w:pPr>
    </w:p>
    <w:p w14:paraId="70A547F2" w14:textId="0FC61005" w:rsidR="00CF345D" w:rsidRDefault="00CF345D" w:rsidP="00D860FD">
      <w:pPr>
        <w:spacing w:line="360" w:lineRule="auto"/>
        <w:rPr>
          <w:szCs w:val="24"/>
          <w:lang w:val="en-US"/>
        </w:rPr>
      </w:pPr>
    </w:p>
    <w:p w14:paraId="562D57FB" w14:textId="1951F43C" w:rsidR="00CF345D" w:rsidRPr="00D860FD" w:rsidRDefault="00CF345D" w:rsidP="00CF345D">
      <w:pPr>
        <w:spacing w:line="360" w:lineRule="auto"/>
        <w:rPr>
          <w:lang w:val="en-US"/>
        </w:rPr>
      </w:pPr>
      <w:r w:rsidRPr="00CF345D">
        <w:rPr>
          <w:lang w:val="en-US"/>
        </w:rPr>
        <w:t>Cultural Factors of Entrepreneurship.</w:t>
      </w:r>
      <w:r>
        <w:rPr>
          <w:lang w:val="en-US"/>
        </w:rPr>
        <w:t xml:space="preserve"> </w:t>
      </w:r>
      <w:r w:rsidRPr="00CF345D">
        <w:rPr>
          <w:lang w:val="en-US"/>
        </w:rPr>
        <w:t>From Faster</w:t>
      </w:r>
      <w:r>
        <w:rPr>
          <w:lang w:val="en-US"/>
        </w:rPr>
        <w:t xml:space="preserve"> </w:t>
      </w:r>
      <w:r w:rsidRPr="00CF345D">
        <w:rPr>
          <w:lang w:val="en-US"/>
        </w:rPr>
        <w:t>Capital.</w:t>
      </w:r>
      <w:r>
        <w:rPr>
          <w:lang w:val="en-US"/>
        </w:rPr>
        <w:t xml:space="preserve"> </w:t>
      </w:r>
      <w:r w:rsidRPr="00CF345D">
        <w:rPr>
          <w:lang w:val="en-US"/>
        </w:rPr>
        <w:t>Retrieved November 19, 2025,</w:t>
      </w:r>
      <w:r>
        <w:rPr>
          <w:lang w:val="en-US"/>
        </w:rPr>
        <w:t xml:space="preserve"> </w:t>
      </w:r>
      <w:r w:rsidRPr="00CF345D">
        <w:rPr>
          <w:lang w:val="en-US"/>
        </w:rPr>
        <w:t>F</w:t>
      </w:r>
      <w:r w:rsidRPr="00CF345D">
        <w:rPr>
          <w:lang w:val="en-US"/>
        </w:rPr>
        <w:t>rom</w:t>
      </w:r>
      <w:r>
        <w:rPr>
          <w:lang w:val="en-US"/>
        </w:rPr>
        <w:t xml:space="preserve"> </w:t>
      </w:r>
      <w:hyperlink r:id="rId14" w:history="1">
        <w:r w:rsidRPr="00DB3027">
          <w:rPr>
            <w:rStyle w:val="Hyperlink"/>
            <w:lang w:val="en-US"/>
          </w:rPr>
          <w:t>https://fastercapital.com</w:t>
        </w:r>
      </w:hyperlink>
    </w:p>
    <w:p w14:paraId="14B9B907" w14:textId="21A41008" w:rsidR="00402895" w:rsidRPr="00402895" w:rsidRDefault="00402895" w:rsidP="00C50FDB">
      <w:pPr>
        <w:pStyle w:val="Heading1"/>
      </w:pPr>
      <w:bookmarkStart w:id="18" w:name="_Toc213980503"/>
      <w:r w:rsidRPr="00402895">
        <w:rPr>
          <w:rStyle w:val="Strong"/>
          <w:b/>
          <w:bCs w:val="0"/>
        </w:rPr>
        <w:t>5. Recommended SOP Adjustments for Success in India</w:t>
      </w:r>
      <w:bookmarkEnd w:id="18"/>
      <w:r w:rsidRPr="00402895">
        <w:rPr>
          <w:rStyle w:val="Strong"/>
          <w:b/>
          <w:bCs w:val="0"/>
        </w:rPr>
        <w:t xml:space="preserve"> </w:t>
      </w:r>
    </w:p>
    <w:p w14:paraId="647D8C47" w14:textId="345CE137" w:rsidR="00402895" w:rsidRPr="00402895" w:rsidRDefault="00402895" w:rsidP="00C50FDB">
      <w:pPr>
        <w:spacing w:line="360" w:lineRule="auto"/>
        <w:rPr>
          <w:rFonts w:cs="Arial"/>
          <w:szCs w:val="24"/>
        </w:rPr>
      </w:pPr>
      <w:r w:rsidRPr="00402895">
        <w:rPr>
          <w:rFonts w:cs="Arial"/>
          <w:szCs w:val="24"/>
        </w:rPr>
        <w:t>The long-term success of multinational corporations (MNCs) like Vodafone Group plc, however, is dependent not only on the effectiveness of their international entry strategies, but also on their ability to adapt operational processes to the socio-cultural and regulatory and market realities of the host country on a continuous basis. Standard Operating Procedures (SOPs) provide a basis for ensuring consistency, efficiency and risk minimization. However, SOPs developed for high-income markets such as the United Kingdom may fail to completely cover the complexity and uncertainties of emerging economies such as India. Therefore, a strategic reformulation of the SOP framework is needed in Vodafone, in order to include elements of localisation of decision-making, cultural changes, workforce strengthening, and innovation specific to the markets. These recommendations are based on the OLI-framework (Dunning 1988), cross cultural theories (Hofstede, 2011), and the digital and regulatory context of India.</w:t>
      </w:r>
    </w:p>
    <w:p w14:paraId="3F7B798D" w14:textId="77777777" w:rsidR="00402895" w:rsidRPr="00402895" w:rsidRDefault="00402895" w:rsidP="00C50FDB">
      <w:pPr>
        <w:pStyle w:val="Heading2"/>
      </w:pPr>
      <w:bookmarkStart w:id="19" w:name="_Toc213980504"/>
      <w:r w:rsidRPr="00402895">
        <w:rPr>
          <w:rStyle w:val="Strong"/>
          <w:rFonts w:cs="Arial"/>
          <w:b/>
          <w:bCs/>
          <w:sz w:val="24"/>
          <w:szCs w:val="24"/>
        </w:rPr>
        <w:t>a. SOP Adjustment 1: Localised Decision-Making and Governance Framework</w:t>
      </w:r>
      <w:bookmarkEnd w:id="19"/>
    </w:p>
    <w:p w14:paraId="6F827A80" w14:textId="77777777" w:rsidR="00402895" w:rsidRPr="00402895" w:rsidRDefault="00402895" w:rsidP="00C50FDB">
      <w:pPr>
        <w:spacing w:line="360" w:lineRule="auto"/>
        <w:rPr>
          <w:rFonts w:cs="Arial"/>
          <w:szCs w:val="24"/>
        </w:rPr>
      </w:pPr>
      <w:r w:rsidRPr="00402895">
        <w:rPr>
          <w:rFonts w:cs="Arial"/>
          <w:szCs w:val="24"/>
        </w:rPr>
        <w:t xml:space="preserve">A significant equivalent in operating within emerging markets represents a major operating challenge for MNCs: on the one hand, global standardization, and on the other, local responsiveness (Bartlett &amp; Ghoshal, 1989). Vodafone's existing SOPs ensure a large degree of strategic control at the UK head office. While this ensures consistency of the brand and compliance with the laws of the two countries simultaneously, it severely limits the company's abilities to be quick in responding to the rapidly evolving telecom scenario in India. This unagility has so far affected Vodafone's performance especially in </w:t>
      </w:r>
      <w:r w:rsidRPr="00402895">
        <w:rPr>
          <w:rFonts w:cs="Arial"/>
          <w:szCs w:val="24"/>
        </w:rPr>
        <w:lastRenderedPageBreak/>
        <w:t>situations like the sudden change in spectrum pricing, or major pricing disruptions due to its competitors like Reliance Jio (Statista, 2024).</w:t>
      </w:r>
    </w:p>
    <w:p w14:paraId="7BA2674C" w14:textId="77777777" w:rsidR="00402895" w:rsidRPr="00402895" w:rsidRDefault="00402895" w:rsidP="00C50FDB">
      <w:pPr>
        <w:spacing w:line="360" w:lineRule="auto"/>
        <w:rPr>
          <w:rFonts w:cs="Arial"/>
          <w:szCs w:val="24"/>
        </w:rPr>
      </w:pPr>
      <w:r w:rsidRPr="00402895">
        <w:rPr>
          <w:rFonts w:cs="Arial"/>
          <w:szCs w:val="24"/>
        </w:rPr>
        <w:t>To meet this need, Vodafone should where possible implement localized decision-making in its SOP framework that enables its regional leadership teams to make operational decisions swiftly. This can be done by having Local Business Councils (LBCs) consisting of Indian executives, regulatory analysts, digital strategy specialists, and consumer behaviour. These councils would track trends, assess changes in competitiveness and recommend short-term responses without the lengthy approvals of London needed.</w:t>
      </w:r>
    </w:p>
    <w:p w14:paraId="2061D6E8" w14:textId="77777777" w:rsidR="00402895" w:rsidRPr="00402895" w:rsidRDefault="00402895" w:rsidP="00C50FDB">
      <w:pPr>
        <w:spacing w:line="360" w:lineRule="auto"/>
        <w:rPr>
          <w:rFonts w:cs="Arial"/>
          <w:szCs w:val="24"/>
        </w:rPr>
      </w:pPr>
      <w:r w:rsidRPr="00402895">
        <w:rPr>
          <w:rFonts w:cs="Arial"/>
          <w:szCs w:val="24"/>
        </w:rPr>
        <w:t>This adjustment is consistent with the Internalisation (I) dimension of the OLI model which stresses the efficiency benefits of internal co-ordination, particularly when quick responses are needed on the market (Dunning &amp; Lundan, 2008). By distributing the authority of operations, but with strategic control remaining at headquarters, Vodafone balances agility and global consistency.</w:t>
      </w:r>
    </w:p>
    <w:p w14:paraId="647E4557" w14:textId="77777777" w:rsidR="00402895" w:rsidRPr="00402895" w:rsidRDefault="00402895" w:rsidP="00C50FDB">
      <w:pPr>
        <w:spacing w:line="360" w:lineRule="auto"/>
        <w:rPr>
          <w:rFonts w:cs="Arial"/>
          <w:szCs w:val="24"/>
        </w:rPr>
      </w:pPr>
      <w:r w:rsidRPr="00402895">
        <w:rPr>
          <w:rFonts w:cs="Arial"/>
          <w:szCs w:val="24"/>
        </w:rPr>
        <w:t>To implement local governance effectively, SOPs need to clearly show the thresholds for decisions that require approval (and the areas of managerial autonomy), such as:</w:t>
      </w:r>
    </w:p>
    <w:p w14:paraId="5B370A3F" w14:textId="778170BA" w:rsidR="00402895" w:rsidRPr="00402895" w:rsidRDefault="00402895" w:rsidP="00C50FDB">
      <w:pPr>
        <w:pStyle w:val="ListParagraph"/>
        <w:numPr>
          <w:ilvl w:val="0"/>
          <w:numId w:val="19"/>
        </w:numPr>
        <w:spacing w:line="360" w:lineRule="auto"/>
        <w:rPr>
          <w:rFonts w:cs="Arial"/>
          <w:szCs w:val="24"/>
        </w:rPr>
      </w:pPr>
      <w:r w:rsidRPr="00402895">
        <w:rPr>
          <w:rFonts w:cs="Arial"/>
          <w:szCs w:val="24"/>
        </w:rPr>
        <w:t>Regional operational budgets up to a certain threshold were handled locally</w:t>
      </w:r>
    </w:p>
    <w:p w14:paraId="69910573" w14:textId="7C2CB525" w:rsidR="00402895" w:rsidRPr="00402895" w:rsidRDefault="00402895" w:rsidP="00C50FDB">
      <w:pPr>
        <w:pStyle w:val="ListParagraph"/>
        <w:numPr>
          <w:ilvl w:val="0"/>
          <w:numId w:val="19"/>
        </w:numPr>
        <w:spacing w:line="360" w:lineRule="auto"/>
        <w:rPr>
          <w:rFonts w:cs="Arial"/>
          <w:szCs w:val="24"/>
        </w:rPr>
      </w:pPr>
      <w:r w:rsidRPr="00402895">
        <w:rPr>
          <w:rFonts w:cs="Arial"/>
          <w:szCs w:val="24"/>
        </w:rPr>
        <w:t>India specific marketing campaigns that are approved regionally</w:t>
      </w:r>
    </w:p>
    <w:p w14:paraId="36DE4B75" w14:textId="0A9F3FE1" w:rsidR="00402895" w:rsidRPr="00402895" w:rsidRDefault="00402895" w:rsidP="00C50FDB">
      <w:pPr>
        <w:pStyle w:val="ListParagraph"/>
        <w:numPr>
          <w:ilvl w:val="0"/>
          <w:numId w:val="19"/>
        </w:numPr>
        <w:spacing w:line="360" w:lineRule="auto"/>
        <w:rPr>
          <w:rFonts w:cs="Arial"/>
          <w:szCs w:val="24"/>
        </w:rPr>
      </w:pPr>
      <w:r w:rsidRPr="00402895">
        <w:rPr>
          <w:rFonts w:cs="Arial"/>
          <w:szCs w:val="24"/>
        </w:rPr>
        <w:t>Massive technology investments or mergers that are reserved for global governance</w:t>
      </w:r>
    </w:p>
    <w:p w14:paraId="09019DD3" w14:textId="77777777" w:rsidR="00402895" w:rsidRPr="00402895" w:rsidRDefault="00402895" w:rsidP="00C50FDB">
      <w:pPr>
        <w:pStyle w:val="Heading2"/>
      </w:pPr>
      <w:bookmarkStart w:id="20" w:name="_Toc213980505"/>
      <w:r w:rsidRPr="00402895">
        <w:rPr>
          <w:rStyle w:val="Strong"/>
          <w:rFonts w:cs="Arial"/>
          <w:b/>
          <w:bCs/>
          <w:sz w:val="24"/>
          <w:szCs w:val="24"/>
        </w:rPr>
        <w:t>b. SOP Adjustment 2: Enhanced Cultural Integration and Workforce Development</w:t>
      </w:r>
      <w:bookmarkEnd w:id="20"/>
    </w:p>
    <w:p w14:paraId="7B2A8F91" w14:textId="77777777" w:rsidR="001276E4" w:rsidRPr="001276E4" w:rsidRDefault="001276E4" w:rsidP="00C50FDB">
      <w:pPr>
        <w:spacing w:line="360" w:lineRule="auto"/>
        <w:rPr>
          <w:rFonts w:cs="Arial"/>
          <w:szCs w:val="24"/>
        </w:rPr>
      </w:pPr>
      <w:r w:rsidRPr="001276E4">
        <w:rPr>
          <w:rFonts w:cs="Arial"/>
          <w:szCs w:val="24"/>
        </w:rPr>
        <w:t>Cultural misalignment is one of the issues facing multinational subsidiaries, especially in countries such as India, where the culture is very different from that of the Western corporate world (Hofstede, 2011; Earley &amp; Mosakowski, 2004). Vodafone India's workforce is it both expatriates as well as local employees and dis-junction between assumptions, communication style and managerial expectations frequently hamper cohesion and productivity.</w:t>
      </w:r>
    </w:p>
    <w:p w14:paraId="2AD2A197" w14:textId="1014E279" w:rsidR="001276E4" w:rsidRPr="001276E4" w:rsidRDefault="001276E4" w:rsidP="00C50FDB">
      <w:pPr>
        <w:spacing w:line="360" w:lineRule="auto"/>
        <w:rPr>
          <w:rFonts w:cs="Arial"/>
          <w:szCs w:val="24"/>
        </w:rPr>
      </w:pPr>
      <w:r w:rsidRPr="001276E4">
        <w:rPr>
          <w:rFonts w:cs="Arial"/>
          <w:szCs w:val="24"/>
        </w:rPr>
        <w:lastRenderedPageBreak/>
        <w:t xml:space="preserve">Vodafone should include a full cultural intelligence (CQ) development into the HR SOPs. </w:t>
      </w:r>
      <w:r w:rsidR="00E82ECF" w:rsidRPr="00E82ECF">
        <w:rPr>
          <w:rFonts w:cs="Arial"/>
          <w:szCs w:val="24"/>
        </w:rPr>
        <w:t>Training modules should include information on linguistic diversity and communication norms and culturally appropriate leadership styles</w:t>
      </w:r>
      <w:r w:rsidRPr="001276E4">
        <w:rPr>
          <w:rFonts w:cs="Arial"/>
          <w:szCs w:val="24"/>
        </w:rPr>
        <w:t>. Such training is essential as India ranks high on the dimension of power distance and tends to prefer collectivist decision-making processes, which means that employees expect to receive clear hierarchical guidance and prefer relationship-based interactions (Hofstede Insights, 2024).</w:t>
      </w:r>
    </w:p>
    <w:p w14:paraId="6D8DF7B1" w14:textId="77777777" w:rsidR="001276E4" w:rsidRPr="001276E4" w:rsidRDefault="001276E4" w:rsidP="00C50FDB">
      <w:pPr>
        <w:spacing w:line="360" w:lineRule="auto"/>
        <w:rPr>
          <w:rFonts w:cs="Arial"/>
          <w:szCs w:val="24"/>
        </w:rPr>
      </w:pPr>
      <w:r w:rsidRPr="001276E4">
        <w:rPr>
          <w:rFonts w:cs="Arial"/>
          <w:szCs w:val="24"/>
        </w:rPr>
        <w:t>Additionally, religious traditions, regional festivals and socio-cultural expectations should also be factored into workforce planning SOPs as a means of optimally managing attendances, morale and harmony in the team. For example scheduling flexibility during major events like Diwali or Eid can go a long way in improving employee satisfaction.</w:t>
      </w:r>
    </w:p>
    <w:p w14:paraId="7A643955" w14:textId="77777777" w:rsidR="001276E4" w:rsidRPr="001276E4" w:rsidRDefault="001276E4" w:rsidP="00C50FDB">
      <w:pPr>
        <w:spacing w:line="360" w:lineRule="auto"/>
        <w:rPr>
          <w:rFonts w:cs="Arial"/>
          <w:szCs w:val="24"/>
        </w:rPr>
      </w:pPr>
      <w:r w:rsidRPr="001276E4">
        <w:rPr>
          <w:rFonts w:cs="Arial"/>
          <w:szCs w:val="24"/>
        </w:rPr>
        <w:t>Another important adjustment is that of talent localization. Vodafone must implement SOP targets on representation that raise local leadership to levels close to 80% within 5 years. Doing so is consistent with the Ownership (O) element of OLI by leveraging on India's pool of human capital while adopting operational relevance and culture. Developing local leadership also increases the legitimacy and acceptance of Vodafone in the Indian market.</w:t>
      </w:r>
    </w:p>
    <w:p w14:paraId="71F871C7" w14:textId="77777777" w:rsidR="001276E4" w:rsidRPr="001276E4" w:rsidRDefault="001276E4" w:rsidP="00C50FDB">
      <w:pPr>
        <w:spacing w:line="360" w:lineRule="auto"/>
        <w:rPr>
          <w:rFonts w:cs="Arial"/>
          <w:szCs w:val="24"/>
        </w:rPr>
      </w:pPr>
      <w:r w:rsidRPr="001276E4">
        <w:rPr>
          <w:rFonts w:cs="Arial"/>
          <w:szCs w:val="24"/>
        </w:rPr>
        <w:t>Furthermore, Vodafone's SOPs should require investments in community programmes such as digital literacy training, financial inclusion programmes and education programmes in rural areas. Not only does such initiatives add to corporate social responsibility (CSR) but also it builds the reputation of Vodafone and reinforces the 'social license to operate' that is becoming increasingly critical in emerging markets (Vodafone Idea Annual Report, 2024).</w:t>
      </w:r>
    </w:p>
    <w:p w14:paraId="6331E1E4" w14:textId="0D9EC511" w:rsidR="001276E4" w:rsidRPr="001276E4" w:rsidRDefault="00E82ECF" w:rsidP="00C50FDB">
      <w:pPr>
        <w:spacing w:line="360" w:lineRule="auto"/>
        <w:rPr>
          <w:rFonts w:cs="Arial"/>
          <w:szCs w:val="24"/>
        </w:rPr>
      </w:pPr>
      <w:r w:rsidRPr="00E82ECF">
        <w:rPr>
          <w:rFonts w:cs="Arial"/>
          <w:szCs w:val="24"/>
        </w:rPr>
        <w:t>Codified Human Resources Standard Operating Procedures (HR SOP) initiatives may include</w:t>
      </w:r>
      <w:r w:rsidR="001276E4" w:rsidRPr="001276E4">
        <w:rPr>
          <w:rFonts w:cs="Arial"/>
          <w:szCs w:val="24"/>
        </w:rPr>
        <w:t>:</w:t>
      </w:r>
    </w:p>
    <w:p w14:paraId="039E7218" w14:textId="6736CB9D" w:rsidR="00E82ECF" w:rsidRPr="00E82ECF" w:rsidRDefault="00E82ECF" w:rsidP="00C50FDB">
      <w:pPr>
        <w:pStyle w:val="ListParagraph"/>
        <w:numPr>
          <w:ilvl w:val="0"/>
          <w:numId w:val="19"/>
        </w:numPr>
        <w:spacing w:line="360" w:lineRule="auto"/>
        <w:rPr>
          <w:rFonts w:cs="Arial"/>
          <w:szCs w:val="24"/>
        </w:rPr>
      </w:pPr>
      <w:r w:rsidRPr="00E82ECF">
        <w:rPr>
          <w:rFonts w:cs="Arial"/>
          <w:szCs w:val="24"/>
        </w:rPr>
        <w:t>Cross-functional rotations for new emerging local leadership</w:t>
      </w:r>
    </w:p>
    <w:p w14:paraId="0D8EE6F7" w14:textId="37B956B2" w:rsidR="001276E4" w:rsidRPr="00E82ECF" w:rsidRDefault="001276E4" w:rsidP="00C50FDB">
      <w:pPr>
        <w:pStyle w:val="ListParagraph"/>
        <w:numPr>
          <w:ilvl w:val="0"/>
          <w:numId w:val="19"/>
        </w:numPr>
        <w:spacing w:line="360" w:lineRule="auto"/>
        <w:rPr>
          <w:rFonts w:cs="Arial"/>
          <w:szCs w:val="24"/>
        </w:rPr>
      </w:pPr>
      <w:r w:rsidRPr="00E82ECF">
        <w:rPr>
          <w:rFonts w:cs="Arial"/>
          <w:szCs w:val="24"/>
        </w:rPr>
        <w:t>Mentoring networks to bring together expatriates and local managers</w:t>
      </w:r>
    </w:p>
    <w:p w14:paraId="3E3F4176" w14:textId="5C3441C6" w:rsidR="001276E4" w:rsidRPr="00E82ECF" w:rsidRDefault="001276E4" w:rsidP="00C50FDB">
      <w:pPr>
        <w:pStyle w:val="ListParagraph"/>
        <w:numPr>
          <w:ilvl w:val="0"/>
          <w:numId w:val="19"/>
        </w:numPr>
        <w:spacing w:line="360" w:lineRule="auto"/>
        <w:rPr>
          <w:rFonts w:cs="Arial"/>
          <w:szCs w:val="24"/>
        </w:rPr>
      </w:pPr>
      <w:r w:rsidRPr="00E82ECF">
        <w:rPr>
          <w:rFonts w:cs="Arial"/>
          <w:szCs w:val="24"/>
        </w:rPr>
        <w:t>Leadership Development pipeline for High Potential Indian employees</w:t>
      </w:r>
    </w:p>
    <w:p w14:paraId="65A32CCE" w14:textId="7899D6F9" w:rsidR="00402895" w:rsidRPr="00D4771C" w:rsidRDefault="00E82ECF" w:rsidP="00C50FDB">
      <w:pPr>
        <w:pStyle w:val="ListParagraph"/>
        <w:numPr>
          <w:ilvl w:val="0"/>
          <w:numId w:val="19"/>
        </w:numPr>
        <w:spacing w:line="360" w:lineRule="auto"/>
        <w:rPr>
          <w:rFonts w:cs="Arial"/>
          <w:szCs w:val="24"/>
        </w:rPr>
      </w:pPr>
      <w:r w:rsidRPr="00E82ECF">
        <w:rPr>
          <w:rFonts w:cs="Arial"/>
          <w:szCs w:val="24"/>
        </w:rPr>
        <w:t>Comprehensive well-being programs that are tailored to local workforce realities</w:t>
      </w:r>
    </w:p>
    <w:p w14:paraId="3FFABE91" w14:textId="77777777" w:rsidR="00402895" w:rsidRPr="00402895" w:rsidRDefault="00402895" w:rsidP="00C50FDB">
      <w:pPr>
        <w:pStyle w:val="Heading2"/>
      </w:pPr>
      <w:bookmarkStart w:id="21" w:name="_Toc213980506"/>
      <w:r w:rsidRPr="00402895">
        <w:rPr>
          <w:rStyle w:val="Strong"/>
          <w:rFonts w:cs="Arial"/>
          <w:b/>
          <w:bCs/>
          <w:sz w:val="24"/>
          <w:szCs w:val="24"/>
        </w:rPr>
        <w:lastRenderedPageBreak/>
        <w:t>c. SOP Adjustment 3: Market-Specific Innovation and Consumer Engagement</w:t>
      </w:r>
      <w:bookmarkEnd w:id="21"/>
    </w:p>
    <w:p w14:paraId="290AA487" w14:textId="77777777" w:rsidR="00D4771C" w:rsidRPr="00D4771C" w:rsidRDefault="00D4771C" w:rsidP="00C50FDB">
      <w:pPr>
        <w:spacing w:line="360" w:lineRule="auto"/>
        <w:rPr>
          <w:rFonts w:cs="Arial"/>
          <w:szCs w:val="24"/>
        </w:rPr>
      </w:pPr>
      <w:r w:rsidRPr="00D4771C">
        <w:rPr>
          <w:rFonts w:cs="Arial"/>
          <w:szCs w:val="24"/>
        </w:rPr>
        <w:t>India's telecom market has a unique definition and is characterised by price sensitivity, linguistic diversity and digital infrastructure deficiency. A world standardised SOP structure may limit Vodafone's ability to customise services to local expectations. Therefore, SOPs have to have a Glocal Innovation Framework - a Global Standard of quality with strategic modifications to suit the liking of the Indian customer.</w:t>
      </w:r>
    </w:p>
    <w:p w14:paraId="18569002" w14:textId="77777777" w:rsidR="00D4771C" w:rsidRPr="00D4771C" w:rsidRDefault="00D4771C" w:rsidP="00C50FDB">
      <w:pPr>
        <w:spacing w:line="360" w:lineRule="auto"/>
        <w:rPr>
          <w:rFonts w:cs="Arial"/>
          <w:szCs w:val="24"/>
        </w:rPr>
      </w:pPr>
      <w:r w:rsidRPr="00D4771C">
        <w:rPr>
          <w:rFonts w:cs="Arial"/>
          <w:szCs w:val="24"/>
        </w:rPr>
        <w:t>Some of the key elements of SOP under this adjustment are:</w:t>
      </w:r>
    </w:p>
    <w:p w14:paraId="4BDF62B6" w14:textId="68CC2ADF" w:rsidR="00D4771C" w:rsidRPr="00A37E9A" w:rsidRDefault="00A37E9A" w:rsidP="00C50FDB">
      <w:pPr>
        <w:spacing w:line="360" w:lineRule="auto"/>
        <w:rPr>
          <w:rFonts w:cs="Arial"/>
          <w:szCs w:val="24"/>
        </w:rPr>
      </w:pPr>
      <w:r>
        <w:rPr>
          <w:rFonts w:cs="Arial"/>
          <w:szCs w:val="24"/>
        </w:rPr>
        <w:t xml:space="preserve">1. </w:t>
      </w:r>
      <w:r w:rsidR="00D4771C" w:rsidRPr="00A37E9A">
        <w:rPr>
          <w:rFonts w:cs="Arial"/>
          <w:szCs w:val="24"/>
        </w:rPr>
        <w:t>Customisation of Product and Pricing</w:t>
      </w:r>
    </w:p>
    <w:p w14:paraId="15D2DA46" w14:textId="77777777" w:rsidR="00A37E9A" w:rsidRDefault="00A37E9A" w:rsidP="00C50FDB">
      <w:pPr>
        <w:pStyle w:val="ListParagraph"/>
        <w:numPr>
          <w:ilvl w:val="0"/>
          <w:numId w:val="30"/>
        </w:numPr>
        <w:spacing w:line="360" w:lineRule="auto"/>
        <w:rPr>
          <w:rFonts w:cs="Arial"/>
          <w:szCs w:val="24"/>
        </w:rPr>
      </w:pPr>
      <w:r w:rsidRPr="00A37E9A">
        <w:rPr>
          <w:rFonts w:cs="Arial"/>
          <w:szCs w:val="24"/>
        </w:rPr>
        <w:t>Ultra-Low Cost Prepay Plans for Price Conscious Consumers</w:t>
      </w:r>
    </w:p>
    <w:p w14:paraId="6B89A8AA" w14:textId="77777777" w:rsidR="00A37E9A" w:rsidRDefault="00D4771C" w:rsidP="00C50FDB">
      <w:pPr>
        <w:pStyle w:val="ListParagraph"/>
        <w:numPr>
          <w:ilvl w:val="0"/>
          <w:numId w:val="30"/>
        </w:numPr>
        <w:spacing w:line="360" w:lineRule="auto"/>
        <w:rPr>
          <w:rFonts w:cs="Arial"/>
          <w:szCs w:val="24"/>
        </w:rPr>
      </w:pPr>
      <w:r w:rsidRPr="00A37E9A">
        <w:rPr>
          <w:rFonts w:cs="Arial"/>
          <w:szCs w:val="24"/>
        </w:rPr>
        <w:t>Support for Regional Language in apps, USSD codes, Website &amp; Customer care</w:t>
      </w:r>
    </w:p>
    <w:p w14:paraId="01AFCEB4" w14:textId="56FAB8A0" w:rsidR="00D4771C" w:rsidRPr="00A37E9A" w:rsidRDefault="00D4771C" w:rsidP="00C50FDB">
      <w:pPr>
        <w:pStyle w:val="ListParagraph"/>
        <w:numPr>
          <w:ilvl w:val="0"/>
          <w:numId w:val="30"/>
        </w:numPr>
        <w:spacing w:line="360" w:lineRule="auto"/>
        <w:rPr>
          <w:rFonts w:cs="Arial"/>
          <w:szCs w:val="24"/>
        </w:rPr>
      </w:pPr>
      <w:r w:rsidRPr="00A37E9A">
        <w:rPr>
          <w:rFonts w:cs="Arial"/>
          <w:szCs w:val="24"/>
        </w:rPr>
        <w:t>Integration in UPI (Unified Payments Interface), India's leading payment digital system</w:t>
      </w:r>
    </w:p>
    <w:p w14:paraId="5099814B" w14:textId="77777777" w:rsidR="00D4771C" w:rsidRPr="00D4771C" w:rsidRDefault="00D4771C" w:rsidP="00C50FDB">
      <w:pPr>
        <w:spacing w:line="360" w:lineRule="auto"/>
        <w:rPr>
          <w:rFonts w:cs="Arial"/>
          <w:szCs w:val="24"/>
        </w:rPr>
      </w:pPr>
      <w:r w:rsidRPr="00D4771C">
        <w:rPr>
          <w:rFonts w:cs="Arial"/>
          <w:szCs w:val="24"/>
        </w:rPr>
        <w:t>2. Innovation Labs and Local R&amp;D</w:t>
      </w:r>
    </w:p>
    <w:p w14:paraId="2C01F30A" w14:textId="77777777" w:rsidR="00D4771C" w:rsidRPr="00D4771C" w:rsidRDefault="00D4771C" w:rsidP="00C50FDB">
      <w:pPr>
        <w:spacing w:line="360" w:lineRule="auto"/>
        <w:rPr>
          <w:rFonts w:cs="Arial"/>
          <w:szCs w:val="24"/>
        </w:rPr>
      </w:pPr>
      <w:r w:rsidRPr="00D4771C">
        <w:rPr>
          <w:rFonts w:cs="Arial"/>
          <w:szCs w:val="24"/>
        </w:rPr>
        <w:t>Vodafone should establish Innovation Labs in Bengaluru, Pune or Hyderabad with focus here 5G solution, fintech integration, IoT application for agriculture and optimize the rural network. Collaboration with Indian Institutes of Technology (IITs) and leading engineering institutes has the potential of building innovations that are relevant to infrastructural problems specific to India.</w:t>
      </w:r>
    </w:p>
    <w:p w14:paraId="61D59A7A" w14:textId="77777777" w:rsidR="00D4771C" w:rsidRPr="00D4771C" w:rsidRDefault="00D4771C" w:rsidP="00C50FDB">
      <w:pPr>
        <w:spacing w:line="360" w:lineRule="auto"/>
        <w:rPr>
          <w:rFonts w:cs="Arial"/>
          <w:szCs w:val="24"/>
        </w:rPr>
      </w:pPr>
      <w:r w:rsidRPr="00D4771C">
        <w:rPr>
          <w:rFonts w:cs="Arial"/>
          <w:szCs w:val="24"/>
        </w:rPr>
        <w:t>3. Customer Engagement SOPs</w:t>
      </w:r>
    </w:p>
    <w:p w14:paraId="5A941DF9" w14:textId="77777777" w:rsidR="00D4771C" w:rsidRPr="00D4771C" w:rsidRDefault="00D4771C" w:rsidP="00C50FDB">
      <w:pPr>
        <w:spacing w:line="360" w:lineRule="auto"/>
        <w:rPr>
          <w:rFonts w:cs="Arial"/>
          <w:szCs w:val="24"/>
        </w:rPr>
      </w:pPr>
      <w:r w:rsidRPr="00D4771C">
        <w:rPr>
          <w:rFonts w:cs="Arial"/>
          <w:szCs w:val="24"/>
        </w:rPr>
        <w:t>Vodafone needs to ensure that some customer feedback mechanisms are included in the SOPs involving:</w:t>
      </w:r>
    </w:p>
    <w:p w14:paraId="7F4EC99F" w14:textId="3DB3863F" w:rsidR="00D4771C" w:rsidRPr="00A37E9A" w:rsidRDefault="00D4771C" w:rsidP="00C50FDB">
      <w:pPr>
        <w:pStyle w:val="ListParagraph"/>
        <w:numPr>
          <w:ilvl w:val="0"/>
          <w:numId w:val="30"/>
        </w:numPr>
        <w:spacing w:line="360" w:lineRule="auto"/>
        <w:rPr>
          <w:rFonts w:cs="Arial"/>
          <w:szCs w:val="24"/>
        </w:rPr>
      </w:pPr>
      <w:r w:rsidRPr="00A37E9A">
        <w:rPr>
          <w:rFonts w:cs="Arial"/>
          <w:szCs w:val="24"/>
        </w:rPr>
        <w:t>Social media analytics</w:t>
      </w:r>
    </w:p>
    <w:p w14:paraId="0C99D5BF" w14:textId="74C5320A" w:rsidR="00D4771C" w:rsidRPr="00A37E9A" w:rsidRDefault="00D4771C" w:rsidP="00C50FDB">
      <w:pPr>
        <w:pStyle w:val="ListParagraph"/>
        <w:numPr>
          <w:ilvl w:val="0"/>
          <w:numId w:val="30"/>
        </w:numPr>
        <w:spacing w:line="360" w:lineRule="auto"/>
        <w:rPr>
          <w:rFonts w:cs="Arial"/>
          <w:szCs w:val="24"/>
        </w:rPr>
      </w:pPr>
      <w:r w:rsidRPr="00A37E9A">
        <w:rPr>
          <w:rFonts w:cs="Arial"/>
          <w:szCs w:val="24"/>
        </w:rPr>
        <w:t>In-app feedback channels</w:t>
      </w:r>
    </w:p>
    <w:p w14:paraId="04A9B2F8" w14:textId="1DE43888" w:rsidR="00D4771C" w:rsidRPr="00A37E9A" w:rsidRDefault="00D4771C" w:rsidP="00C50FDB">
      <w:pPr>
        <w:pStyle w:val="ListParagraph"/>
        <w:numPr>
          <w:ilvl w:val="0"/>
          <w:numId w:val="30"/>
        </w:numPr>
        <w:spacing w:line="360" w:lineRule="auto"/>
        <w:rPr>
          <w:rFonts w:cs="Arial"/>
          <w:szCs w:val="24"/>
        </w:rPr>
      </w:pPr>
      <w:r w:rsidRPr="00A37E9A">
        <w:rPr>
          <w:rFonts w:cs="Arial"/>
          <w:szCs w:val="24"/>
        </w:rPr>
        <w:t>Consumer behavior monitoring, Artificial Intelligence based</w:t>
      </w:r>
    </w:p>
    <w:p w14:paraId="7D437881" w14:textId="0666CB6D" w:rsidR="00D4771C" w:rsidRPr="00A37E9A" w:rsidRDefault="00D4771C" w:rsidP="00C50FDB">
      <w:pPr>
        <w:pStyle w:val="ListParagraph"/>
        <w:numPr>
          <w:ilvl w:val="0"/>
          <w:numId w:val="30"/>
        </w:numPr>
        <w:spacing w:line="360" w:lineRule="auto"/>
        <w:rPr>
          <w:rFonts w:cs="Arial"/>
          <w:szCs w:val="24"/>
        </w:rPr>
      </w:pPr>
      <w:r w:rsidRPr="00A37E9A">
        <w:rPr>
          <w:rFonts w:cs="Arial"/>
          <w:szCs w:val="24"/>
        </w:rPr>
        <w:t xml:space="preserve">Region Specific Loyalty programs like </w:t>
      </w:r>
      <w:r w:rsidR="00A37E9A" w:rsidRPr="00A37E9A">
        <w:rPr>
          <w:rFonts w:cs="Arial"/>
          <w:szCs w:val="24"/>
        </w:rPr>
        <w:t>festival-based</w:t>
      </w:r>
      <w:r w:rsidRPr="00A37E9A">
        <w:rPr>
          <w:rFonts w:cs="Arial"/>
          <w:szCs w:val="24"/>
        </w:rPr>
        <w:t xml:space="preserve"> discount</w:t>
      </w:r>
    </w:p>
    <w:p w14:paraId="574C42B6" w14:textId="5B176F42" w:rsidR="00402895" w:rsidRPr="00402895" w:rsidRDefault="00D4771C" w:rsidP="00C50FDB">
      <w:pPr>
        <w:spacing w:line="360" w:lineRule="auto"/>
        <w:rPr>
          <w:rFonts w:cs="Arial"/>
          <w:szCs w:val="24"/>
        </w:rPr>
      </w:pPr>
      <w:r w:rsidRPr="00D4771C">
        <w:rPr>
          <w:rFonts w:cs="Arial"/>
          <w:szCs w:val="24"/>
        </w:rPr>
        <w:lastRenderedPageBreak/>
        <w:t>These adjustments make use of Location (L) advantages, such as India's enormous market size, fast technological adoption and entrepreneurial ecosystem of tech industry, which will position Vodafone on a course to increase its customer base and relevant market size</w:t>
      </w:r>
      <w:r w:rsidR="00402895" w:rsidRPr="00402895">
        <w:rPr>
          <w:rFonts w:cs="Arial"/>
          <w:szCs w:val="24"/>
        </w:rPr>
        <w:t>.</w:t>
      </w:r>
    </w:p>
    <w:p w14:paraId="23A826B2" w14:textId="77777777" w:rsidR="00402895" w:rsidRPr="00402895" w:rsidRDefault="00402895" w:rsidP="00C50FDB">
      <w:pPr>
        <w:pStyle w:val="Heading2"/>
      </w:pPr>
      <w:bookmarkStart w:id="22" w:name="_Toc213980507"/>
      <w:r w:rsidRPr="00402895">
        <w:rPr>
          <w:rStyle w:val="Strong"/>
          <w:rFonts w:cs="Arial"/>
          <w:b/>
          <w:bCs/>
          <w:sz w:val="24"/>
          <w:szCs w:val="24"/>
        </w:rPr>
        <w:t>d. Linking SOP Adjustments to OLI and Cultural Analysis</w:t>
      </w:r>
      <w:bookmarkEnd w:id="22"/>
    </w:p>
    <w:tbl>
      <w:tblPr>
        <w:tblW w:w="974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70"/>
        <w:gridCol w:w="1773"/>
        <w:gridCol w:w="2984"/>
        <w:gridCol w:w="2920"/>
      </w:tblGrid>
      <w:tr w:rsidR="00402895" w:rsidRPr="00402895" w14:paraId="407A56FE" w14:textId="77777777" w:rsidTr="00A37E9A">
        <w:trPr>
          <w:trHeight w:val="874"/>
          <w:tblHeader/>
          <w:tblCellSpacing w:w="15" w:type="dxa"/>
        </w:trPr>
        <w:tc>
          <w:tcPr>
            <w:tcW w:w="0" w:type="auto"/>
            <w:vAlign w:val="center"/>
            <w:hideMark/>
          </w:tcPr>
          <w:p w14:paraId="04E147B2" w14:textId="77777777" w:rsidR="00402895" w:rsidRPr="00402895" w:rsidRDefault="00402895" w:rsidP="00C50FDB">
            <w:pPr>
              <w:spacing w:line="360" w:lineRule="auto"/>
              <w:rPr>
                <w:rFonts w:cs="Arial"/>
                <w:b/>
                <w:bCs/>
                <w:szCs w:val="24"/>
              </w:rPr>
            </w:pPr>
            <w:r w:rsidRPr="00402895">
              <w:rPr>
                <w:rFonts w:cs="Arial"/>
                <w:b/>
                <w:bCs/>
                <w:szCs w:val="24"/>
              </w:rPr>
              <w:t>SOP Adjustment</w:t>
            </w:r>
          </w:p>
        </w:tc>
        <w:tc>
          <w:tcPr>
            <w:tcW w:w="0" w:type="auto"/>
            <w:vAlign w:val="center"/>
            <w:hideMark/>
          </w:tcPr>
          <w:p w14:paraId="518820A6" w14:textId="77777777" w:rsidR="00402895" w:rsidRPr="00402895" w:rsidRDefault="00402895" w:rsidP="00C50FDB">
            <w:pPr>
              <w:spacing w:line="360" w:lineRule="auto"/>
              <w:rPr>
                <w:rFonts w:cs="Arial"/>
                <w:b/>
                <w:bCs/>
                <w:szCs w:val="24"/>
              </w:rPr>
            </w:pPr>
            <w:r w:rsidRPr="00402895">
              <w:rPr>
                <w:rFonts w:cs="Arial"/>
                <w:b/>
                <w:bCs/>
                <w:szCs w:val="24"/>
              </w:rPr>
              <w:t>Linked OLI Factor</w:t>
            </w:r>
          </w:p>
        </w:tc>
        <w:tc>
          <w:tcPr>
            <w:tcW w:w="0" w:type="auto"/>
            <w:vAlign w:val="center"/>
            <w:hideMark/>
          </w:tcPr>
          <w:p w14:paraId="6E5967DA" w14:textId="77777777" w:rsidR="00402895" w:rsidRPr="00402895" w:rsidRDefault="00402895" w:rsidP="00C50FDB">
            <w:pPr>
              <w:spacing w:line="360" w:lineRule="auto"/>
              <w:rPr>
                <w:rFonts w:cs="Arial"/>
                <w:b/>
                <w:bCs/>
                <w:szCs w:val="24"/>
              </w:rPr>
            </w:pPr>
            <w:r w:rsidRPr="00402895">
              <w:rPr>
                <w:rFonts w:cs="Arial"/>
                <w:b/>
                <w:bCs/>
                <w:szCs w:val="24"/>
              </w:rPr>
              <w:t>Cultural Consideration</w:t>
            </w:r>
          </w:p>
        </w:tc>
        <w:tc>
          <w:tcPr>
            <w:tcW w:w="0" w:type="auto"/>
            <w:vAlign w:val="center"/>
            <w:hideMark/>
          </w:tcPr>
          <w:p w14:paraId="76F21772" w14:textId="77777777" w:rsidR="00402895" w:rsidRPr="00402895" w:rsidRDefault="00402895" w:rsidP="00C50FDB">
            <w:pPr>
              <w:spacing w:line="360" w:lineRule="auto"/>
              <w:rPr>
                <w:rFonts w:cs="Arial"/>
                <w:b/>
                <w:bCs/>
                <w:szCs w:val="24"/>
              </w:rPr>
            </w:pPr>
            <w:r w:rsidRPr="00402895">
              <w:rPr>
                <w:rFonts w:cs="Arial"/>
                <w:b/>
                <w:bCs/>
                <w:szCs w:val="24"/>
              </w:rPr>
              <w:t>Strategic Impact</w:t>
            </w:r>
          </w:p>
        </w:tc>
      </w:tr>
      <w:tr w:rsidR="00402895" w:rsidRPr="00402895" w14:paraId="70D1B4A5" w14:textId="77777777" w:rsidTr="00A37E9A">
        <w:trPr>
          <w:trHeight w:val="874"/>
          <w:tblCellSpacing w:w="15" w:type="dxa"/>
        </w:trPr>
        <w:tc>
          <w:tcPr>
            <w:tcW w:w="0" w:type="auto"/>
            <w:vAlign w:val="center"/>
            <w:hideMark/>
          </w:tcPr>
          <w:p w14:paraId="30681B60" w14:textId="77777777" w:rsidR="00402895" w:rsidRPr="00402895" w:rsidRDefault="00402895" w:rsidP="00C50FDB">
            <w:pPr>
              <w:spacing w:line="360" w:lineRule="auto"/>
              <w:rPr>
                <w:rFonts w:cs="Arial"/>
                <w:szCs w:val="24"/>
              </w:rPr>
            </w:pPr>
            <w:r w:rsidRPr="00402895">
              <w:rPr>
                <w:rFonts w:cs="Arial"/>
                <w:szCs w:val="24"/>
              </w:rPr>
              <w:t>Localised decision-making</w:t>
            </w:r>
          </w:p>
        </w:tc>
        <w:tc>
          <w:tcPr>
            <w:tcW w:w="0" w:type="auto"/>
            <w:vAlign w:val="center"/>
            <w:hideMark/>
          </w:tcPr>
          <w:p w14:paraId="24EF0832" w14:textId="77777777" w:rsidR="00402895" w:rsidRPr="00402895" w:rsidRDefault="00402895" w:rsidP="00C50FDB">
            <w:pPr>
              <w:spacing w:line="360" w:lineRule="auto"/>
              <w:rPr>
                <w:rFonts w:cs="Arial"/>
                <w:szCs w:val="24"/>
              </w:rPr>
            </w:pPr>
            <w:r w:rsidRPr="00402895">
              <w:rPr>
                <w:rFonts w:cs="Arial"/>
                <w:szCs w:val="24"/>
              </w:rPr>
              <w:t>Internalisation</w:t>
            </w:r>
          </w:p>
        </w:tc>
        <w:tc>
          <w:tcPr>
            <w:tcW w:w="0" w:type="auto"/>
            <w:vAlign w:val="center"/>
            <w:hideMark/>
          </w:tcPr>
          <w:p w14:paraId="011A233C" w14:textId="77777777" w:rsidR="00402895" w:rsidRPr="00402895" w:rsidRDefault="00402895" w:rsidP="00C50FDB">
            <w:pPr>
              <w:spacing w:line="360" w:lineRule="auto"/>
              <w:rPr>
                <w:rFonts w:cs="Arial"/>
                <w:szCs w:val="24"/>
              </w:rPr>
            </w:pPr>
            <w:r w:rsidRPr="00402895">
              <w:rPr>
                <w:rFonts w:cs="Arial"/>
                <w:szCs w:val="24"/>
              </w:rPr>
              <w:t>High power distance; fast response expectations</w:t>
            </w:r>
          </w:p>
        </w:tc>
        <w:tc>
          <w:tcPr>
            <w:tcW w:w="0" w:type="auto"/>
            <w:vAlign w:val="center"/>
            <w:hideMark/>
          </w:tcPr>
          <w:p w14:paraId="62C669B2" w14:textId="77777777" w:rsidR="00402895" w:rsidRPr="00402895" w:rsidRDefault="00402895" w:rsidP="00C50FDB">
            <w:pPr>
              <w:spacing w:line="360" w:lineRule="auto"/>
              <w:rPr>
                <w:rFonts w:cs="Arial"/>
                <w:szCs w:val="24"/>
              </w:rPr>
            </w:pPr>
            <w:r w:rsidRPr="00402895">
              <w:rPr>
                <w:rFonts w:cs="Arial"/>
                <w:szCs w:val="24"/>
              </w:rPr>
              <w:t>Faster compliance, local trust, improved agility</w:t>
            </w:r>
          </w:p>
        </w:tc>
      </w:tr>
      <w:tr w:rsidR="00402895" w:rsidRPr="00402895" w14:paraId="164161AE" w14:textId="77777777" w:rsidTr="00A37E9A">
        <w:trPr>
          <w:trHeight w:val="1221"/>
          <w:tblCellSpacing w:w="15" w:type="dxa"/>
        </w:trPr>
        <w:tc>
          <w:tcPr>
            <w:tcW w:w="0" w:type="auto"/>
            <w:vAlign w:val="center"/>
            <w:hideMark/>
          </w:tcPr>
          <w:p w14:paraId="380C0139" w14:textId="77777777" w:rsidR="00402895" w:rsidRPr="00402895" w:rsidRDefault="00402895" w:rsidP="00C50FDB">
            <w:pPr>
              <w:spacing w:line="360" w:lineRule="auto"/>
              <w:rPr>
                <w:rFonts w:cs="Arial"/>
                <w:szCs w:val="24"/>
              </w:rPr>
            </w:pPr>
            <w:r w:rsidRPr="00402895">
              <w:rPr>
                <w:rFonts w:cs="Arial"/>
                <w:szCs w:val="24"/>
              </w:rPr>
              <w:t>Workforce cultural integration</w:t>
            </w:r>
          </w:p>
        </w:tc>
        <w:tc>
          <w:tcPr>
            <w:tcW w:w="0" w:type="auto"/>
            <w:vAlign w:val="center"/>
            <w:hideMark/>
          </w:tcPr>
          <w:p w14:paraId="3F97B51C" w14:textId="77777777" w:rsidR="00402895" w:rsidRPr="00402895" w:rsidRDefault="00402895" w:rsidP="00C50FDB">
            <w:pPr>
              <w:spacing w:line="360" w:lineRule="auto"/>
              <w:rPr>
                <w:rFonts w:cs="Arial"/>
                <w:szCs w:val="24"/>
              </w:rPr>
            </w:pPr>
            <w:r w:rsidRPr="00402895">
              <w:rPr>
                <w:rFonts w:cs="Arial"/>
                <w:szCs w:val="24"/>
              </w:rPr>
              <w:t>Ownership</w:t>
            </w:r>
          </w:p>
        </w:tc>
        <w:tc>
          <w:tcPr>
            <w:tcW w:w="0" w:type="auto"/>
            <w:vAlign w:val="center"/>
            <w:hideMark/>
          </w:tcPr>
          <w:p w14:paraId="3A0BBF00" w14:textId="77777777" w:rsidR="00402895" w:rsidRPr="00402895" w:rsidRDefault="00402895" w:rsidP="00C50FDB">
            <w:pPr>
              <w:spacing w:line="360" w:lineRule="auto"/>
              <w:rPr>
                <w:rFonts w:cs="Arial"/>
                <w:szCs w:val="24"/>
              </w:rPr>
            </w:pPr>
            <w:r w:rsidRPr="00402895">
              <w:rPr>
                <w:rFonts w:cs="Arial"/>
                <w:szCs w:val="24"/>
              </w:rPr>
              <w:t>Collectivism; relationship-based norms</w:t>
            </w:r>
          </w:p>
        </w:tc>
        <w:tc>
          <w:tcPr>
            <w:tcW w:w="0" w:type="auto"/>
            <w:vAlign w:val="center"/>
            <w:hideMark/>
          </w:tcPr>
          <w:p w14:paraId="6FAB35F1" w14:textId="77777777" w:rsidR="00402895" w:rsidRPr="00402895" w:rsidRDefault="00402895" w:rsidP="00C50FDB">
            <w:pPr>
              <w:spacing w:line="360" w:lineRule="auto"/>
              <w:rPr>
                <w:rFonts w:cs="Arial"/>
                <w:szCs w:val="24"/>
              </w:rPr>
            </w:pPr>
            <w:r w:rsidRPr="00402895">
              <w:rPr>
                <w:rFonts w:cs="Arial"/>
                <w:szCs w:val="24"/>
              </w:rPr>
              <w:t>Better retention, morale, and collaboration</w:t>
            </w:r>
          </w:p>
        </w:tc>
      </w:tr>
      <w:tr w:rsidR="00402895" w:rsidRPr="00402895" w14:paraId="767A49C4" w14:textId="77777777" w:rsidTr="00A37E9A">
        <w:trPr>
          <w:trHeight w:val="1200"/>
          <w:tblCellSpacing w:w="15" w:type="dxa"/>
        </w:trPr>
        <w:tc>
          <w:tcPr>
            <w:tcW w:w="0" w:type="auto"/>
            <w:vAlign w:val="center"/>
            <w:hideMark/>
          </w:tcPr>
          <w:p w14:paraId="654CFEE4" w14:textId="77777777" w:rsidR="00402895" w:rsidRPr="00402895" w:rsidRDefault="00402895" w:rsidP="00C50FDB">
            <w:pPr>
              <w:spacing w:line="360" w:lineRule="auto"/>
              <w:rPr>
                <w:rFonts w:cs="Arial"/>
                <w:szCs w:val="24"/>
              </w:rPr>
            </w:pPr>
            <w:r w:rsidRPr="00402895">
              <w:rPr>
                <w:rFonts w:cs="Arial"/>
                <w:szCs w:val="24"/>
              </w:rPr>
              <w:t>Market-specific innovation</w:t>
            </w:r>
          </w:p>
        </w:tc>
        <w:tc>
          <w:tcPr>
            <w:tcW w:w="0" w:type="auto"/>
            <w:vAlign w:val="center"/>
            <w:hideMark/>
          </w:tcPr>
          <w:p w14:paraId="55DB50E3" w14:textId="77777777" w:rsidR="00402895" w:rsidRPr="00402895" w:rsidRDefault="00402895" w:rsidP="00C50FDB">
            <w:pPr>
              <w:spacing w:line="360" w:lineRule="auto"/>
              <w:rPr>
                <w:rFonts w:cs="Arial"/>
                <w:szCs w:val="24"/>
              </w:rPr>
            </w:pPr>
            <w:r w:rsidRPr="00402895">
              <w:rPr>
                <w:rFonts w:cs="Arial"/>
                <w:szCs w:val="24"/>
              </w:rPr>
              <w:t>Location</w:t>
            </w:r>
          </w:p>
        </w:tc>
        <w:tc>
          <w:tcPr>
            <w:tcW w:w="0" w:type="auto"/>
            <w:vAlign w:val="center"/>
            <w:hideMark/>
          </w:tcPr>
          <w:p w14:paraId="59BAE90F" w14:textId="77777777" w:rsidR="00402895" w:rsidRPr="00402895" w:rsidRDefault="00402895" w:rsidP="00C50FDB">
            <w:pPr>
              <w:spacing w:line="360" w:lineRule="auto"/>
              <w:rPr>
                <w:rFonts w:cs="Arial"/>
                <w:szCs w:val="24"/>
              </w:rPr>
            </w:pPr>
            <w:r w:rsidRPr="00402895">
              <w:rPr>
                <w:rFonts w:cs="Arial"/>
                <w:szCs w:val="24"/>
              </w:rPr>
              <w:t>Price sensitivity; linguistic diversity</w:t>
            </w:r>
          </w:p>
        </w:tc>
        <w:tc>
          <w:tcPr>
            <w:tcW w:w="0" w:type="auto"/>
            <w:vAlign w:val="center"/>
            <w:hideMark/>
          </w:tcPr>
          <w:p w14:paraId="728BC10F" w14:textId="77777777" w:rsidR="00402895" w:rsidRPr="00402895" w:rsidRDefault="00402895" w:rsidP="00C50FDB">
            <w:pPr>
              <w:spacing w:line="360" w:lineRule="auto"/>
              <w:rPr>
                <w:rFonts w:cs="Arial"/>
                <w:szCs w:val="24"/>
              </w:rPr>
            </w:pPr>
            <w:r w:rsidRPr="00402895">
              <w:rPr>
                <w:rFonts w:cs="Arial"/>
                <w:szCs w:val="24"/>
              </w:rPr>
              <w:t>Product relevance; increased market share; loyalty</w:t>
            </w:r>
          </w:p>
        </w:tc>
      </w:tr>
    </w:tbl>
    <w:p w14:paraId="29D36AAD" w14:textId="75ED790D" w:rsidR="002E39BF" w:rsidRPr="001514C6" w:rsidRDefault="00402895" w:rsidP="001514C6">
      <w:pPr>
        <w:pStyle w:val="Heading2"/>
      </w:pPr>
      <w:bookmarkStart w:id="23" w:name="_Toc213980508"/>
      <w:r w:rsidRPr="00402895">
        <w:rPr>
          <w:rStyle w:val="Strong"/>
          <w:rFonts w:cs="Arial"/>
          <w:b/>
          <w:bCs/>
          <w:sz w:val="24"/>
          <w:szCs w:val="24"/>
        </w:rPr>
        <w:t>e. Strategic and Long-Term Benefits</w:t>
      </w:r>
      <w:bookmarkEnd w:id="23"/>
    </w:p>
    <w:p w14:paraId="2EB034E8" w14:textId="77777777" w:rsidR="002E39BF" w:rsidRPr="002E39BF" w:rsidRDefault="002E39BF" w:rsidP="00C50FDB">
      <w:pPr>
        <w:spacing w:line="360" w:lineRule="auto"/>
        <w:rPr>
          <w:rFonts w:cs="Arial"/>
          <w:szCs w:val="24"/>
        </w:rPr>
      </w:pPr>
      <w:r w:rsidRPr="002E39BF">
        <w:rPr>
          <w:rFonts w:cs="Arial"/>
          <w:szCs w:val="24"/>
        </w:rPr>
        <w:t>There are some strategic benefits of implementing these reforms in SOP:</w:t>
      </w:r>
    </w:p>
    <w:p w14:paraId="38EA7BC1" w14:textId="2D924B88" w:rsidR="002E39BF" w:rsidRPr="002E39BF" w:rsidRDefault="002E39BF" w:rsidP="00C50FDB">
      <w:pPr>
        <w:pStyle w:val="ListParagraph"/>
        <w:numPr>
          <w:ilvl w:val="0"/>
          <w:numId w:val="30"/>
        </w:numPr>
        <w:spacing w:line="360" w:lineRule="auto"/>
        <w:rPr>
          <w:rFonts w:cs="Arial"/>
          <w:szCs w:val="24"/>
        </w:rPr>
      </w:pPr>
      <w:r w:rsidRPr="002E39BF">
        <w:rPr>
          <w:rFonts w:cs="Arial"/>
          <w:szCs w:val="24"/>
        </w:rPr>
        <w:t>Increased flexibility to react to changes in regulation and price wars</w:t>
      </w:r>
    </w:p>
    <w:p w14:paraId="169A5BEE" w14:textId="6FA17CF5" w:rsidR="002E39BF" w:rsidRPr="002E39BF" w:rsidRDefault="002E39BF" w:rsidP="00C50FDB">
      <w:pPr>
        <w:pStyle w:val="ListParagraph"/>
        <w:numPr>
          <w:ilvl w:val="0"/>
          <w:numId w:val="30"/>
        </w:numPr>
        <w:spacing w:line="360" w:lineRule="auto"/>
        <w:rPr>
          <w:rFonts w:cs="Arial"/>
          <w:szCs w:val="24"/>
        </w:rPr>
      </w:pPr>
      <w:r w:rsidRPr="002E39BF">
        <w:rPr>
          <w:rFonts w:cs="Arial"/>
          <w:szCs w:val="24"/>
        </w:rPr>
        <w:t>Increased workforce satisfaction and decreased turnover</w:t>
      </w:r>
    </w:p>
    <w:p w14:paraId="3AC57182" w14:textId="0D7D7869" w:rsidR="002E39BF" w:rsidRPr="002E39BF" w:rsidRDefault="002E39BF" w:rsidP="00C50FDB">
      <w:pPr>
        <w:pStyle w:val="ListParagraph"/>
        <w:numPr>
          <w:ilvl w:val="0"/>
          <w:numId w:val="30"/>
        </w:numPr>
        <w:spacing w:line="360" w:lineRule="auto"/>
        <w:rPr>
          <w:rFonts w:cs="Arial"/>
          <w:szCs w:val="24"/>
        </w:rPr>
      </w:pPr>
      <w:r w:rsidRPr="002E39BF">
        <w:rPr>
          <w:rFonts w:cs="Arial"/>
          <w:szCs w:val="24"/>
        </w:rPr>
        <w:t>Increased product-market fit (especially in under developed regions)</w:t>
      </w:r>
    </w:p>
    <w:p w14:paraId="21E401F4" w14:textId="77777777" w:rsidR="006E6559" w:rsidRDefault="002E39BF" w:rsidP="00C50FDB">
      <w:pPr>
        <w:pStyle w:val="ListParagraph"/>
        <w:numPr>
          <w:ilvl w:val="0"/>
          <w:numId w:val="30"/>
        </w:numPr>
        <w:spacing w:line="360" w:lineRule="auto"/>
        <w:rPr>
          <w:rFonts w:cs="Arial"/>
          <w:szCs w:val="24"/>
        </w:rPr>
      </w:pPr>
      <w:r w:rsidRPr="002E39BF">
        <w:rPr>
          <w:rFonts w:cs="Arial"/>
          <w:szCs w:val="24"/>
        </w:rPr>
        <w:t>Operational risk management, in particular, when it comes to compliance</w:t>
      </w:r>
    </w:p>
    <w:p w14:paraId="32F9E8CE" w14:textId="7F0C9CB0" w:rsidR="006E6559" w:rsidRPr="006E6559" w:rsidRDefault="006E6559" w:rsidP="00C50FDB">
      <w:pPr>
        <w:pStyle w:val="ListParagraph"/>
        <w:numPr>
          <w:ilvl w:val="0"/>
          <w:numId w:val="30"/>
        </w:numPr>
        <w:spacing w:line="360" w:lineRule="auto"/>
        <w:rPr>
          <w:rFonts w:cs="Arial"/>
          <w:szCs w:val="24"/>
        </w:rPr>
      </w:pPr>
      <w:r w:rsidRPr="006E6559">
        <w:rPr>
          <w:rFonts w:cs="Arial"/>
          <w:szCs w:val="24"/>
        </w:rPr>
        <w:t>Greater CSR impact, resultant increase in trust and reputation</w:t>
      </w:r>
    </w:p>
    <w:p w14:paraId="445558DA" w14:textId="4AE83723" w:rsidR="00D860FD" w:rsidRPr="006E6559" w:rsidRDefault="002E39BF" w:rsidP="001514C6">
      <w:pPr>
        <w:rPr>
          <w:rFonts w:cs="Arial"/>
          <w:szCs w:val="24"/>
        </w:rPr>
      </w:pPr>
      <w:r w:rsidRPr="002E39BF">
        <w:rPr>
          <w:rFonts w:cs="Arial"/>
          <w:szCs w:val="24"/>
        </w:rPr>
        <w:t>Through an alignment between SOP adjustments, OLI theory, cultural frameworks and the realities of the Indian market, Vodafone can maximize its chances towards</w:t>
      </w:r>
      <w:r w:rsidR="001514C6">
        <w:rPr>
          <w:rFonts w:cs="Arial"/>
          <w:szCs w:val="24"/>
        </w:rPr>
        <w:t xml:space="preserve"> </w:t>
      </w:r>
      <w:r w:rsidRPr="002E39BF">
        <w:rPr>
          <w:rFonts w:cs="Arial"/>
          <w:szCs w:val="24"/>
        </w:rPr>
        <w:t>sustainable growth and competitive advantage in one of the world's largest telecom markets</w:t>
      </w:r>
      <w:r w:rsidR="00D6655E" w:rsidRPr="00402895">
        <w:rPr>
          <w:rFonts w:cs="Arial"/>
          <w:szCs w:val="24"/>
        </w:rPr>
        <w:t>.</w:t>
      </w:r>
    </w:p>
    <w:p w14:paraId="12318BDB" w14:textId="17500F8E" w:rsidR="00D6655E" w:rsidRPr="00402895" w:rsidRDefault="00D6655E" w:rsidP="00C50FDB">
      <w:pPr>
        <w:pStyle w:val="Heading1"/>
        <w:rPr>
          <w:rFonts w:eastAsia="Times New Roman"/>
          <w:lang w:val="en-US"/>
        </w:rPr>
      </w:pPr>
      <w:bookmarkStart w:id="24" w:name="_Toc213980509"/>
      <w:r w:rsidRPr="00402895">
        <w:rPr>
          <w:rFonts w:eastAsia="Times New Roman"/>
          <w:lang w:val="en-US"/>
        </w:rPr>
        <w:lastRenderedPageBreak/>
        <w:t>Conclusion</w:t>
      </w:r>
      <w:bookmarkEnd w:id="24"/>
      <w:r w:rsidRPr="00402895">
        <w:rPr>
          <w:rFonts w:eastAsia="Times New Roman"/>
          <w:lang w:val="en-US"/>
        </w:rPr>
        <w:t xml:space="preserve"> </w:t>
      </w:r>
    </w:p>
    <w:p w14:paraId="4CA7B73A" w14:textId="77777777" w:rsidR="006E6559" w:rsidRPr="006E6559" w:rsidRDefault="006E6559" w:rsidP="00C50FDB">
      <w:pPr>
        <w:spacing w:line="360" w:lineRule="auto"/>
        <w:rPr>
          <w:rFonts w:eastAsia="Times New Roman" w:cs="Arial"/>
          <w:szCs w:val="24"/>
          <w:lang w:val="en-US"/>
        </w:rPr>
      </w:pPr>
      <w:r w:rsidRPr="006E6559">
        <w:rPr>
          <w:rFonts w:eastAsia="Times New Roman" w:cs="Arial"/>
          <w:szCs w:val="24"/>
          <w:lang w:val="en-US"/>
        </w:rPr>
        <w:t>This report has performed a critical analysis on the international operations of Vodafone Group plc, with special focus on the expansion of this company in the Indian market. In doing this it identified the strategic benefits and challenges that come with operating as a multinational corporation, with Vodafone's competencies across areas such as technology, finance and brand reputation seen as central to its global competitiveness.</w:t>
      </w:r>
    </w:p>
    <w:p w14:paraId="592CFB6B" w14:textId="77777777" w:rsidR="006E6559" w:rsidRPr="006E6559" w:rsidRDefault="006E6559" w:rsidP="00C50FDB">
      <w:pPr>
        <w:spacing w:line="360" w:lineRule="auto"/>
        <w:rPr>
          <w:rFonts w:eastAsia="Times New Roman" w:cs="Arial"/>
          <w:szCs w:val="24"/>
          <w:lang w:val="en-US"/>
        </w:rPr>
      </w:pPr>
      <w:r w:rsidRPr="006E6559">
        <w:rPr>
          <w:rFonts w:eastAsia="Times New Roman" w:cs="Arial"/>
          <w:szCs w:val="24"/>
          <w:lang w:val="en-US"/>
        </w:rPr>
        <w:t>The application of the OLI framework showed how the ownership advantages (resources and capabilities) of Vodafone, the location advantages (large market size and low costs of India), and the internalisation advantages (operational control) of Vodafone defined the market entry and growth strategies of this company. However, what also surfaced were complex challenges in the form of regulatory instability, cultural diversity and disruption to competition.</w:t>
      </w:r>
    </w:p>
    <w:p w14:paraId="2DB61F6C" w14:textId="193E7971" w:rsidR="006E6559" w:rsidRDefault="006E6559" w:rsidP="00C50FDB">
      <w:pPr>
        <w:spacing w:line="360" w:lineRule="auto"/>
        <w:rPr>
          <w:rFonts w:eastAsia="Times New Roman" w:cs="Arial"/>
          <w:szCs w:val="24"/>
          <w:lang w:val="en-US"/>
        </w:rPr>
      </w:pPr>
      <w:r w:rsidRPr="006E6559">
        <w:rPr>
          <w:rFonts w:eastAsia="Times New Roman" w:cs="Arial"/>
          <w:szCs w:val="24"/>
          <w:lang w:val="en-US"/>
        </w:rPr>
        <w:t>Cultural analysis indicated that differences present between the UK and India make a significant impact on the management of Vodafone, its HR and marketing practices. The success of Vodafone in India depends to a great extent on its ability to incorporate the local culture norms into a corporate policy.</w:t>
      </w:r>
    </w:p>
    <w:p w14:paraId="0CC59A27" w14:textId="13B78331" w:rsidR="00D860FD" w:rsidRDefault="00D860FD" w:rsidP="00C50FDB">
      <w:pPr>
        <w:spacing w:line="360" w:lineRule="auto"/>
        <w:rPr>
          <w:rFonts w:eastAsia="Times New Roman" w:cs="Arial"/>
          <w:szCs w:val="24"/>
          <w:lang w:val="en-US"/>
        </w:rPr>
      </w:pPr>
    </w:p>
    <w:p w14:paraId="0230AB0C" w14:textId="201EA056" w:rsidR="00D860FD" w:rsidRDefault="00D860FD" w:rsidP="00C50FDB">
      <w:pPr>
        <w:spacing w:line="360" w:lineRule="auto"/>
        <w:rPr>
          <w:rFonts w:eastAsia="Times New Roman" w:cs="Arial"/>
          <w:szCs w:val="24"/>
          <w:lang w:val="en-US"/>
        </w:rPr>
      </w:pPr>
    </w:p>
    <w:p w14:paraId="51F9C6D4" w14:textId="764D9DB6" w:rsidR="00D860FD" w:rsidRDefault="00D860FD" w:rsidP="00C50FDB">
      <w:pPr>
        <w:spacing w:line="360" w:lineRule="auto"/>
        <w:rPr>
          <w:rFonts w:eastAsia="Times New Roman" w:cs="Arial"/>
          <w:szCs w:val="24"/>
          <w:lang w:val="en-US"/>
        </w:rPr>
      </w:pPr>
    </w:p>
    <w:p w14:paraId="1AA84222" w14:textId="43FDE54C" w:rsidR="00D860FD" w:rsidRDefault="00D860FD" w:rsidP="00C50FDB">
      <w:pPr>
        <w:spacing w:line="360" w:lineRule="auto"/>
        <w:rPr>
          <w:rFonts w:eastAsia="Times New Roman" w:cs="Arial"/>
          <w:szCs w:val="24"/>
          <w:lang w:val="en-US"/>
        </w:rPr>
      </w:pPr>
    </w:p>
    <w:p w14:paraId="7E52715E" w14:textId="3BD41E68" w:rsidR="00D860FD" w:rsidRDefault="00D860FD" w:rsidP="00C50FDB">
      <w:pPr>
        <w:spacing w:line="360" w:lineRule="auto"/>
        <w:rPr>
          <w:rFonts w:eastAsia="Times New Roman" w:cs="Arial"/>
          <w:szCs w:val="24"/>
          <w:lang w:val="en-US"/>
        </w:rPr>
      </w:pPr>
    </w:p>
    <w:p w14:paraId="539F4DFA" w14:textId="217F53A1" w:rsidR="00D860FD" w:rsidRDefault="00D860FD" w:rsidP="00C50FDB">
      <w:pPr>
        <w:spacing w:line="360" w:lineRule="auto"/>
        <w:rPr>
          <w:rFonts w:eastAsia="Times New Roman" w:cs="Arial"/>
          <w:szCs w:val="24"/>
          <w:lang w:val="en-US"/>
        </w:rPr>
      </w:pPr>
    </w:p>
    <w:p w14:paraId="2CB7F8DE" w14:textId="28D32B06" w:rsidR="00D860FD" w:rsidRDefault="00D860FD" w:rsidP="00C50FDB">
      <w:pPr>
        <w:spacing w:line="360" w:lineRule="auto"/>
        <w:rPr>
          <w:rFonts w:eastAsia="Times New Roman" w:cs="Arial"/>
          <w:szCs w:val="24"/>
          <w:lang w:val="en-US"/>
        </w:rPr>
      </w:pPr>
    </w:p>
    <w:p w14:paraId="48265EDE" w14:textId="031254C0" w:rsidR="00D860FD" w:rsidRDefault="00D860FD" w:rsidP="00C50FDB">
      <w:pPr>
        <w:spacing w:line="360" w:lineRule="auto"/>
        <w:rPr>
          <w:rFonts w:eastAsia="Times New Roman" w:cs="Arial"/>
          <w:szCs w:val="24"/>
          <w:lang w:val="en-US"/>
        </w:rPr>
      </w:pPr>
    </w:p>
    <w:p w14:paraId="714A0504" w14:textId="77777777" w:rsidR="00D860FD" w:rsidRPr="006E6559" w:rsidRDefault="00D860FD" w:rsidP="00C50FDB">
      <w:pPr>
        <w:spacing w:line="360" w:lineRule="auto"/>
        <w:rPr>
          <w:rFonts w:eastAsia="Times New Roman" w:cs="Arial"/>
          <w:szCs w:val="24"/>
          <w:lang w:val="en-US"/>
        </w:rPr>
      </w:pPr>
    </w:p>
    <w:p w14:paraId="26EF631F" w14:textId="3FAF5E4C" w:rsidR="00D6655E" w:rsidRPr="00C50FDB" w:rsidRDefault="00D6655E" w:rsidP="00D860FD">
      <w:pPr>
        <w:pStyle w:val="Heading1"/>
        <w:rPr>
          <w:rFonts w:eastAsia="Times New Roman"/>
          <w:lang w:val="en-US"/>
        </w:rPr>
      </w:pPr>
      <w:bookmarkStart w:id="25" w:name="_Toc213980510"/>
      <w:r w:rsidRPr="00C50FDB">
        <w:rPr>
          <w:rFonts w:eastAsia="Times New Roman"/>
          <w:lang w:val="en-US"/>
        </w:rPr>
        <w:lastRenderedPageBreak/>
        <w:t>References</w:t>
      </w:r>
      <w:bookmarkEnd w:id="25"/>
      <w:r w:rsidRPr="00C50FDB">
        <w:rPr>
          <w:rFonts w:eastAsia="Times New Roman"/>
          <w:lang w:val="en-US"/>
        </w:rPr>
        <w:t xml:space="preserve"> </w:t>
      </w:r>
    </w:p>
    <w:p w14:paraId="6F3A3ED3"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Bartlett, C.A. &amp; Ghoshal, S., 1989. </w:t>
      </w:r>
      <w:r w:rsidRPr="00C50FDB">
        <w:rPr>
          <w:rStyle w:val="Emphasis"/>
          <w:rFonts w:ascii="Arial" w:hAnsi="Arial" w:cs="Arial"/>
        </w:rPr>
        <w:t>Managing Across Borders: The Transnational Solution.</w:t>
      </w:r>
      <w:r w:rsidRPr="00C50FDB">
        <w:rPr>
          <w:rFonts w:ascii="Arial" w:hAnsi="Arial" w:cs="Arial"/>
        </w:rPr>
        <w:t xml:space="preserve"> Boston: Harvard Business School Press.</w:t>
      </w:r>
    </w:p>
    <w:p w14:paraId="28890E87"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BBC News, 2021. </w:t>
      </w:r>
      <w:r w:rsidRPr="00C50FDB">
        <w:rPr>
          <w:rStyle w:val="Emphasis"/>
          <w:rFonts w:ascii="Arial" w:hAnsi="Arial" w:cs="Arial"/>
        </w:rPr>
        <w:t>Vodafone wins ‘retrospective tax’ case against India.</w:t>
      </w:r>
      <w:r w:rsidRPr="00C50FDB">
        <w:rPr>
          <w:rFonts w:ascii="Arial" w:hAnsi="Arial" w:cs="Arial"/>
        </w:rPr>
        <w:t xml:space="preserve"> Available at: </w:t>
      </w:r>
      <w:hyperlink r:id="rId15" w:history="1">
        <w:r w:rsidRPr="00C50FDB">
          <w:rPr>
            <w:rStyle w:val="Hyperlink"/>
            <w:rFonts w:ascii="Arial" w:hAnsi="Arial" w:cs="Arial"/>
          </w:rPr>
          <w:t>https://www.bbc.com/news/</w:t>
        </w:r>
      </w:hyperlink>
      <w:r w:rsidRPr="00C50FDB">
        <w:rPr>
          <w:rFonts w:ascii="Arial" w:hAnsi="Arial" w:cs="Arial"/>
        </w:rPr>
        <w:t xml:space="preserve"> [Accessed 13 November 2025].</w:t>
      </w:r>
    </w:p>
    <w:p w14:paraId="2CFF1DD9"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Buckley, P.J. &amp; Casson, M., 1976. </w:t>
      </w:r>
      <w:r w:rsidRPr="00C50FDB">
        <w:rPr>
          <w:rStyle w:val="Emphasis"/>
          <w:rFonts w:ascii="Arial" w:hAnsi="Arial" w:cs="Arial"/>
        </w:rPr>
        <w:t>The Future of the Multinational Enterprise.</w:t>
      </w:r>
      <w:r w:rsidRPr="00C50FDB">
        <w:rPr>
          <w:rFonts w:ascii="Arial" w:hAnsi="Arial" w:cs="Arial"/>
        </w:rPr>
        <w:t xml:space="preserve"> London: Macmillan.</w:t>
      </w:r>
    </w:p>
    <w:p w14:paraId="5228C846"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Dunning, J.H., 1988. The eclectic paradigm of international production: A restatement and some possible extensions. </w:t>
      </w:r>
      <w:r w:rsidRPr="00C50FDB">
        <w:rPr>
          <w:rStyle w:val="Emphasis"/>
          <w:rFonts w:ascii="Arial" w:hAnsi="Arial" w:cs="Arial"/>
        </w:rPr>
        <w:t>Journal of International Business Studies,</w:t>
      </w:r>
      <w:r w:rsidRPr="00C50FDB">
        <w:rPr>
          <w:rFonts w:ascii="Arial" w:hAnsi="Arial" w:cs="Arial"/>
        </w:rPr>
        <w:t xml:space="preserve"> 19(1), pp.1–31.</w:t>
      </w:r>
    </w:p>
    <w:p w14:paraId="01981959"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Dunning, J.H. &amp; Lundan, S.M., 2008. </w:t>
      </w:r>
      <w:r w:rsidRPr="00C50FDB">
        <w:rPr>
          <w:rStyle w:val="Emphasis"/>
          <w:rFonts w:ascii="Arial" w:hAnsi="Arial" w:cs="Arial"/>
        </w:rPr>
        <w:t>Multinational Enterprises and the Global Economy.</w:t>
      </w:r>
      <w:r w:rsidRPr="00C50FDB">
        <w:rPr>
          <w:rFonts w:ascii="Arial" w:hAnsi="Arial" w:cs="Arial"/>
        </w:rPr>
        <w:t xml:space="preserve"> 2nd ed. Cheltenham: Edward Elgar.</w:t>
      </w:r>
    </w:p>
    <w:p w14:paraId="43111EBC"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Grant, R.M., 2021. </w:t>
      </w:r>
      <w:r w:rsidRPr="00C50FDB">
        <w:rPr>
          <w:rStyle w:val="Emphasis"/>
          <w:rFonts w:ascii="Arial" w:hAnsi="Arial" w:cs="Arial"/>
        </w:rPr>
        <w:t>Contemporary Strategy Analysis.</w:t>
      </w:r>
      <w:r w:rsidRPr="00C50FDB">
        <w:rPr>
          <w:rFonts w:ascii="Arial" w:hAnsi="Arial" w:cs="Arial"/>
        </w:rPr>
        <w:t xml:space="preserve"> 11th ed. Hoboken: Wiley.</w:t>
      </w:r>
    </w:p>
    <w:p w14:paraId="02D4DD01"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Hofstede Insights, 2024. </w:t>
      </w:r>
      <w:r w:rsidRPr="00C50FDB">
        <w:rPr>
          <w:rStyle w:val="Emphasis"/>
          <w:rFonts w:ascii="Arial" w:hAnsi="Arial" w:cs="Arial"/>
        </w:rPr>
        <w:t>Country Comparison: UK vs India.</w:t>
      </w:r>
      <w:r w:rsidRPr="00C50FDB">
        <w:rPr>
          <w:rFonts w:ascii="Arial" w:hAnsi="Arial" w:cs="Arial"/>
        </w:rPr>
        <w:t xml:space="preserve"> Available at: </w:t>
      </w:r>
      <w:hyperlink r:id="rId16" w:history="1">
        <w:r w:rsidRPr="00C50FDB">
          <w:rPr>
            <w:rStyle w:val="Hyperlink"/>
            <w:rFonts w:ascii="Arial" w:hAnsi="Arial" w:cs="Arial"/>
          </w:rPr>
          <w:t>https://www.hofstede-insights.com/</w:t>
        </w:r>
      </w:hyperlink>
      <w:r w:rsidRPr="00C50FDB">
        <w:rPr>
          <w:rFonts w:ascii="Arial" w:hAnsi="Arial" w:cs="Arial"/>
        </w:rPr>
        <w:t xml:space="preserve"> [Accessed 13 November 2025].</w:t>
      </w:r>
    </w:p>
    <w:p w14:paraId="3B2F31FA"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Johanson, J. &amp; Vahlne, J.E., 1977. The internationalization process of the firm. </w:t>
      </w:r>
      <w:r w:rsidRPr="00C50FDB">
        <w:rPr>
          <w:rStyle w:val="Emphasis"/>
          <w:rFonts w:ascii="Arial" w:hAnsi="Arial" w:cs="Arial"/>
        </w:rPr>
        <w:t>Journal of International Business Studies,</w:t>
      </w:r>
      <w:r w:rsidRPr="00C50FDB">
        <w:rPr>
          <w:rFonts w:ascii="Arial" w:hAnsi="Arial" w:cs="Arial"/>
        </w:rPr>
        <w:t xml:space="preserve"> 8(1), pp.23–32.</w:t>
      </w:r>
    </w:p>
    <w:p w14:paraId="1C9D09A9"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Levitt, T., 1983. The globalization of markets. </w:t>
      </w:r>
      <w:r w:rsidRPr="00C50FDB">
        <w:rPr>
          <w:rStyle w:val="Emphasis"/>
          <w:rFonts w:ascii="Arial" w:hAnsi="Arial" w:cs="Arial"/>
        </w:rPr>
        <w:t>Harvard Business Review,</w:t>
      </w:r>
      <w:r w:rsidRPr="00C50FDB">
        <w:rPr>
          <w:rFonts w:ascii="Arial" w:hAnsi="Arial" w:cs="Arial"/>
        </w:rPr>
        <w:t xml:space="preserve"> 61(3), pp.92–102.</w:t>
      </w:r>
    </w:p>
    <w:p w14:paraId="4F884799"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Markowitz, H., 1952. Portfolio selection. </w:t>
      </w:r>
      <w:r w:rsidRPr="00C50FDB">
        <w:rPr>
          <w:rStyle w:val="Emphasis"/>
          <w:rFonts w:ascii="Arial" w:hAnsi="Arial" w:cs="Arial"/>
        </w:rPr>
        <w:t>The Journal of Finance,</w:t>
      </w:r>
      <w:r w:rsidRPr="00C50FDB">
        <w:rPr>
          <w:rFonts w:ascii="Arial" w:hAnsi="Arial" w:cs="Arial"/>
        </w:rPr>
        <w:t xml:space="preserve"> 7(1), pp.77–91.</w:t>
      </w:r>
    </w:p>
    <w:p w14:paraId="3A2FA30E"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Meyer, E., 2014. </w:t>
      </w:r>
      <w:r w:rsidRPr="00C50FDB">
        <w:rPr>
          <w:rStyle w:val="Emphasis"/>
          <w:rFonts w:ascii="Arial" w:hAnsi="Arial" w:cs="Arial"/>
        </w:rPr>
        <w:t>The Culture Map: Breaking Through the Invisible Boundaries of Global Business.</w:t>
      </w:r>
      <w:r w:rsidRPr="00C50FDB">
        <w:rPr>
          <w:rFonts w:ascii="Arial" w:hAnsi="Arial" w:cs="Arial"/>
        </w:rPr>
        <w:t xml:space="preserve"> New York: PublicAffairs.</w:t>
      </w:r>
    </w:p>
    <w:p w14:paraId="508F2E32"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PwC India, 2023. </w:t>
      </w:r>
      <w:r w:rsidRPr="00C50FDB">
        <w:rPr>
          <w:rStyle w:val="Emphasis"/>
          <w:rFonts w:ascii="Arial" w:hAnsi="Arial" w:cs="Arial"/>
        </w:rPr>
        <w:t>Telecom Industry Report 2023.</w:t>
      </w:r>
      <w:r w:rsidRPr="00C50FDB">
        <w:rPr>
          <w:rFonts w:ascii="Arial" w:hAnsi="Arial" w:cs="Arial"/>
        </w:rPr>
        <w:t xml:space="preserve"> Available at: </w:t>
      </w:r>
      <w:hyperlink r:id="rId17" w:history="1">
        <w:r w:rsidRPr="00C50FDB">
          <w:rPr>
            <w:rStyle w:val="Hyperlink"/>
            <w:rFonts w:ascii="Arial" w:hAnsi="Arial" w:cs="Arial"/>
          </w:rPr>
          <w:t>https://www.pwc.in/</w:t>
        </w:r>
      </w:hyperlink>
      <w:r w:rsidRPr="00C50FDB">
        <w:rPr>
          <w:rFonts w:ascii="Arial" w:hAnsi="Arial" w:cs="Arial"/>
        </w:rPr>
        <w:t xml:space="preserve"> [Accessed 13 November 2025].</w:t>
      </w:r>
    </w:p>
    <w:p w14:paraId="1FEC1366"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lastRenderedPageBreak/>
        <w:t xml:space="preserve">Singh, P. &amp; Gupta, S., 2022. Cross-cultural HRM practices in Indian telecom sector. </w:t>
      </w:r>
      <w:r w:rsidRPr="00C50FDB">
        <w:rPr>
          <w:rStyle w:val="Emphasis"/>
          <w:rFonts w:ascii="Arial" w:hAnsi="Arial" w:cs="Arial"/>
        </w:rPr>
        <w:t>International Journal of Human Resource Studies,</w:t>
      </w:r>
      <w:r w:rsidRPr="00C50FDB">
        <w:rPr>
          <w:rFonts w:ascii="Arial" w:hAnsi="Arial" w:cs="Arial"/>
        </w:rPr>
        <w:t xml:space="preserve"> 12(4), pp.45–62.</w:t>
      </w:r>
    </w:p>
    <w:p w14:paraId="3EB104B9"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Statista, 2024. </w:t>
      </w:r>
      <w:r w:rsidRPr="00C50FDB">
        <w:rPr>
          <w:rStyle w:val="Emphasis"/>
          <w:rFonts w:ascii="Arial" w:hAnsi="Arial" w:cs="Arial"/>
        </w:rPr>
        <w:t>Telecommunications Market Share in India.</w:t>
      </w:r>
      <w:r w:rsidRPr="00C50FDB">
        <w:rPr>
          <w:rFonts w:ascii="Arial" w:hAnsi="Arial" w:cs="Arial"/>
        </w:rPr>
        <w:t xml:space="preserve"> Available at: </w:t>
      </w:r>
      <w:hyperlink r:id="rId18" w:history="1">
        <w:r w:rsidRPr="00C50FDB">
          <w:rPr>
            <w:rStyle w:val="Hyperlink"/>
            <w:rFonts w:ascii="Arial" w:hAnsi="Arial" w:cs="Arial"/>
          </w:rPr>
          <w:t>https://www.statista.com/</w:t>
        </w:r>
      </w:hyperlink>
      <w:r w:rsidRPr="00C50FDB">
        <w:rPr>
          <w:rFonts w:ascii="Arial" w:hAnsi="Arial" w:cs="Arial"/>
        </w:rPr>
        <w:t xml:space="preserve"> [Accessed 13 November 2025].</w:t>
      </w:r>
    </w:p>
    <w:p w14:paraId="280F10CA"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The Economic Times, 2022. </w:t>
      </w:r>
      <w:r w:rsidRPr="00C50FDB">
        <w:rPr>
          <w:rStyle w:val="Emphasis"/>
          <w:rFonts w:ascii="Arial" w:hAnsi="Arial" w:cs="Arial"/>
        </w:rPr>
        <w:t>Vodafone’s ‘Together We Can’ global brand campaign launched in India.</w:t>
      </w:r>
      <w:r w:rsidRPr="00C50FDB">
        <w:rPr>
          <w:rFonts w:ascii="Arial" w:hAnsi="Arial" w:cs="Arial"/>
        </w:rPr>
        <w:t xml:space="preserve"> Available at: </w:t>
      </w:r>
      <w:hyperlink r:id="rId19" w:history="1">
        <w:r w:rsidRPr="00C50FDB">
          <w:rPr>
            <w:rStyle w:val="Hyperlink"/>
            <w:rFonts w:ascii="Arial" w:hAnsi="Arial" w:cs="Arial"/>
          </w:rPr>
          <w:t>https://economictimes.indiatimes.com/</w:t>
        </w:r>
      </w:hyperlink>
      <w:r w:rsidRPr="00C50FDB">
        <w:rPr>
          <w:rFonts w:ascii="Arial" w:hAnsi="Arial" w:cs="Arial"/>
        </w:rPr>
        <w:t xml:space="preserve"> [Accessed 13 November 2025].</w:t>
      </w:r>
    </w:p>
    <w:p w14:paraId="6503D838"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The Economic Times, 2023. </w:t>
      </w:r>
      <w:r w:rsidRPr="00C50FDB">
        <w:rPr>
          <w:rStyle w:val="Emphasis"/>
          <w:rFonts w:ascii="Arial" w:hAnsi="Arial" w:cs="Arial"/>
        </w:rPr>
        <w:t>How Vodafone’s ZooZoo campaign became a marketing phenomenon.</w:t>
      </w:r>
      <w:r w:rsidRPr="00C50FDB">
        <w:rPr>
          <w:rFonts w:ascii="Arial" w:hAnsi="Arial" w:cs="Arial"/>
        </w:rPr>
        <w:t xml:space="preserve"> Available at: </w:t>
      </w:r>
      <w:hyperlink r:id="rId20" w:history="1">
        <w:r w:rsidRPr="00C50FDB">
          <w:rPr>
            <w:rStyle w:val="Hyperlink"/>
            <w:rFonts w:ascii="Arial" w:hAnsi="Arial" w:cs="Arial"/>
          </w:rPr>
          <w:t>https://economictimes.indiatimes.com/</w:t>
        </w:r>
      </w:hyperlink>
      <w:r w:rsidRPr="00C50FDB">
        <w:rPr>
          <w:rFonts w:ascii="Arial" w:hAnsi="Arial" w:cs="Arial"/>
        </w:rPr>
        <w:t xml:space="preserve"> [Accessed 13 November 2025].</w:t>
      </w:r>
    </w:p>
    <w:p w14:paraId="5F8AB715"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TRAI, 2024. </w:t>
      </w:r>
      <w:r w:rsidRPr="00C50FDB">
        <w:rPr>
          <w:rStyle w:val="Emphasis"/>
          <w:rFonts w:ascii="Arial" w:hAnsi="Arial" w:cs="Arial"/>
        </w:rPr>
        <w:t>Telecom Subscription Report 2024.</w:t>
      </w:r>
      <w:r w:rsidRPr="00C50FDB">
        <w:rPr>
          <w:rFonts w:ascii="Arial" w:hAnsi="Arial" w:cs="Arial"/>
        </w:rPr>
        <w:t xml:space="preserve"> Telecom Regulatory Authority of India. Available at: </w:t>
      </w:r>
      <w:hyperlink r:id="rId21" w:history="1">
        <w:r w:rsidRPr="00C50FDB">
          <w:rPr>
            <w:rStyle w:val="Hyperlink"/>
            <w:rFonts w:ascii="Arial" w:hAnsi="Arial" w:cs="Arial"/>
          </w:rPr>
          <w:t>https://www.trai.gov.in/</w:t>
        </w:r>
      </w:hyperlink>
      <w:r w:rsidRPr="00C50FDB">
        <w:rPr>
          <w:rFonts w:ascii="Arial" w:hAnsi="Arial" w:cs="Arial"/>
        </w:rPr>
        <w:t xml:space="preserve"> [Accessed 13 November 2025].</w:t>
      </w:r>
    </w:p>
    <w:p w14:paraId="679E7931" w14:textId="77777777" w:rsidR="00C50FDB" w:rsidRPr="00C50FDB" w:rsidRDefault="00C50FDB" w:rsidP="008C6CA6">
      <w:pPr>
        <w:pStyle w:val="NormalWeb"/>
        <w:spacing w:line="360" w:lineRule="auto"/>
        <w:jc w:val="both"/>
        <w:rPr>
          <w:rFonts w:ascii="Arial" w:hAnsi="Arial" w:cs="Arial"/>
        </w:rPr>
      </w:pPr>
      <w:r w:rsidRPr="00C50FDB">
        <w:rPr>
          <w:rFonts w:ascii="Arial" w:hAnsi="Arial" w:cs="Arial"/>
        </w:rPr>
        <w:t xml:space="preserve">Vodafone Annual Report, 2024. </w:t>
      </w:r>
      <w:r w:rsidRPr="00C50FDB">
        <w:rPr>
          <w:rStyle w:val="Emphasis"/>
          <w:rFonts w:ascii="Arial" w:hAnsi="Arial" w:cs="Arial"/>
        </w:rPr>
        <w:t>Vodafone Group Plc Annual Report 2024.</w:t>
      </w:r>
      <w:r w:rsidRPr="00C50FDB">
        <w:rPr>
          <w:rFonts w:ascii="Arial" w:hAnsi="Arial" w:cs="Arial"/>
        </w:rPr>
        <w:t xml:space="preserve"> Available at: </w:t>
      </w:r>
      <w:hyperlink r:id="rId22" w:history="1">
        <w:r w:rsidRPr="00C50FDB">
          <w:rPr>
            <w:rStyle w:val="Hyperlink"/>
            <w:rFonts w:ascii="Arial" w:hAnsi="Arial" w:cs="Arial"/>
          </w:rPr>
          <w:t>https://www.vodafone.com/</w:t>
        </w:r>
      </w:hyperlink>
      <w:r w:rsidRPr="00C50FDB">
        <w:rPr>
          <w:rFonts w:ascii="Arial" w:hAnsi="Arial" w:cs="Arial"/>
        </w:rPr>
        <w:t xml:space="preserve"> [Accessed 13 November 2025].</w:t>
      </w:r>
    </w:p>
    <w:p w14:paraId="67210AE7" w14:textId="5696B20A" w:rsidR="00334B60" w:rsidRPr="00C50FDB" w:rsidRDefault="00C50FDB" w:rsidP="008C6CA6">
      <w:pPr>
        <w:pStyle w:val="NormalWeb"/>
        <w:spacing w:line="360" w:lineRule="auto"/>
        <w:jc w:val="both"/>
        <w:rPr>
          <w:rFonts w:ascii="Arial" w:hAnsi="Arial" w:cs="Arial"/>
        </w:rPr>
      </w:pPr>
      <w:r w:rsidRPr="00C50FDB">
        <w:rPr>
          <w:rFonts w:ascii="Arial" w:hAnsi="Arial" w:cs="Arial"/>
        </w:rPr>
        <w:t xml:space="preserve">Vodafone Idea, 2023. </w:t>
      </w:r>
      <w:r w:rsidRPr="00C50FDB">
        <w:rPr>
          <w:rStyle w:val="Emphasis"/>
          <w:rFonts w:ascii="Arial" w:hAnsi="Arial" w:cs="Arial"/>
        </w:rPr>
        <w:t>Vodafone Idea IoT and Smart City Solutions.</w:t>
      </w:r>
      <w:r w:rsidRPr="00C50FDB">
        <w:rPr>
          <w:rFonts w:ascii="Arial" w:hAnsi="Arial" w:cs="Arial"/>
        </w:rPr>
        <w:t xml:space="preserve"> Available at: </w:t>
      </w:r>
      <w:hyperlink r:id="rId23" w:history="1">
        <w:r w:rsidRPr="00C50FDB">
          <w:rPr>
            <w:rStyle w:val="Hyperlink"/>
            <w:rFonts w:ascii="Arial" w:hAnsi="Arial" w:cs="Arial"/>
          </w:rPr>
          <w:t>https://www.myvi.in/</w:t>
        </w:r>
      </w:hyperlink>
      <w:r w:rsidRPr="00C50FDB">
        <w:rPr>
          <w:rFonts w:ascii="Arial" w:hAnsi="Arial" w:cs="Arial"/>
        </w:rPr>
        <w:t xml:space="preserve"> [Accessed 13 November 2025].</w:t>
      </w:r>
    </w:p>
    <w:sectPr w:rsidR="00334B60" w:rsidRPr="00C50FDB" w:rsidSect="00D860FD">
      <w:headerReference w:type="default" r:id="rId24"/>
      <w:footerReference w:type="default" r:id="rId2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7D584" w14:textId="77777777" w:rsidR="00080FC7" w:rsidRDefault="00080FC7" w:rsidP="00520BA5">
      <w:pPr>
        <w:spacing w:after="0" w:line="240" w:lineRule="auto"/>
      </w:pPr>
      <w:r>
        <w:separator/>
      </w:r>
    </w:p>
  </w:endnote>
  <w:endnote w:type="continuationSeparator" w:id="0">
    <w:p w14:paraId="27C71070" w14:textId="77777777" w:rsidR="00080FC7" w:rsidRDefault="00080FC7" w:rsidP="00520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8F6C0" w14:textId="77777777" w:rsidR="00520BA5" w:rsidRDefault="00520B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641062"/>
      <w:docPartObj>
        <w:docPartGallery w:val="Page Numbers (Bottom of Page)"/>
        <w:docPartUnique/>
      </w:docPartObj>
    </w:sdtPr>
    <w:sdtEndPr/>
    <w:sdtContent>
      <w:p w14:paraId="6B7D66C9" w14:textId="72118CFD" w:rsidR="00D860FD" w:rsidRDefault="00D860FD">
        <w:pPr>
          <w:pStyle w:val="Footer"/>
          <w:jc w:val="right"/>
        </w:pPr>
        <w:r>
          <w:t xml:space="preserve">Page | </w:t>
        </w:r>
        <w:r>
          <w:fldChar w:fldCharType="begin"/>
        </w:r>
        <w:r>
          <w:instrText xml:space="preserve"> PAGE   \* MERGEFORMAT </w:instrText>
        </w:r>
        <w:r>
          <w:fldChar w:fldCharType="separate"/>
        </w:r>
        <w:r w:rsidR="007B7B5A">
          <w:rPr>
            <w:noProof/>
          </w:rPr>
          <w:t>18</w:t>
        </w:r>
        <w:r>
          <w:rPr>
            <w:noProof/>
          </w:rPr>
          <w:fldChar w:fldCharType="end"/>
        </w:r>
        <w:r>
          <w:t xml:space="preserve"> </w:t>
        </w:r>
      </w:p>
    </w:sdtContent>
  </w:sdt>
  <w:p w14:paraId="676C20D1" w14:textId="77777777" w:rsidR="00520BA5" w:rsidRDefault="00520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E1512" w14:textId="77777777" w:rsidR="00080FC7" w:rsidRDefault="00080FC7" w:rsidP="00520BA5">
      <w:pPr>
        <w:spacing w:after="0" w:line="240" w:lineRule="auto"/>
      </w:pPr>
      <w:r>
        <w:separator/>
      </w:r>
    </w:p>
  </w:footnote>
  <w:footnote w:type="continuationSeparator" w:id="0">
    <w:p w14:paraId="27408020" w14:textId="77777777" w:rsidR="00080FC7" w:rsidRDefault="00080FC7" w:rsidP="00520B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4F225" w14:textId="77777777" w:rsidR="00520BA5" w:rsidRDefault="00520B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4B8C8" w14:textId="77777777" w:rsidR="00520BA5" w:rsidRDefault="00520B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59A6"/>
    <w:multiLevelType w:val="multilevel"/>
    <w:tmpl w:val="22B03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A951FA"/>
    <w:multiLevelType w:val="multilevel"/>
    <w:tmpl w:val="4030BB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1A2D87"/>
    <w:multiLevelType w:val="multilevel"/>
    <w:tmpl w:val="B0A8A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890392"/>
    <w:multiLevelType w:val="multilevel"/>
    <w:tmpl w:val="2D765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FA026D"/>
    <w:multiLevelType w:val="multilevel"/>
    <w:tmpl w:val="A05ED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356714"/>
    <w:multiLevelType w:val="multilevel"/>
    <w:tmpl w:val="6BD41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345662"/>
    <w:multiLevelType w:val="multilevel"/>
    <w:tmpl w:val="789EE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D86579"/>
    <w:multiLevelType w:val="multilevel"/>
    <w:tmpl w:val="2DF21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A720E0"/>
    <w:multiLevelType w:val="multilevel"/>
    <w:tmpl w:val="CE820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882086"/>
    <w:multiLevelType w:val="multilevel"/>
    <w:tmpl w:val="E86AA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E9B29D5"/>
    <w:multiLevelType w:val="multilevel"/>
    <w:tmpl w:val="FEF00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9560BF"/>
    <w:multiLevelType w:val="multilevel"/>
    <w:tmpl w:val="AD923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29403D"/>
    <w:multiLevelType w:val="multilevel"/>
    <w:tmpl w:val="6EB0B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6506C4"/>
    <w:multiLevelType w:val="multilevel"/>
    <w:tmpl w:val="6696D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3826E3"/>
    <w:multiLevelType w:val="multilevel"/>
    <w:tmpl w:val="F9365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33478F"/>
    <w:multiLevelType w:val="multilevel"/>
    <w:tmpl w:val="1114A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2E46E2"/>
    <w:multiLevelType w:val="multilevel"/>
    <w:tmpl w:val="3C829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FEE1699"/>
    <w:multiLevelType w:val="hybridMultilevel"/>
    <w:tmpl w:val="6D18C9F4"/>
    <w:lvl w:ilvl="0" w:tplc="8076A4A2">
      <w:start w:val="5"/>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1C834D5"/>
    <w:multiLevelType w:val="multilevel"/>
    <w:tmpl w:val="0C06A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79624A"/>
    <w:multiLevelType w:val="multilevel"/>
    <w:tmpl w:val="DC462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EE4BCA"/>
    <w:multiLevelType w:val="hybridMultilevel"/>
    <w:tmpl w:val="9F02A7C6"/>
    <w:lvl w:ilvl="0" w:tplc="8076A4A2">
      <w:start w:val="5"/>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C560690"/>
    <w:multiLevelType w:val="multilevel"/>
    <w:tmpl w:val="E676E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F22635"/>
    <w:multiLevelType w:val="multilevel"/>
    <w:tmpl w:val="F800C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4804F0"/>
    <w:multiLevelType w:val="multilevel"/>
    <w:tmpl w:val="56520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9AE0398"/>
    <w:multiLevelType w:val="multilevel"/>
    <w:tmpl w:val="02280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480983"/>
    <w:multiLevelType w:val="multilevel"/>
    <w:tmpl w:val="4920B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C423BA"/>
    <w:multiLevelType w:val="multilevel"/>
    <w:tmpl w:val="C3E00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73218F7"/>
    <w:multiLevelType w:val="multilevel"/>
    <w:tmpl w:val="D7D6E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BF256B5"/>
    <w:multiLevelType w:val="multilevel"/>
    <w:tmpl w:val="692AE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FE972D7"/>
    <w:multiLevelType w:val="multilevel"/>
    <w:tmpl w:val="07B03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3"/>
  </w:num>
  <w:num w:numId="3">
    <w:abstractNumId w:val="13"/>
  </w:num>
  <w:num w:numId="4">
    <w:abstractNumId w:val="3"/>
  </w:num>
  <w:num w:numId="5">
    <w:abstractNumId w:val="9"/>
  </w:num>
  <w:num w:numId="6">
    <w:abstractNumId w:val="14"/>
  </w:num>
  <w:num w:numId="7">
    <w:abstractNumId w:val="0"/>
  </w:num>
  <w:num w:numId="8">
    <w:abstractNumId w:val="16"/>
  </w:num>
  <w:num w:numId="9">
    <w:abstractNumId w:val="5"/>
  </w:num>
  <w:num w:numId="10">
    <w:abstractNumId w:val="25"/>
  </w:num>
  <w:num w:numId="11">
    <w:abstractNumId w:val="18"/>
  </w:num>
  <w:num w:numId="12">
    <w:abstractNumId w:val="21"/>
  </w:num>
  <w:num w:numId="13">
    <w:abstractNumId w:val="4"/>
  </w:num>
  <w:num w:numId="14">
    <w:abstractNumId w:val="7"/>
  </w:num>
  <w:num w:numId="15">
    <w:abstractNumId w:val="1"/>
  </w:num>
  <w:num w:numId="16">
    <w:abstractNumId w:val="24"/>
  </w:num>
  <w:num w:numId="17">
    <w:abstractNumId w:val="27"/>
  </w:num>
  <w:num w:numId="18">
    <w:abstractNumId w:val="22"/>
  </w:num>
  <w:num w:numId="19">
    <w:abstractNumId w:val="17"/>
  </w:num>
  <w:num w:numId="20">
    <w:abstractNumId w:val="15"/>
  </w:num>
  <w:num w:numId="21">
    <w:abstractNumId w:val="29"/>
  </w:num>
  <w:num w:numId="22">
    <w:abstractNumId w:val="26"/>
  </w:num>
  <w:num w:numId="23">
    <w:abstractNumId w:val="28"/>
  </w:num>
  <w:num w:numId="24">
    <w:abstractNumId w:val="10"/>
  </w:num>
  <w:num w:numId="25">
    <w:abstractNumId w:val="2"/>
  </w:num>
  <w:num w:numId="26">
    <w:abstractNumId w:val="19"/>
  </w:num>
  <w:num w:numId="27">
    <w:abstractNumId w:val="6"/>
  </w:num>
  <w:num w:numId="28">
    <w:abstractNumId w:val="11"/>
  </w:num>
  <w:num w:numId="29">
    <w:abstractNumId w:val="8"/>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0BA5"/>
    <w:rsid w:val="00080FC7"/>
    <w:rsid w:val="000C7782"/>
    <w:rsid w:val="001276E4"/>
    <w:rsid w:val="001514C6"/>
    <w:rsid w:val="001614C5"/>
    <w:rsid w:val="001867BD"/>
    <w:rsid w:val="00247D7B"/>
    <w:rsid w:val="00257E7A"/>
    <w:rsid w:val="00293997"/>
    <w:rsid w:val="002946B0"/>
    <w:rsid w:val="002E39BF"/>
    <w:rsid w:val="002F0AD8"/>
    <w:rsid w:val="00334B60"/>
    <w:rsid w:val="00402895"/>
    <w:rsid w:val="00471AA4"/>
    <w:rsid w:val="00484737"/>
    <w:rsid w:val="00500BC4"/>
    <w:rsid w:val="00520BA5"/>
    <w:rsid w:val="00556598"/>
    <w:rsid w:val="005C3B4B"/>
    <w:rsid w:val="005D36BF"/>
    <w:rsid w:val="006009BA"/>
    <w:rsid w:val="006E6559"/>
    <w:rsid w:val="00787148"/>
    <w:rsid w:val="00795036"/>
    <w:rsid w:val="0079617E"/>
    <w:rsid w:val="007B7B5A"/>
    <w:rsid w:val="0080252A"/>
    <w:rsid w:val="00853E20"/>
    <w:rsid w:val="0086716E"/>
    <w:rsid w:val="008823CC"/>
    <w:rsid w:val="008C6CA6"/>
    <w:rsid w:val="00926214"/>
    <w:rsid w:val="009D6180"/>
    <w:rsid w:val="009E0CA2"/>
    <w:rsid w:val="00A37E9A"/>
    <w:rsid w:val="00B44983"/>
    <w:rsid w:val="00C04D37"/>
    <w:rsid w:val="00C50FDB"/>
    <w:rsid w:val="00CA3370"/>
    <w:rsid w:val="00CD4F4A"/>
    <w:rsid w:val="00CF345D"/>
    <w:rsid w:val="00D40ACA"/>
    <w:rsid w:val="00D4771C"/>
    <w:rsid w:val="00D643DA"/>
    <w:rsid w:val="00D6655E"/>
    <w:rsid w:val="00D860FD"/>
    <w:rsid w:val="00DB2EE2"/>
    <w:rsid w:val="00DD52ED"/>
    <w:rsid w:val="00E82ECF"/>
    <w:rsid w:val="00F376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07AFD"/>
  <w15:chartTrackingRefBased/>
  <w15:docId w15:val="{C55661E0-7146-4D4F-B9D6-889F01DDB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55E"/>
    <w:pPr>
      <w:spacing w:after="200" w:line="276" w:lineRule="auto"/>
      <w:jc w:val="both"/>
    </w:pPr>
    <w:rPr>
      <w:rFonts w:ascii="Arial" w:hAnsi="Arial"/>
      <w:sz w:val="24"/>
      <w:lang w:val="en-GB"/>
    </w:rPr>
  </w:style>
  <w:style w:type="paragraph" w:styleId="Heading1">
    <w:name w:val="heading 1"/>
    <w:basedOn w:val="Normal"/>
    <w:next w:val="Normal"/>
    <w:link w:val="Heading1Char"/>
    <w:uiPriority w:val="9"/>
    <w:qFormat/>
    <w:rsid w:val="009E0CA2"/>
    <w:pPr>
      <w:keepNext/>
      <w:keepLines/>
      <w:spacing w:before="240" w:after="0" w:line="360" w:lineRule="auto"/>
      <w:outlineLvl w:val="0"/>
    </w:pPr>
    <w:rPr>
      <w:rFonts w:eastAsiaTheme="majorEastAsia" w:cstheme="majorBidi"/>
      <w:b/>
      <w:color w:val="000000" w:themeColor="text1"/>
      <w:sz w:val="32"/>
      <w:szCs w:val="32"/>
    </w:rPr>
  </w:style>
  <w:style w:type="paragraph" w:styleId="Heading2">
    <w:name w:val="heading 2"/>
    <w:basedOn w:val="Normal"/>
    <w:link w:val="Heading2Char"/>
    <w:uiPriority w:val="9"/>
    <w:qFormat/>
    <w:rsid w:val="00926214"/>
    <w:pPr>
      <w:spacing w:before="100" w:beforeAutospacing="1" w:after="100" w:afterAutospacing="1" w:line="360" w:lineRule="auto"/>
      <w:outlineLvl w:val="1"/>
    </w:pPr>
    <w:rPr>
      <w:rFonts w:eastAsia="Times New Roman" w:cs="Times New Roman"/>
      <w:b/>
      <w:bCs/>
      <w:sz w:val="28"/>
      <w:szCs w:val="36"/>
      <w:lang w:val="en-US"/>
    </w:rPr>
  </w:style>
  <w:style w:type="paragraph" w:styleId="Heading3">
    <w:name w:val="heading 3"/>
    <w:basedOn w:val="Normal"/>
    <w:link w:val="Heading3Char"/>
    <w:uiPriority w:val="9"/>
    <w:qFormat/>
    <w:rsid w:val="00D6655E"/>
    <w:pPr>
      <w:spacing w:before="100" w:beforeAutospacing="1" w:after="100" w:afterAutospacing="1" w:line="240" w:lineRule="auto"/>
      <w:jc w:val="left"/>
      <w:outlineLvl w:val="2"/>
    </w:pPr>
    <w:rPr>
      <w:rFonts w:ascii="Times New Roman" w:eastAsia="Times New Roman" w:hAnsi="Times New Roman" w:cs="Times New Roman"/>
      <w:b/>
      <w:bCs/>
      <w:sz w:val="27"/>
      <w:szCs w:val="27"/>
      <w:lang w:val="en-US"/>
    </w:rPr>
  </w:style>
  <w:style w:type="paragraph" w:styleId="Heading4">
    <w:name w:val="heading 4"/>
    <w:basedOn w:val="Normal"/>
    <w:link w:val="Heading4Char"/>
    <w:uiPriority w:val="9"/>
    <w:qFormat/>
    <w:rsid w:val="00D6655E"/>
    <w:pPr>
      <w:spacing w:before="100" w:beforeAutospacing="1" w:after="100" w:afterAutospacing="1" w:line="240" w:lineRule="auto"/>
      <w:jc w:val="left"/>
      <w:outlineLvl w:val="3"/>
    </w:pPr>
    <w:rPr>
      <w:rFonts w:ascii="Times New Roman" w:eastAsia="Times New Roman" w:hAnsi="Times New Roman" w:cs="Times New Roman"/>
      <w:b/>
      <w:bCs/>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0B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BA5"/>
    <w:rPr>
      <w:lang w:val="en-GB"/>
    </w:rPr>
  </w:style>
  <w:style w:type="paragraph" w:styleId="Footer">
    <w:name w:val="footer"/>
    <w:basedOn w:val="Normal"/>
    <w:link w:val="FooterChar"/>
    <w:uiPriority w:val="99"/>
    <w:unhideWhenUsed/>
    <w:rsid w:val="00520B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BA5"/>
    <w:rPr>
      <w:lang w:val="en-GB"/>
    </w:rPr>
  </w:style>
  <w:style w:type="character" w:customStyle="1" w:styleId="Heading2Char">
    <w:name w:val="Heading 2 Char"/>
    <w:basedOn w:val="DefaultParagraphFont"/>
    <w:link w:val="Heading2"/>
    <w:uiPriority w:val="9"/>
    <w:rsid w:val="00926214"/>
    <w:rPr>
      <w:rFonts w:ascii="Arial" w:eastAsia="Times New Roman" w:hAnsi="Arial" w:cs="Times New Roman"/>
      <w:b/>
      <w:bCs/>
      <w:sz w:val="28"/>
      <w:szCs w:val="36"/>
    </w:rPr>
  </w:style>
  <w:style w:type="character" w:customStyle="1" w:styleId="Heading3Char">
    <w:name w:val="Heading 3 Char"/>
    <w:basedOn w:val="DefaultParagraphFont"/>
    <w:link w:val="Heading3"/>
    <w:uiPriority w:val="9"/>
    <w:rsid w:val="00D6655E"/>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D6655E"/>
    <w:rPr>
      <w:rFonts w:ascii="Times New Roman" w:eastAsia="Times New Roman" w:hAnsi="Times New Roman" w:cs="Times New Roman"/>
      <w:b/>
      <w:bCs/>
      <w:sz w:val="24"/>
      <w:szCs w:val="24"/>
    </w:rPr>
  </w:style>
  <w:style w:type="paragraph" w:styleId="NormalWeb">
    <w:name w:val="Normal (Web)"/>
    <w:basedOn w:val="Normal"/>
    <w:uiPriority w:val="99"/>
    <w:unhideWhenUsed/>
    <w:rsid w:val="00D6655E"/>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D6655E"/>
    <w:rPr>
      <w:b/>
      <w:bCs/>
    </w:rPr>
  </w:style>
  <w:style w:type="paragraph" w:styleId="HTMLPreformatted">
    <w:name w:val="HTML Preformatted"/>
    <w:basedOn w:val="Normal"/>
    <w:link w:val="HTMLPreformattedChar"/>
    <w:uiPriority w:val="99"/>
    <w:semiHidden/>
    <w:unhideWhenUsed/>
    <w:rsid w:val="00D665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D6655E"/>
    <w:rPr>
      <w:rFonts w:ascii="Courier New" w:eastAsia="Times New Roman" w:hAnsi="Courier New" w:cs="Courier New"/>
      <w:sz w:val="20"/>
      <w:szCs w:val="20"/>
    </w:rPr>
  </w:style>
  <w:style w:type="character" w:styleId="HTMLCode">
    <w:name w:val="HTML Code"/>
    <w:basedOn w:val="DefaultParagraphFont"/>
    <w:uiPriority w:val="99"/>
    <w:semiHidden/>
    <w:unhideWhenUsed/>
    <w:rsid w:val="00D6655E"/>
    <w:rPr>
      <w:rFonts w:ascii="Courier New" w:eastAsia="Times New Roman" w:hAnsi="Courier New" w:cs="Courier New"/>
      <w:sz w:val="20"/>
      <w:szCs w:val="20"/>
    </w:rPr>
  </w:style>
  <w:style w:type="character" w:styleId="Emphasis">
    <w:name w:val="Emphasis"/>
    <w:basedOn w:val="DefaultParagraphFont"/>
    <w:uiPriority w:val="20"/>
    <w:qFormat/>
    <w:rsid w:val="00D6655E"/>
    <w:rPr>
      <w:i/>
      <w:iCs/>
    </w:rPr>
  </w:style>
  <w:style w:type="character" w:styleId="Hyperlink">
    <w:name w:val="Hyperlink"/>
    <w:basedOn w:val="DefaultParagraphFont"/>
    <w:uiPriority w:val="99"/>
    <w:unhideWhenUsed/>
    <w:rsid w:val="00D6655E"/>
    <w:rPr>
      <w:color w:val="0000FF"/>
      <w:u w:val="single"/>
    </w:rPr>
  </w:style>
  <w:style w:type="paragraph" w:styleId="Title">
    <w:name w:val="Title"/>
    <w:basedOn w:val="Normal"/>
    <w:next w:val="Normal"/>
    <w:link w:val="TitleChar"/>
    <w:uiPriority w:val="10"/>
    <w:qFormat/>
    <w:rsid w:val="009E0CA2"/>
    <w:pPr>
      <w:spacing w:after="0" w:line="360" w:lineRule="auto"/>
      <w:contextualSpacing/>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9E0CA2"/>
    <w:rPr>
      <w:rFonts w:ascii="Arial" w:eastAsiaTheme="majorEastAsia" w:hAnsi="Arial" w:cstheme="majorBidi"/>
      <w:b/>
      <w:spacing w:val="-10"/>
      <w:kern w:val="28"/>
      <w:sz w:val="40"/>
      <w:szCs w:val="56"/>
      <w:lang w:val="en-GB"/>
    </w:rPr>
  </w:style>
  <w:style w:type="paragraph" w:styleId="Subtitle">
    <w:name w:val="Subtitle"/>
    <w:basedOn w:val="Normal"/>
    <w:next w:val="Normal"/>
    <w:link w:val="SubtitleChar"/>
    <w:uiPriority w:val="11"/>
    <w:qFormat/>
    <w:rsid w:val="009E0CA2"/>
    <w:pPr>
      <w:numPr>
        <w:ilvl w:val="1"/>
      </w:numPr>
      <w:spacing w:after="160"/>
    </w:pPr>
    <w:rPr>
      <w:rFonts w:eastAsiaTheme="minorEastAsia"/>
      <w:color w:val="000000" w:themeColor="text1"/>
      <w:spacing w:val="15"/>
      <w:sz w:val="36"/>
    </w:rPr>
  </w:style>
  <w:style w:type="character" w:customStyle="1" w:styleId="SubtitleChar">
    <w:name w:val="Subtitle Char"/>
    <w:basedOn w:val="DefaultParagraphFont"/>
    <w:link w:val="Subtitle"/>
    <w:uiPriority w:val="11"/>
    <w:rsid w:val="009E0CA2"/>
    <w:rPr>
      <w:rFonts w:ascii="Arial" w:eastAsiaTheme="minorEastAsia" w:hAnsi="Arial"/>
      <w:color w:val="000000" w:themeColor="text1"/>
      <w:spacing w:val="15"/>
      <w:sz w:val="36"/>
      <w:lang w:val="en-GB"/>
    </w:rPr>
  </w:style>
  <w:style w:type="character" w:customStyle="1" w:styleId="Heading1Char">
    <w:name w:val="Heading 1 Char"/>
    <w:basedOn w:val="DefaultParagraphFont"/>
    <w:link w:val="Heading1"/>
    <w:uiPriority w:val="9"/>
    <w:rsid w:val="009E0CA2"/>
    <w:rPr>
      <w:rFonts w:ascii="Arial" w:eastAsiaTheme="majorEastAsia" w:hAnsi="Arial" w:cstheme="majorBidi"/>
      <w:b/>
      <w:color w:val="000000" w:themeColor="text1"/>
      <w:sz w:val="32"/>
      <w:szCs w:val="32"/>
      <w:lang w:val="en-GB"/>
    </w:rPr>
  </w:style>
  <w:style w:type="paragraph" w:styleId="ListParagraph">
    <w:name w:val="List Paragraph"/>
    <w:basedOn w:val="Normal"/>
    <w:uiPriority w:val="34"/>
    <w:qFormat/>
    <w:rsid w:val="0080252A"/>
    <w:pPr>
      <w:ind w:left="720"/>
      <w:contextualSpacing/>
    </w:pPr>
  </w:style>
  <w:style w:type="paragraph" w:styleId="TOCHeading">
    <w:name w:val="TOC Heading"/>
    <w:basedOn w:val="Heading1"/>
    <w:next w:val="Normal"/>
    <w:uiPriority w:val="39"/>
    <w:unhideWhenUsed/>
    <w:qFormat/>
    <w:rsid w:val="00D860FD"/>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860FD"/>
    <w:pPr>
      <w:spacing w:after="100"/>
    </w:pPr>
  </w:style>
  <w:style w:type="paragraph" w:styleId="TOC2">
    <w:name w:val="toc 2"/>
    <w:basedOn w:val="Normal"/>
    <w:next w:val="Normal"/>
    <w:autoRedefine/>
    <w:uiPriority w:val="39"/>
    <w:unhideWhenUsed/>
    <w:rsid w:val="00D860FD"/>
    <w:pPr>
      <w:spacing w:after="100"/>
      <w:ind w:left="240"/>
    </w:pPr>
  </w:style>
  <w:style w:type="character" w:styleId="UnresolvedMention">
    <w:name w:val="Unresolved Mention"/>
    <w:basedOn w:val="DefaultParagraphFont"/>
    <w:uiPriority w:val="99"/>
    <w:semiHidden/>
    <w:unhideWhenUsed/>
    <w:rsid w:val="00CF34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370733">
      <w:bodyDiv w:val="1"/>
      <w:marLeft w:val="0"/>
      <w:marRight w:val="0"/>
      <w:marTop w:val="0"/>
      <w:marBottom w:val="0"/>
      <w:divBdr>
        <w:top w:val="none" w:sz="0" w:space="0" w:color="auto"/>
        <w:left w:val="none" w:sz="0" w:space="0" w:color="auto"/>
        <w:bottom w:val="none" w:sz="0" w:space="0" w:color="auto"/>
        <w:right w:val="none" w:sz="0" w:space="0" w:color="auto"/>
      </w:divBdr>
      <w:divsChild>
        <w:div w:id="4493243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9852057">
      <w:bodyDiv w:val="1"/>
      <w:marLeft w:val="0"/>
      <w:marRight w:val="0"/>
      <w:marTop w:val="0"/>
      <w:marBottom w:val="0"/>
      <w:divBdr>
        <w:top w:val="none" w:sz="0" w:space="0" w:color="auto"/>
        <w:left w:val="none" w:sz="0" w:space="0" w:color="auto"/>
        <w:bottom w:val="none" w:sz="0" w:space="0" w:color="auto"/>
        <w:right w:val="none" w:sz="0" w:space="0" w:color="auto"/>
      </w:divBdr>
    </w:div>
    <w:div w:id="997610716">
      <w:bodyDiv w:val="1"/>
      <w:marLeft w:val="0"/>
      <w:marRight w:val="0"/>
      <w:marTop w:val="0"/>
      <w:marBottom w:val="0"/>
      <w:divBdr>
        <w:top w:val="none" w:sz="0" w:space="0" w:color="auto"/>
        <w:left w:val="none" w:sz="0" w:space="0" w:color="auto"/>
        <w:bottom w:val="none" w:sz="0" w:space="0" w:color="auto"/>
        <w:right w:val="none" w:sz="0" w:space="0" w:color="auto"/>
      </w:divBdr>
    </w:div>
    <w:div w:id="1532378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s://www.statista.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rai.gov.in/"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pwc.in/"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hofstede-insights.com/" TargetMode="External"/><Relationship Id="rId20" Type="http://schemas.openxmlformats.org/officeDocument/2006/relationships/hyperlink" Target="https://economictimes.indiatime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bbc.com/news/" TargetMode="External"/><Relationship Id="rId23" Type="http://schemas.openxmlformats.org/officeDocument/2006/relationships/hyperlink" Target="https://www.myvi.in/" TargetMode="External"/><Relationship Id="rId10" Type="http://schemas.openxmlformats.org/officeDocument/2006/relationships/header" Target="header1.xml"/><Relationship Id="rId19" Type="http://schemas.openxmlformats.org/officeDocument/2006/relationships/hyperlink" Target="https://economictimes.indiatimes.com/"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fastercapital.com/content/Ultimate" TargetMode="External"/><Relationship Id="rId22" Type="http://schemas.openxmlformats.org/officeDocument/2006/relationships/hyperlink" Target="https://www.vodafone.com/"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Sheet1!$D$1</c:f>
              <c:strCache>
                <c:ptCount val="1"/>
                <c:pt idx="0">
                  <c:v>Score (1–10)</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C26-49B9-A954-993D5991B18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C26-49B9-A954-993D5991B18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C26-49B9-A954-993D5991B18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Ownership</c:v>
                </c:pt>
                <c:pt idx="1">
                  <c:v>Location</c:v>
                </c:pt>
                <c:pt idx="2">
                  <c:v>Internalisation</c:v>
                </c:pt>
              </c:strCache>
              <c:extLst/>
            </c:strRef>
          </c:cat>
          <c:val>
            <c:numRef>
              <c:f>Sheet1!$D$2:$D$4</c:f>
              <c:numCache>
                <c:formatCode>General</c:formatCode>
                <c:ptCount val="3"/>
                <c:pt idx="0">
                  <c:v>9</c:v>
                </c:pt>
                <c:pt idx="1">
                  <c:v>8</c:v>
                </c:pt>
                <c:pt idx="2">
                  <c:v>7</c:v>
                </c:pt>
              </c:numCache>
            </c:numRef>
          </c:val>
          <c:extLst>
            <c:ext xmlns:c16="http://schemas.microsoft.com/office/drawing/2014/chart" uri="{C3380CC4-5D6E-409C-BE32-E72D297353CC}">
              <c16:uniqueId val="{00000006-9C26-49B9-A954-993D5991B18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AD91E-0FC3-4E54-BC7B-3E9E0C662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25</Pages>
  <Words>6390</Words>
  <Characters>36428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Ifat Rony</cp:lastModifiedBy>
  <cp:revision>8</cp:revision>
  <dcterms:created xsi:type="dcterms:W3CDTF">2025-11-13T13:28:00Z</dcterms:created>
  <dcterms:modified xsi:type="dcterms:W3CDTF">2025-11-19T06:28:00Z</dcterms:modified>
</cp:coreProperties>
</file>