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7B59D" w14:textId="77777777" w:rsidR="008E0131" w:rsidRPr="008E0131" w:rsidRDefault="008E0131" w:rsidP="008E0131">
      <w:pPr>
        <w:jc w:val="center"/>
        <w:rPr>
          <w:rFonts w:ascii="Arial" w:hAnsi="Arial" w:cs="Arial"/>
          <w:b/>
          <w:sz w:val="40"/>
          <w:szCs w:val="40"/>
          <w:lang w:eastAsia="en-GB"/>
        </w:rPr>
      </w:pPr>
      <w:r w:rsidRPr="008E0131">
        <w:rPr>
          <w:rFonts w:ascii="Arial" w:hAnsi="Arial" w:cs="Arial"/>
          <w:b/>
          <w:color w:val="000000"/>
          <w:sz w:val="40"/>
          <w:szCs w:val="40"/>
          <w:shd w:val="clear" w:color="auto" w:fill="FFFFFF"/>
        </w:rPr>
        <w:t>LCBB4002</w:t>
      </w:r>
    </w:p>
    <w:p w14:paraId="3F8F1630" w14:textId="77777777" w:rsidR="008E0131" w:rsidRPr="008E0131" w:rsidRDefault="008E0131" w:rsidP="0010741E">
      <w:pPr>
        <w:spacing w:line="360" w:lineRule="auto"/>
        <w:jc w:val="center"/>
        <w:rPr>
          <w:rFonts w:ascii="Arial" w:hAnsi="Arial" w:cs="Arial"/>
          <w:b/>
          <w:bCs/>
          <w:sz w:val="40"/>
        </w:rPr>
      </w:pPr>
    </w:p>
    <w:p w14:paraId="6F52F438" w14:textId="77777777" w:rsidR="00AE58B5" w:rsidRPr="008E0131" w:rsidRDefault="0010741E" w:rsidP="0010741E">
      <w:pPr>
        <w:spacing w:line="360" w:lineRule="auto"/>
        <w:jc w:val="center"/>
        <w:rPr>
          <w:rFonts w:ascii="Arial" w:hAnsi="Arial" w:cs="Arial"/>
          <w:b/>
          <w:bCs/>
          <w:sz w:val="40"/>
        </w:rPr>
      </w:pPr>
      <w:r w:rsidRPr="008E0131">
        <w:rPr>
          <w:rFonts w:ascii="Arial" w:hAnsi="Arial" w:cs="Arial"/>
          <w:b/>
          <w:bCs/>
          <w:sz w:val="40"/>
        </w:rPr>
        <w:t>Module: Community Engagement</w:t>
      </w:r>
    </w:p>
    <w:p w14:paraId="5C6FFECE" w14:textId="77777777" w:rsidR="00AE58B5" w:rsidRPr="008E0131" w:rsidRDefault="0010741E" w:rsidP="0010741E">
      <w:pPr>
        <w:spacing w:before="240" w:after="240" w:line="360" w:lineRule="auto"/>
        <w:jc w:val="center"/>
        <w:rPr>
          <w:rFonts w:ascii="Arial" w:hAnsi="Arial" w:cs="Arial"/>
          <w:b/>
          <w:bCs/>
          <w:sz w:val="40"/>
        </w:rPr>
      </w:pPr>
      <w:r w:rsidRPr="008E0131">
        <w:rPr>
          <w:rFonts w:ascii="Arial" w:hAnsi="Arial" w:cs="Arial"/>
          <w:b/>
          <w:bCs/>
          <w:sz w:val="40"/>
        </w:rPr>
        <w:t xml:space="preserve">Assignment Title: Community Engagement </w:t>
      </w:r>
    </w:p>
    <w:p w14:paraId="4F8F056B" w14:textId="77777777" w:rsidR="008E0131" w:rsidRPr="008E0131" w:rsidRDefault="008E0131" w:rsidP="0010741E">
      <w:pPr>
        <w:spacing w:before="240" w:after="240" w:line="360" w:lineRule="auto"/>
        <w:jc w:val="center"/>
        <w:rPr>
          <w:rFonts w:ascii="Arial" w:hAnsi="Arial" w:cs="Arial"/>
          <w:b/>
          <w:bCs/>
          <w:sz w:val="32"/>
        </w:rPr>
      </w:pPr>
    </w:p>
    <w:p w14:paraId="3CCFB8E1" w14:textId="77777777" w:rsidR="008E0131" w:rsidRPr="008E0131" w:rsidRDefault="008E0131" w:rsidP="0010741E">
      <w:pPr>
        <w:spacing w:before="240" w:after="240" w:line="360" w:lineRule="auto"/>
        <w:jc w:val="center"/>
        <w:rPr>
          <w:rFonts w:ascii="Arial" w:hAnsi="Arial" w:cs="Arial"/>
          <w:b/>
          <w:bCs/>
          <w:sz w:val="32"/>
        </w:rPr>
      </w:pPr>
    </w:p>
    <w:p w14:paraId="07F475DF" w14:textId="77777777" w:rsidR="00AE58B5" w:rsidRPr="002E5D88" w:rsidRDefault="0010741E" w:rsidP="0010741E">
      <w:pPr>
        <w:spacing w:before="240" w:after="240" w:line="360" w:lineRule="auto"/>
        <w:jc w:val="center"/>
        <w:rPr>
          <w:rFonts w:ascii="Arial" w:hAnsi="Arial" w:cs="Arial"/>
          <w:b/>
          <w:bCs/>
          <w:sz w:val="36"/>
          <w:szCs w:val="36"/>
        </w:rPr>
      </w:pPr>
      <w:r w:rsidRPr="002E5D88">
        <w:rPr>
          <w:rFonts w:ascii="Arial" w:hAnsi="Arial" w:cs="Arial"/>
          <w:b/>
          <w:bCs/>
          <w:sz w:val="36"/>
          <w:szCs w:val="36"/>
        </w:rPr>
        <w:t>Student ID:</w:t>
      </w:r>
      <w:r w:rsidR="008E0131" w:rsidRPr="002E5D88">
        <w:rPr>
          <w:rFonts w:ascii="Arial" w:hAnsi="Arial" w:cs="Arial"/>
          <w:b/>
          <w:bCs/>
          <w:sz w:val="36"/>
          <w:szCs w:val="36"/>
        </w:rPr>
        <w:t xml:space="preserve"> 2029732</w:t>
      </w:r>
    </w:p>
    <w:p w14:paraId="485A8F3A" w14:textId="77777777" w:rsidR="00AE58B5" w:rsidRPr="008E0131" w:rsidRDefault="00AE58B5" w:rsidP="0010741E">
      <w:pPr>
        <w:spacing w:before="240" w:after="240" w:line="360" w:lineRule="auto"/>
        <w:jc w:val="both"/>
        <w:rPr>
          <w:rFonts w:ascii="Arial" w:hAnsi="Arial" w:cs="Arial"/>
        </w:rPr>
      </w:pPr>
    </w:p>
    <w:p w14:paraId="55358C25" w14:textId="77777777" w:rsidR="008E0131" w:rsidRPr="00B53152" w:rsidRDefault="008E0131" w:rsidP="008E0131">
      <w:pPr>
        <w:spacing w:before="240" w:after="240" w:line="360" w:lineRule="auto"/>
        <w:jc w:val="center"/>
        <w:rPr>
          <w:rFonts w:ascii="Arial" w:hAnsi="Arial" w:cs="Arial"/>
          <w:bCs/>
        </w:rPr>
      </w:pPr>
      <w:r w:rsidRPr="00B53152">
        <w:rPr>
          <w:rFonts w:ascii="Arial" w:hAnsi="Arial" w:cs="Arial"/>
          <w:bCs/>
        </w:rPr>
        <w:t>Word count: 2004</w:t>
      </w:r>
      <w:bookmarkStart w:id="0" w:name="_GoBack"/>
      <w:bookmarkEnd w:id="0"/>
    </w:p>
    <w:p w14:paraId="024E4CC0" w14:textId="77777777" w:rsidR="008E0131" w:rsidRPr="008E0131" w:rsidRDefault="008E0131" w:rsidP="008E0131">
      <w:pPr>
        <w:spacing w:before="240" w:after="240" w:line="360" w:lineRule="auto"/>
        <w:jc w:val="center"/>
        <w:rPr>
          <w:rFonts w:ascii="Arial" w:hAnsi="Arial" w:cs="Arial"/>
        </w:rPr>
      </w:pPr>
    </w:p>
    <w:p w14:paraId="10E3050B" w14:textId="77777777" w:rsidR="0010741E" w:rsidRPr="008E0131" w:rsidRDefault="0010741E" w:rsidP="0010741E">
      <w:pPr>
        <w:spacing w:line="360" w:lineRule="auto"/>
        <w:jc w:val="both"/>
        <w:rPr>
          <w:rFonts w:ascii="Arial" w:hAnsi="Arial" w:cs="Arial"/>
          <w:b/>
          <w:bCs/>
          <w:kern w:val="36"/>
        </w:rPr>
      </w:pPr>
      <w:r w:rsidRPr="008E0131">
        <w:rPr>
          <w:rFonts w:ascii="Arial" w:hAnsi="Arial" w:cs="Arial"/>
        </w:rPr>
        <w:br w:type="page"/>
      </w:r>
    </w:p>
    <w:p w14:paraId="70453FAD" w14:textId="77777777" w:rsidR="00AE58B5" w:rsidRPr="008E0131" w:rsidRDefault="0010741E" w:rsidP="0010741E">
      <w:pPr>
        <w:pStyle w:val="Heading1"/>
        <w:keepNext w:val="0"/>
        <w:keepLines w:val="0"/>
        <w:spacing w:before="322" w:after="322" w:line="360" w:lineRule="auto"/>
        <w:jc w:val="both"/>
        <w:rPr>
          <w:rFonts w:ascii="Arial" w:hAnsi="Arial" w:cs="Arial"/>
          <w:sz w:val="32"/>
          <w:szCs w:val="32"/>
        </w:rPr>
      </w:pPr>
      <w:r w:rsidRPr="008E0131">
        <w:rPr>
          <w:rFonts w:ascii="Arial" w:hAnsi="Arial" w:cs="Arial"/>
          <w:color w:val="auto"/>
          <w:sz w:val="32"/>
          <w:szCs w:val="32"/>
        </w:rPr>
        <w:lastRenderedPageBreak/>
        <w:t>Introduction</w:t>
      </w:r>
    </w:p>
    <w:p w14:paraId="2BA8C809"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Community engagement refers to the strategic process where collaborative working efforts are affiliated within the geographical area of interest with a specific purpose (Driscoll, 2018). It helps to address specific issues through a group of people and work collaboratively to mitigate the problems. Communication plays a major role in community engagement as it helps to understand the situations better and work accordingly. There are several requirements for community engagement such as time, funding, skills and many more. The essay would discuss the significance of community engagement and the transferable skills which are necessary for ensuring the efficiency of community engagement. It would also identify and highlight the transferable skills of the group worked at Howdens Joinery who was the on-call scheme. There would be some brief suggestions on Mr Clark's case and how the employer can improve the community engagement.</w:t>
      </w:r>
    </w:p>
    <w:p w14:paraId="050EC23C" w14:textId="77777777" w:rsidR="00AE58B5" w:rsidRPr="008E0131" w:rsidRDefault="0010741E" w:rsidP="0010741E">
      <w:pPr>
        <w:pStyle w:val="Heading1"/>
        <w:keepNext w:val="0"/>
        <w:keepLines w:val="0"/>
        <w:spacing w:before="322" w:after="322" w:line="360" w:lineRule="auto"/>
        <w:jc w:val="both"/>
        <w:rPr>
          <w:rFonts w:ascii="Arial" w:hAnsi="Arial" w:cs="Arial"/>
          <w:sz w:val="32"/>
          <w:szCs w:val="32"/>
        </w:rPr>
      </w:pPr>
      <w:r w:rsidRPr="008E0131">
        <w:rPr>
          <w:rFonts w:ascii="Arial" w:hAnsi="Arial" w:cs="Arial"/>
          <w:color w:val="auto"/>
          <w:sz w:val="32"/>
          <w:szCs w:val="32"/>
        </w:rPr>
        <w:t xml:space="preserve">Discussion </w:t>
      </w:r>
    </w:p>
    <w:p w14:paraId="223E3DC8" w14:textId="77777777" w:rsidR="00AE58B5" w:rsidRPr="008E0131" w:rsidRDefault="0010741E" w:rsidP="0010741E">
      <w:pPr>
        <w:pStyle w:val="Heading2"/>
        <w:keepNext w:val="0"/>
        <w:keepLines w:val="0"/>
        <w:spacing w:before="299" w:after="299" w:line="360" w:lineRule="auto"/>
        <w:jc w:val="both"/>
        <w:rPr>
          <w:rFonts w:ascii="Arial" w:hAnsi="Arial" w:cs="Arial"/>
          <w:sz w:val="28"/>
          <w:szCs w:val="28"/>
        </w:rPr>
      </w:pPr>
      <w:r w:rsidRPr="008E0131">
        <w:rPr>
          <w:rFonts w:ascii="Arial" w:hAnsi="Arial" w:cs="Arial"/>
          <w:color w:val="auto"/>
          <w:sz w:val="28"/>
          <w:szCs w:val="28"/>
        </w:rPr>
        <w:t xml:space="preserve">Significance of Community Engagement </w:t>
      </w:r>
    </w:p>
    <w:p w14:paraId="48D4EE28" w14:textId="77777777" w:rsidR="000E3262" w:rsidRPr="008E0131" w:rsidRDefault="0010741E" w:rsidP="0010741E">
      <w:pPr>
        <w:spacing w:before="240" w:after="240" w:line="360" w:lineRule="auto"/>
        <w:jc w:val="both"/>
        <w:rPr>
          <w:rFonts w:ascii="Arial" w:hAnsi="Arial" w:cs="Arial"/>
        </w:rPr>
      </w:pPr>
      <w:r w:rsidRPr="008E0131">
        <w:rPr>
          <w:rFonts w:ascii="Arial" w:hAnsi="Arial" w:cs="Arial"/>
        </w:rPr>
        <w:t xml:space="preserve">Community engagement has become a significant key for the proper functioning of organisations. It helps to enhance the living quality and offer more service to the local communities (Dempsey, 2019). Nowadays, the traditional approaches have become feeble whereas community engagement has proved to be an efficient approach as it's a collaborative approach to deliver the products or services to the communities through a better understanding of their needs and expectation. The decisions of the communities help to build up the </w:t>
      </w:r>
      <w:r w:rsidRPr="008E0131">
        <w:rPr>
          <w:rFonts w:ascii="Arial" w:hAnsi="Arial" w:cs="Arial"/>
          <w:b/>
          <w:bCs/>
        </w:rPr>
        <w:t>societal capital</w:t>
      </w:r>
      <w:r w:rsidRPr="008E0131">
        <w:rPr>
          <w:rFonts w:ascii="Arial" w:hAnsi="Arial" w:cs="Arial"/>
        </w:rPr>
        <w:t xml:space="preserve"> where individuals have shared values and work with collaborations towards attaining the common goal. Community engagement has a far-reaching influence on society as it possesses the power to change or modify the service provisions or local policies to upgrade the habitability of the local communities (Reid and Howard, 2016). It not only impacts broadly on the societal aspects but the </w:t>
      </w:r>
      <w:r w:rsidRPr="008E0131">
        <w:rPr>
          <w:rFonts w:ascii="Arial" w:hAnsi="Arial" w:cs="Arial"/>
        </w:rPr>
        <w:lastRenderedPageBreak/>
        <w:t xml:space="preserve">global aspects as well. It offers better outcomes for the communities as the aspirations, </w:t>
      </w:r>
      <w:r w:rsidR="00DF5905" w:rsidRPr="008E0131">
        <w:rPr>
          <w:rFonts w:ascii="Arial" w:hAnsi="Arial" w:cs="Arial"/>
        </w:rPr>
        <w:t>troubles,</w:t>
      </w:r>
      <w:r w:rsidRPr="008E0131">
        <w:rPr>
          <w:rFonts w:ascii="Arial" w:hAnsi="Arial" w:cs="Arial"/>
        </w:rPr>
        <w:t xml:space="preserve"> and shared value of the communities are considered in </w:t>
      </w:r>
      <w:r w:rsidR="00CA76DE" w:rsidRPr="008E0131">
        <w:rPr>
          <w:rFonts w:ascii="Arial" w:hAnsi="Arial" w:cs="Arial"/>
        </w:rPr>
        <w:t>decision-making</w:t>
      </w:r>
      <w:r w:rsidRPr="008E0131">
        <w:rPr>
          <w:rFonts w:ascii="Arial" w:hAnsi="Arial" w:cs="Arial"/>
        </w:rPr>
        <w:t xml:space="preserve">. </w:t>
      </w:r>
    </w:p>
    <w:p w14:paraId="2BC15FD5"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The government and communities can build up alliances or collaborate to offer upgraded and tailored services to the communities. </w:t>
      </w:r>
    </w:p>
    <w:p w14:paraId="3486260D"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The voluntary group members can enhance their knowledge and skills and learn in-depth about the concerns of the communities through community engagement. It helps them to inspect the situation from different perspectives and make proper-decision. The members practise communication and gain the skills to solve the problems (Cheng et al., 2015). The participation makes the volunteer members feel valued and acknowledged as they become able to contribute to develop the ability of functional activities and s4rve the local people in their times of need. It helps the local government organisations to promote sustainable decisions and enhance the efficiency level at work. The government take the help of the community groups to make the sustainable decisions more transparent and legitimate as the members can gather more accurate information about the needs and issues (Head, 2017).</w:t>
      </w:r>
    </w:p>
    <w:p w14:paraId="196E98FE"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There are mainly three categories of community engagement which are 'transactional', 'transitional' and 'transformational'. </w:t>
      </w:r>
    </w:p>
    <w:p w14:paraId="42EFFAB3" w14:textId="77777777" w:rsidR="00AE58B5" w:rsidRPr="008E0131" w:rsidRDefault="0010741E" w:rsidP="000E3262">
      <w:pPr>
        <w:spacing w:before="240" w:line="360" w:lineRule="auto"/>
        <w:jc w:val="both"/>
        <w:rPr>
          <w:rFonts w:ascii="Arial" w:hAnsi="Arial" w:cs="Arial"/>
        </w:rPr>
      </w:pPr>
      <w:r w:rsidRPr="008E0131">
        <w:rPr>
          <w:rFonts w:ascii="Arial" w:hAnsi="Arial" w:cs="Arial"/>
          <w:b/>
          <w:bCs/>
        </w:rPr>
        <w:t>Transactional community engagement</w:t>
      </w:r>
      <w:r w:rsidRPr="008E0131">
        <w:rPr>
          <w:rFonts w:ascii="Arial" w:hAnsi="Arial" w:cs="Arial"/>
        </w:rPr>
        <w:t xml:space="preserve"> refers to the basic level where the organisations communicate with the communities and the transactions occur like providing information, donation of resources and other sources. Organisations share their information, resources, time (offering employees to volunteer for the activities), and skills (providing training for the community group members). This engagement can occur sometimes indirectly (</w:t>
      </w:r>
      <w:proofErr w:type="spellStart"/>
      <w:r w:rsidRPr="008E0131">
        <w:rPr>
          <w:rFonts w:ascii="Arial" w:hAnsi="Arial" w:cs="Arial"/>
        </w:rPr>
        <w:t>Vanasupa</w:t>
      </w:r>
      <w:proofErr w:type="spellEnd"/>
      <w:r w:rsidRPr="008E0131">
        <w:rPr>
          <w:rFonts w:ascii="Arial" w:hAnsi="Arial" w:cs="Arial"/>
        </w:rPr>
        <w:t xml:space="preserve"> and </w:t>
      </w:r>
      <w:proofErr w:type="spellStart"/>
      <w:r w:rsidRPr="008E0131">
        <w:rPr>
          <w:rFonts w:ascii="Arial" w:hAnsi="Arial" w:cs="Arial"/>
        </w:rPr>
        <w:t>Schlemer</w:t>
      </w:r>
      <w:proofErr w:type="spellEnd"/>
      <w:r w:rsidRPr="008E0131">
        <w:rPr>
          <w:rFonts w:ascii="Arial" w:hAnsi="Arial" w:cs="Arial"/>
        </w:rPr>
        <w:t xml:space="preserve">, 2019). </w:t>
      </w:r>
    </w:p>
    <w:p w14:paraId="0B71883C" w14:textId="77777777" w:rsidR="00AE58B5" w:rsidRPr="008E0131" w:rsidRDefault="0010741E" w:rsidP="000E3262">
      <w:pPr>
        <w:spacing w:after="240" w:line="360" w:lineRule="auto"/>
        <w:jc w:val="both"/>
        <w:rPr>
          <w:rFonts w:ascii="Arial" w:hAnsi="Arial" w:cs="Arial"/>
        </w:rPr>
      </w:pPr>
      <w:r w:rsidRPr="008E0131">
        <w:rPr>
          <w:rFonts w:ascii="Arial" w:hAnsi="Arial" w:cs="Arial"/>
          <w:b/>
          <w:bCs/>
        </w:rPr>
        <w:t>Transformational community engagement</w:t>
      </w:r>
      <w:r w:rsidRPr="008E0131">
        <w:rPr>
          <w:rFonts w:ascii="Arial" w:hAnsi="Arial" w:cs="Arial"/>
        </w:rPr>
        <w:t xml:space="preserve"> can be considered as the most proactive strategy where the organisations work jointly for certain projects and follow community leadership in </w:t>
      </w:r>
      <w:r w:rsidR="00AE4825" w:rsidRPr="008E0131">
        <w:rPr>
          <w:rFonts w:ascii="Arial" w:hAnsi="Arial" w:cs="Arial"/>
        </w:rPr>
        <w:t>decision-making</w:t>
      </w:r>
      <w:r w:rsidRPr="008E0131">
        <w:rPr>
          <w:rFonts w:ascii="Arial" w:hAnsi="Arial" w:cs="Arial"/>
        </w:rPr>
        <w:t xml:space="preserve">. This category is considered quite distinctive compared to others as organisations engaged in this category might achieve goals that were unachievable without engagement with the community (Millan, 2018). It creates a strong relationship with the community and the organisation. </w:t>
      </w:r>
    </w:p>
    <w:p w14:paraId="1D842C28" w14:textId="77777777" w:rsidR="00AE58B5" w:rsidRPr="008E0131" w:rsidRDefault="0010741E" w:rsidP="0010741E">
      <w:pPr>
        <w:spacing w:before="240" w:after="240" w:line="360" w:lineRule="auto"/>
        <w:jc w:val="center"/>
        <w:rPr>
          <w:rFonts w:ascii="Arial" w:hAnsi="Arial" w:cs="Arial"/>
        </w:rPr>
      </w:pPr>
      <w:r w:rsidRPr="008E0131">
        <w:rPr>
          <w:rFonts w:ascii="Arial" w:eastAsia="Calibri" w:hAnsi="Arial" w:cs="Arial"/>
          <w:noProof/>
          <w:szCs w:val="32"/>
          <w:lang w:eastAsia="en-GB"/>
        </w:rPr>
        <w:lastRenderedPageBreak/>
        <w:drawing>
          <wp:inline distT="0" distB="0" distL="0" distR="0" wp14:anchorId="78A6CB7D" wp14:editId="31D9627D">
            <wp:extent cx="5486400" cy="17907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29EC382" w14:textId="77777777" w:rsidR="00AE58B5" w:rsidRPr="008E0131" w:rsidRDefault="0010741E" w:rsidP="0010741E">
      <w:pPr>
        <w:spacing w:before="240" w:after="240" w:line="360" w:lineRule="auto"/>
        <w:jc w:val="center"/>
        <w:rPr>
          <w:rFonts w:ascii="Arial" w:hAnsi="Arial" w:cs="Arial"/>
        </w:rPr>
      </w:pPr>
      <w:r w:rsidRPr="008E0131">
        <w:rPr>
          <w:rFonts w:ascii="Arial" w:hAnsi="Arial" w:cs="Arial"/>
          <w:b/>
          <w:bCs/>
        </w:rPr>
        <w:t>Figure: Categories of community engagement</w:t>
      </w:r>
    </w:p>
    <w:p w14:paraId="4FBF4F48" w14:textId="77777777" w:rsidR="00AE58B5" w:rsidRPr="008E0131" w:rsidRDefault="0010741E" w:rsidP="0010741E">
      <w:pPr>
        <w:spacing w:before="240" w:after="240" w:line="360" w:lineRule="auto"/>
        <w:jc w:val="center"/>
        <w:rPr>
          <w:rFonts w:ascii="Arial" w:hAnsi="Arial" w:cs="Arial"/>
        </w:rPr>
      </w:pPr>
      <w:r w:rsidRPr="008E0131">
        <w:rPr>
          <w:rFonts w:ascii="Arial" w:hAnsi="Arial" w:cs="Arial"/>
          <w:b/>
          <w:bCs/>
        </w:rPr>
        <w:t>Source: (Author)</w:t>
      </w:r>
    </w:p>
    <w:p w14:paraId="79515D23" w14:textId="77777777" w:rsidR="00AE58B5" w:rsidRPr="008E0131" w:rsidRDefault="0010741E" w:rsidP="000E3262">
      <w:pPr>
        <w:spacing w:before="240" w:after="240" w:line="360" w:lineRule="auto"/>
        <w:jc w:val="both"/>
        <w:rPr>
          <w:rFonts w:ascii="Arial" w:hAnsi="Arial" w:cs="Arial"/>
        </w:rPr>
      </w:pPr>
      <w:r w:rsidRPr="008E0131">
        <w:rPr>
          <w:rFonts w:ascii="Arial" w:hAnsi="Arial" w:cs="Arial"/>
          <w:b/>
          <w:bCs/>
        </w:rPr>
        <w:t>Transitional community engagement</w:t>
      </w:r>
      <w:r w:rsidRPr="008E0131">
        <w:rPr>
          <w:rFonts w:ascii="Arial" w:hAnsi="Arial" w:cs="Arial"/>
        </w:rPr>
        <w:t xml:space="preserve"> is the intermediate engagement between community and organisation where the strategy is based on two-way communication through collaboration. This kind of engagement is better than transactional engagement as that engagement has only one-way communication (</w:t>
      </w:r>
      <w:proofErr w:type="spellStart"/>
      <w:r w:rsidRPr="008E0131">
        <w:rPr>
          <w:rFonts w:ascii="Arial" w:hAnsi="Arial" w:cs="Arial"/>
        </w:rPr>
        <w:t>Zuiches</w:t>
      </w:r>
      <w:proofErr w:type="spellEnd"/>
      <w:r w:rsidRPr="008E0131">
        <w:rPr>
          <w:rFonts w:ascii="Arial" w:hAnsi="Arial" w:cs="Arial"/>
        </w:rPr>
        <w:t xml:space="preserve">, 2018). It is considered as collaboration rather than a donation through the organization that controls the shared resources. </w:t>
      </w:r>
      <w:r w:rsidR="00AE4825" w:rsidRPr="008E0131">
        <w:rPr>
          <w:rFonts w:ascii="Arial" w:hAnsi="Arial" w:cs="Arial"/>
        </w:rPr>
        <w:t xml:space="preserve">There are several requirements for community engagement such as time, funding, skills and many more. The essay would discuss the significance of community engagement and the transferable skills, which are necessary for ensuring the efficiency of community engagement. All these helps community to develop sustainable Transitional community engagement. </w:t>
      </w:r>
    </w:p>
    <w:p w14:paraId="416EFBB4"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As the community members are connected and have shared values, the local members can contribute to shaping the activities of empowering the community if they are exposed to the information, well informed, and educated regarding the concerns. Engagement with communities is required to address sensitive issues like the dryland salinity of the local area and take decisions on how to overcome the crisis. Community engagement emanates the </w:t>
      </w:r>
      <w:r w:rsidRPr="008E0131">
        <w:rPr>
          <w:rFonts w:ascii="Arial" w:hAnsi="Arial" w:cs="Arial"/>
          <w:b/>
          <w:bCs/>
        </w:rPr>
        <w:t>social transformation</w:t>
      </w:r>
      <w:r w:rsidRPr="008E0131">
        <w:rPr>
          <w:rFonts w:ascii="Arial" w:hAnsi="Arial" w:cs="Arial"/>
        </w:rPr>
        <w:t xml:space="preserve"> and increases awareness regarding the rights of the local people (King and Cruickshank, 2019). It facilitates the designated organisations to manage the social risks through providing service as many employees volunteer to serve the local communities in times of need. The volunteers take part in </w:t>
      </w:r>
      <w:r w:rsidRPr="008E0131">
        <w:rPr>
          <w:rFonts w:ascii="Arial" w:hAnsi="Arial" w:cs="Arial"/>
        </w:rPr>
        <w:lastRenderedPageBreak/>
        <w:t xml:space="preserve">training activities and gain the skills to handle several situations that make them valuable assets of the local communities and help to mitigate social problems. </w:t>
      </w:r>
    </w:p>
    <w:p w14:paraId="59BB091F" w14:textId="77777777" w:rsidR="00AE58B5" w:rsidRPr="008E0131" w:rsidRDefault="0010741E" w:rsidP="0010741E">
      <w:pPr>
        <w:pStyle w:val="Heading2"/>
        <w:keepNext w:val="0"/>
        <w:keepLines w:val="0"/>
        <w:spacing w:before="299" w:after="299" w:line="360" w:lineRule="auto"/>
        <w:jc w:val="both"/>
        <w:rPr>
          <w:rFonts w:ascii="Arial" w:hAnsi="Arial" w:cs="Arial"/>
          <w:sz w:val="28"/>
          <w:szCs w:val="28"/>
        </w:rPr>
      </w:pPr>
      <w:r w:rsidRPr="008E0131">
        <w:rPr>
          <w:rFonts w:ascii="Arial" w:hAnsi="Arial" w:cs="Arial"/>
          <w:color w:val="auto"/>
          <w:sz w:val="28"/>
          <w:szCs w:val="28"/>
        </w:rPr>
        <w:t xml:space="preserve">Assessment of the significance of the transferable skills in community engagement </w:t>
      </w:r>
    </w:p>
    <w:p w14:paraId="7759D734"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The transferable skills refer to the ability of the individuals that can be used in various roles to complete the task effectively. Several transferable skills are necessary to work with others in community engagement some of which are soft transferable skills and others are hard transferable skills. Community engagement involves a lot of people where the members need to work with others and copes up with the evolving situations with time (</w:t>
      </w:r>
      <w:proofErr w:type="spellStart"/>
      <w:r w:rsidRPr="008E0131">
        <w:rPr>
          <w:rFonts w:ascii="Arial" w:hAnsi="Arial" w:cs="Arial"/>
        </w:rPr>
        <w:t>Bednarz</w:t>
      </w:r>
      <w:proofErr w:type="spellEnd"/>
      <w:r w:rsidRPr="008E0131">
        <w:rPr>
          <w:rFonts w:ascii="Arial" w:hAnsi="Arial" w:cs="Arial"/>
        </w:rPr>
        <w:t xml:space="preserve"> et al., 2018). To successfully attain the common purpose, the group members have expertise in transferable skills. It reduces the stress level of the members in work and strengthens teamwork. The presence of transferable skills enhances the possibility of success rate in the tasks of the group members and enriches local communities (</w:t>
      </w:r>
      <w:proofErr w:type="spellStart"/>
      <w:r w:rsidRPr="008E0131">
        <w:rPr>
          <w:rFonts w:ascii="Arial" w:hAnsi="Arial" w:cs="Arial"/>
        </w:rPr>
        <w:t>Bourner</w:t>
      </w:r>
      <w:proofErr w:type="spellEnd"/>
      <w:r w:rsidRPr="008E0131">
        <w:rPr>
          <w:rFonts w:ascii="Arial" w:hAnsi="Arial" w:cs="Arial"/>
        </w:rPr>
        <w:t xml:space="preserve"> and </w:t>
      </w:r>
      <w:proofErr w:type="spellStart"/>
      <w:r w:rsidRPr="008E0131">
        <w:rPr>
          <w:rFonts w:ascii="Arial" w:hAnsi="Arial" w:cs="Arial"/>
        </w:rPr>
        <w:t>Millican</w:t>
      </w:r>
      <w:proofErr w:type="spellEnd"/>
      <w:r w:rsidRPr="008E0131">
        <w:rPr>
          <w:rFonts w:ascii="Arial" w:hAnsi="Arial" w:cs="Arial"/>
        </w:rPr>
        <w:t xml:space="preserve">, 2017). </w:t>
      </w:r>
    </w:p>
    <w:p w14:paraId="4CA1EA23"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Transferable skills are essential because they are contributing to making community engagement successful. Communication skills, proper leadership skills, transparency of operations, creativity, problem-solving etc. makes the community engagement stronger as these skills facilities the group workers to maintain the operational activities and tackle the evolving problems. Adaptability with the adverse situations and applying creativity in completing the tasks reduces the wastage of resources (</w:t>
      </w:r>
      <w:proofErr w:type="spellStart"/>
      <w:r w:rsidRPr="008E0131">
        <w:rPr>
          <w:rFonts w:ascii="Arial" w:hAnsi="Arial" w:cs="Arial"/>
        </w:rPr>
        <w:t>Assiter</w:t>
      </w:r>
      <w:proofErr w:type="spellEnd"/>
      <w:r w:rsidRPr="008E0131">
        <w:rPr>
          <w:rFonts w:ascii="Arial" w:hAnsi="Arial" w:cs="Arial"/>
        </w:rPr>
        <w:t xml:space="preserve">, 2017). Brainstorming and research skills make the group and the community engagement strong and help to develop the service quality. </w:t>
      </w:r>
    </w:p>
    <w:p w14:paraId="7AA0317B" w14:textId="77777777" w:rsidR="00AE58B5" w:rsidRPr="008E0131" w:rsidRDefault="00AE58B5" w:rsidP="0010741E">
      <w:pPr>
        <w:spacing w:before="240" w:after="240" w:line="360" w:lineRule="auto"/>
        <w:jc w:val="both"/>
        <w:rPr>
          <w:rFonts w:ascii="Arial" w:hAnsi="Arial" w:cs="Arial"/>
        </w:rPr>
      </w:pPr>
    </w:p>
    <w:p w14:paraId="6E9723AE" w14:textId="77777777" w:rsidR="000E3262" w:rsidRPr="008E0131" w:rsidRDefault="000E3262" w:rsidP="0010741E">
      <w:pPr>
        <w:spacing w:before="240" w:after="240" w:line="360" w:lineRule="auto"/>
        <w:jc w:val="both"/>
        <w:rPr>
          <w:rFonts w:ascii="Arial" w:hAnsi="Arial" w:cs="Arial"/>
        </w:rPr>
      </w:pPr>
    </w:p>
    <w:p w14:paraId="3740CEE9" w14:textId="77777777" w:rsidR="000E3262" w:rsidRPr="008E0131" w:rsidRDefault="000E3262" w:rsidP="0010741E">
      <w:pPr>
        <w:spacing w:before="240" w:after="240" w:line="360" w:lineRule="auto"/>
        <w:jc w:val="both"/>
        <w:rPr>
          <w:rFonts w:ascii="Arial" w:hAnsi="Arial" w:cs="Arial"/>
        </w:rPr>
      </w:pPr>
    </w:p>
    <w:p w14:paraId="4C4E8E7F" w14:textId="77777777" w:rsidR="000E3262" w:rsidRPr="008E0131" w:rsidRDefault="000E3262" w:rsidP="0010741E">
      <w:pPr>
        <w:spacing w:before="240" w:after="240" w:line="360" w:lineRule="auto"/>
        <w:jc w:val="both"/>
        <w:rPr>
          <w:rFonts w:ascii="Arial" w:hAnsi="Arial" w:cs="Arial"/>
        </w:rPr>
      </w:pPr>
    </w:p>
    <w:p w14:paraId="7CBD6D68" w14:textId="77777777" w:rsidR="000E3262" w:rsidRPr="008E0131" w:rsidRDefault="000E3262" w:rsidP="0010741E">
      <w:pPr>
        <w:spacing w:before="240" w:after="240" w:line="360" w:lineRule="auto"/>
        <w:jc w:val="both"/>
        <w:rPr>
          <w:rFonts w:ascii="Arial" w:hAnsi="Arial" w:cs="Arial"/>
        </w:rPr>
      </w:pPr>
    </w:p>
    <w:p w14:paraId="0A1B35BB" w14:textId="77777777" w:rsidR="000E3262" w:rsidRPr="008E0131" w:rsidRDefault="000E3262" w:rsidP="0010741E">
      <w:pPr>
        <w:spacing w:before="240" w:after="240" w:line="360" w:lineRule="auto"/>
        <w:jc w:val="both"/>
        <w:rPr>
          <w:rFonts w:ascii="Arial" w:hAnsi="Arial" w:cs="Arial"/>
        </w:rPr>
      </w:pPr>
    </w:p>
    <w:p w14:paraId="50E8FFA7" w14:textId="77777777" w:rsidR="000E3262" w:rsidRPr="008E0131" w:rsidRDefault="000E3262" w:rsidP="0010741E">
      <w:pPr>
        <w:spacing w:before="240" w:after="240" w:line="360" w:lineRule="auto"/>
        <w:jc w:val="both"/>
        <w:rPr>
          <w:rFonts w:ascii="Arial" w:hAnsi="Arial" w:cs="Arial"/>
        </w:rPr>
      </w:pPr>
    </w:p>
    <w:p w14:paraId="15A496C4" w14:textId="77777777" w:rsidR="00AE58B5" w:rsidRPr="008E0131" w:rsidRDefault="0010741E" w:rsidP="0010741E">
      <w:pPr>
        <w:pStyle w:val="Heading1"/>
        <w:keepNext w:val="0"/>
        <w:keepLines w:val="0"/>
        <w:spacing w:before="322" w:after="322" w:line="360" w:lineRule="auto"/>
        <w:jc w:val="both"/>
        <w:rPr>
          <w:rFonts w:ascii="Arial" w:hAnsi="Arial" w:cs="Arial"/>
          <w:sz w:val="32"/>
          <w:szCs w:val="32"/>
        </w:rPr>
      </w:pPr>
      <w:r w:rsidRPr="008E0131">
        <w:rPr>
          <w:rFonts w:ascii="Arial" w:hAnsi="Arial" w:cs="Arial"/>
          <w:color w:val="auto"/>
          <w:sz w:val="32"/>
          <w:szCs w:val="32"/>
        </w:rPr>
        <w:t>Analysis</w:t>
      </w:r>
    </w:p>
    <w:p w14:paraId="6638A2A9" w14:textId="77777777" w:rsidR="00AE58B5" w:rsidRPr="008E0131" w:rsidRDefault="0010741E" w:rsidP="0010741E">
      <w:pPr>
        <w:pStyle w:val="Heading2"/>
        <w:keepNext w:val="0"/>
        <w:keepLines w:val="0"/>
        <w:spacing w:before="299" w:after="299" w:line="360" w:lineRule="auto"/>
        <w:jc w:val="both"/>
        <w:rPr>
          <w:rFonts w:ascii="Arial" w:hAnsi="Arial" w:cs="Arial"/>
          <w:sz w:val="28"/>
          <w:szCs w:val="28"/>
        </w:rPr>
      </w:pPr>
      <w:r w:rsidRPr="008E0131">
        <w:rPr>
          <w:rFonts w:ascii="Arial" w:hAnsi="Arial" w:cs="Arial"/>
          <w:color w:val="auto"/>
          <w:sz w:val="28"/>
          <w:szCs w:val="28"/>
        </w:rPr>
        <w:t>Identification and analysis of the transferable skills of Mr Clark's case</w:t>
      </w:r>
    </w:p>
    <w:p w14:paraId="25C515D9"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Mr Clark who is an organiser of a community firefighting scheme has received rewards for the contribution as the scheme has saved 60 lives. He has won awards both from the Humberside Fire and Rescue Service and the employers of Howden Joinery. There have been several transferable skills behind the success of the scheme in which Mr Clark and his colleagues had been working on. The on-call scheme has gotten a lot of attention from the community and has become impactful. The volunteer team of the scheme handles the fire and accidents along with medical emergencies in the evening and weekends. The transferable skills of Mr Clark's team are identified and discussed below:</w:t>
      </w:r>
    </w:p>
    <w:p w14:paraId="14E3E141"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t>Critical thinking:</w:t>
      </w:r>
      <w:r w:rsidRPr="008E0131">
        <w:rPr>
          <w:rFonts w:ascii="Arial" w:hAnsi="Arial" w:cs="Arial"/>
        </w:rPr>
        <w:t xml:space="preserve"> While facing any problem, the group members of the community engagement scheme apply their critical thinking ability to evaluate and interpret the situations or scenarios accurately to make a logical judgement and take action. </w:t>
      </w:r>
      <w:r w:rsidR="000E3262" w:rsidRPr="008E0131">
        <w:rPr>
          <w:rFonts w:ascii="Arial" w:hAnsi="Arial" w:cs="Arial"/>
        </w:rPr>
        <w:t xml:space="preserve">Besides, they also need to analysis background of the problem and all relevant factors to avoid potential problem in future. </w:t>
      </w:r>
    </w:p>
    <w:p w14:paraId="05452FAB"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t>Adaptability:</w:t>
      </w:r>
      <w:r w:rsidRPr="008E0131">
        <w:rPr>
          <w:rFonts w:ascii="Arial" w:hAnsi="Arial" w:cs="Arial"/>
        </w:rPr>
        <w:t xml:space="preserve"> The task or work may fluctuate due to various reasons, the ability to adjust to the changing situations and workflow helps t</w:t>
      </w:r>
      <w:r w:rsidR="000E3262" w:rsidRPr="008E0131">
        <w:rPr>
          <w:rFonts w:ascii="Arial" w:hAnsi="Arial" w:cs="Arial"/>
        </w:rPr>
        <w:t>o efficiently implement the pre</w:t>
      </w:r>
      <w:r w:rsidRPr="008E0131">
        <w:rPr>
          <w:rFonts w:ascii="Arial" w:hAnsi="Arial" w:cs="Arial"/>
        </w:rPr>
        <w:t xml:space="preserve">determined strategies. The organiser and the group members modify or change the approach based on the nature of the task. Learning new skill sets can help to adapt to new situations better (O'Connell, </w:t>
      </w:r>
      <w:r w:rsidR="000E3262" w:rsidRPr="008E0131">
        <w:rPr>
          <w:rFonts w:ascii="Arial" w:hAnsi="Arial" w:cs="Arial"/>
        </w:rPr>
        <w:t>McNeely,</w:t>
      </w:r>
      <w:r w:rsidRPr="008E0131">
        <w:rPr>
          <w:rFonts w:ascii="Arial" w:hAnsi="Arial" w:cs="Arial"/>
        </w:rPr>
        <w:t xml:space="preserve"> and Hall, 2018).</w:t>
      </w:r>
      <w:r w:rsidR="000E3262" w:rsidRPr="008E0131">
        <w:rPr>
          <w:rFonts w:ascii="Arial" w:hAnsi="Arial" w:cs="Arial"/>
        </w:rPr>
        <w:t xml:space="preserve"> To develop capacity of the adaptability they need to highlights positive attitudes, interpersonal relationship, and ensure use of proper communication channel</w:t>
      </w:r>
    </w:p>
    <w:p w14:paraId="4A425750"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lastRenderedPageBreak/>
        <w:t>Communication skills:</w:t>
      </w:r>
      <w:r w:rsidRPr="008E0131">
        <w:rPr>
          <w:rFonts w:ascii="Arial" w:hAnsi="Arial" w:cs="Arial"/>
        </w:rPr>
        <w:t xml:space="preserve"> The team members need to have communication skills to communicate with the people who want help with the capability to getting the information clearly and concisely. Understanding the core message accurately and making others understand the message required good communication skills (Doyle, 2018).</w:t>
      </w:r>
      <w:r w:rsidR="00AE4825" w:rsidRPr="008E0131">
        <w:rPr>
          <w:rFonts w:ascii="Arial" w:hAnsi="Arial" w:cs="Arial"/>
        </w:rPr>
        <w:t xml:space="preserve"> Communication plays a major role in community engagement as it helps to understand the situations better and work accordingly. </w:t>
      </w:r>
    </w:p>
    <w:p w14:paraId="6E1C67A2" w14:textId="77777777" w:rsidR="00954898" w:rsidRPr="008E0131" w:rsidRDefault="00954898" w:rsidP="0010741E">
      <w:pPr>
        <w:spacing w:before="240" w:after="240" w:line="360" w:lineRule="auto"/>
        <w:jc w:val="both"/>
        <w:rPr>
          <w:rFonts w:ascii="Arial" w:hAnsi="Arial" w:cs="Arial"/>
        </w:rPr>
      </w:pPr>
    </w:p>
    <w:p w14:paraId="52C0AE4E"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t>Listening and analysing:</w:t>
      </w:r>
      <w:r w:rsidRPr="008E0131">
        <w:rPr>
          <w:rFonts w:ascii="Arial" w:hAnsi="Arial" w:cs="Arial"/>
        </w:rPr>
        <w:t xml:space="preserve"> To manage community engagement, listening and analysing are needed. These have helped to understand what the other parties are trying to convey and what they want from the team members. Even in resolving the conflicts of the team members, listening, understanding and analysing the message bears immense significance. </w:t>
      </w:r>
      <w:r w:rsidR="00AE4825" w:rsidRPr="008E0131">
        <w:rPr>
          <w:rFonts w:ascii="Arial" w:hAnsi="Arial" w:cs="Arial"/>
        </w:rPr>
        <w:t xml:space="preserve">All the </w:t>
      </w:r>
      <w:r w:rsidR="00DF5905" w:rsidRPr="008E0131">
        <w:rPr>
          <w:rFonts w:ascii="Arial" w:hAnsi="Arial" w:cs="Arial"/>
        </w:rPr>
        <w:t>member of the community should have skills of listening to other and analysis problem to support for problem solving.</w:t>
      </w:r>
    </w:p>
    <w:p w14:paraId="44EBDB4D"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t>Decision making:</w:t>
      </w:r>
      <w:r w:rsidRPr="008E0131">
        <w:rPr>
          <w:rFonts w:ascii="Arial" w:hAnsi="Arial" w:cs="Arial"/>
        </w:rPr>
        <w:t xml:space="preserve"> As a group of people collaborate to work in community engagement, there are several members on the team. They might have needed to uniformly decide for confronting any issues, that's why the skills of interpreting the situation, organising the alternatives and taking the best alternative are important (Kerr and Tindale, 2016). </w:t>
      </w:r>
    </w:p>
    <w:p w14:paraId="2748E135"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t>Empathy and support for team members:</w:t>
      </w:r>
      <w:r w:rsidRPr="008E0131">
        <w:rPr>
          <w:rFonts w:ascii="Arial" w:hAnsi="Arial" w:cs="Arial"/>
        </w:rPr>
        <w:t xml:space="preserve"> Mutual trust and respect between the group members of community engagement are present. They understand each other's position and emotion and respond accordingly with them as Mr Clark has expressed his gratitude towards his colleagues after receiving the award. It helps to create a social and emotional bond among the members and improve teamwork as well. </w:t>
      </w:r>
    </w:p>
    <w:p w14:paraId="31F465A1"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t>Teamwork ability:</w:t>
      </w:r>
      <w:r w:rsidRPr="008E0131">
        <w:rPr>
          <w:rFonts w:ascii="Arial" w:hAnsi="Arial" w:cs="Arial"/>
        </w:rPr>
        <w:t xml:space="preserve"> Community engagement has a common purpose that every group member of the community wants to achieve and which can be fulfilled collectively with the effort of every member. The members have contributed positively to the tasks to solve the problems efficiently and accomplish the goals.</w:t>
      </w:r>
      <w:r w:rsidR="00954898" w:rsidRPr="008E0131">
        <w:rPr>
          <w:rFonts w:ascii="Arial" w:hAnsi="Arial" w:cs="Arial"/>
        </w:rPr>
        <w:t xml:space="preserve"> </w:t>
      </w:r>
    </w:p>
    <w:p w14:paraId="07EB8DE2"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b/>
          <w:bCs/>
        </w:rPr>
        <w:t>Problem-solving:</w:t>
      </w:r>
      <w:r w:rsidRPr="008E0131">
        <w:rPr>
          <w:rFonts w:ascii="Arial" w:hAnsi="Arial" w:cs="Arial"/>
        </w:rPr>
        <w:t xml:space="preserve"> The ability to identify and solve the raised problem with the most appropriate solution needs problem-solving skills. The reason behind the gap between </w:t>
      </w:r>
      <w:r w:rsidRPr="008E0131">
        <w:rPr>
          <w:rFonts w:ascii="Arial" w:hAnsi="Arial" w:cs="Arial"/>
        </w:rPr>
        <w:lastRenderedPageBreak/>
        <w:t xml:space="preserve">the desired performance and the actual performance is the problem that needs to be identified and solved through choosing the most appropriate solution by the team members of community engagement. </w:t>
      </w:r>
    </w:p>
    <w:p w14:paraId="72AEDA02"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These are some of the transferable skills of community engagement that has been relevant to Mr Clerk's case of community scheme to save and serve the local community. </w:t>
      </w:r>
    </w:p>
    <w:p w14:paraId="38EE86CC" w14:textId="77777777" w:rsidR="00AE4825" w:rsidRPr="008E0131" w:rsidRDefault="00AE4825" w:rsidP="0010741E">
      <w:pPr>
        <w:spacing w:before="240" w:after="240" w:line="360" w:lineRule="auto"/>
        <w:jc w:val="both"/>
        <w:rPr>
          <w:rFonts w:ascii="Arial" w:hAnsi="Arial" w:cs="Arial"/>
        </w:rPr>
      </w:pPr>
    </w:p>
    <w:p w14:paraId="31B6148E" w14:textId="77777777" w:rsidR="00AE4825" w:rsidRPr="008E0131" w:rsidRDefault="00AE4825" w:rsidP="0010741E">
      <w:pPr>
        <w:spacing w:before="240" w:after="240" w:line="360" w:lineRule="auto"/>
        <w:jc w:val="both"/>
        <w:rPr>
          <w:rFonts w:ascii="Arial" w:hAnsi="Arial" w:cs="Arial"/>
        </w:rPr>
      </w:pPr>
    </w:p>
    <w:p w14:paraId="313F5A43" w14:textId="77777777" w:rsidR="00AE58B5" w:rsidRPr="008E0131" w:rsidRDefault="000E3262" w:rsidP="0010741E">
      <w:pPr>
        <w:pStyle w:val="Heading1"/>
        <w:keepNext w:val="0"/>
        <w:keepLines w:val="0"/>
        <w:spacing w:before="322" w:after="322" w:line="360" w:lineRule="auto"/>
        <w:jc w:val="both"/>
        <w:rPr>
          <w:rFonts w:ascii="Arial" w:hAnsi="Arial" w:cs="Arial"/>
          <w:sz w:val="32"/>
          <w:szCs w:val="32"/>
        </w:rPr>
      </w:pPr>
      <w:r w:rsidRPr="008E0131">
        <w:rPr>
          <w:rFonts w:ascii="Arial" w:hAnsi="Arial" w:cs="Arial"/>
          <w:color w:val="auto"/>
          <w:sz w:val="32"/>
          <w:szCs w:val="32"/>
        </w:rPr>
        <w:t>Potential suggestion for Mr Clark</w:t>
      </w:r>
    </w:p>
    <w:p w14:paraId="66768B89"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Mr Clark's employer can apply several actionable strategies to enhance community engagement. Some of the suggestions are given below:</w:t>
      </w:r>
    </w:p>
    <w:p w14:paraId="6CD406BF" w14:textId="77777777" w:rsidR="00AE58B5" w:rsidRPr="008E0131" w:rsidRDefault="0010741E" w:rsidP="000E3262">
      <w:pPr>
        <w:spacing w:before="240" w:line="360" w:lineRule="auto"/>
        <w:jc w:val="both"/>
        <w:rPr>
          <w:rFonts w:ascii="Arial" w:hAnsi="Arial" w:cs="Arial"/>
        </w:rPr>
      </w:pPr>
      <w:r w:rsidRPr="008E0131">
        <w:rPr>
          <w:rFonts w:ascii="Arial" w:hAnsi="Arial" w:cs="Arial"/>
        </w:rPr>
        <w:t>Providing the community members with a platform or media to express their experience and journey with others where they would share their story. Focusing on the moderation of the community might become impactful to keep the platform a safe place for the community members. In that way, the members can respect each other's opinions and ideas.</w:t>
      </w:r>
      <w:r w:rsidR="000E3262" w:rsidRPr="008E0131">
        <w:rPr>
          <w:rFonts w:ascii="Arial" w:hAnsi="Arial" w:cs="Arial"/>
        </w:rPr>
        <w:t xml:space="preserve"> </w:t>
      </w:r>
      <w:r w:rsidRPr="008E0131">
        <w:rPr>
          <w:rFonts w:ascii="Arial" w:hAnsi="Arial" w:cs="Arial"/>
        </w:rPr>
        <w:t xml:space="preserve">Being responsive towards the community and becoming involved with the community would encourage the members to work hard and enhance community engagement. Usage of visual representation of strategies rather than the long text messages might be more attractive and might be caught the attention of members. As a community, the interested new members should be welcomed with a heart-warming message and they should be acknowledged for joining the community. </w:t>
      </w:r>
    </w:p>
    <w:p w14:paraId="1D13B085" w14:textId="77777777" w:rsidR="000E3262" w:rsidRPr="008E0131" w:rsidRDefault="000E3262" w:rsidP="0010741E">
      <w:pPr>
        <w:spacing w:before="240" w:after="240" w:line="360" w:lineRule="auto"/>
        <w:jc w:val="both"/>
        <w:rPr>
          <w:rFonts w:ascii="Arial" w:hAnsi="Arial" w:cs="Arial"/>
        </w:rPr>
      </w:pPr>
    </w:p>
    <w:p w14:paraId="17679DC9" w14:textId="77777777" w:rsidR="00AE58B5" w:rsidRPr="008E0131" w:rsidRDefault="0010741E" w:rsidP="0010741E">
      <w:pPr>
        <w:pStyle w:val="Heading1"/>
        <w:keepNext w:val="0"/>
        <w:keepLines w:val="0"/>
        <w:spacing w:before="322" w:after="322" w:line="360" w:lineRule="auto"/>
        <w:jc w:val="both"/>
        <w:rPr>
          <w:rFonts w:ascii="Arial" w:hAnsi="Arial" w:cs="Arial"/>
          <w:sz w:val="28"/>
          <w:szCs w:val="28"/>
        </w:rPr>
      </w:pPr>
      <w:r w:rsidRPr="008E0131">
        <w:rPr>
          <w:rFonts w:ascii="Arial" w:hAnsi="Arial" w:cs="Arial"/>
          <w:color w:val="auto"/>
          <w:sz w:val="28"/>
          <w:szCs w:val="28"/>
        </w:rPr>
        <w:t>Conclusion</w:t>
      </w:r>
    </w:p>
    <w:p w14:paraId="7D1CD5B9"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Working with collaboration on some projects for the betterment of the community as a whole bears significance for society as it can lead to social transformations. The shared </w:t>
      </w:r>
      <w:r w:rsidRPr="008E0131">
        <w:rPr>
          <w:rFonts w:ascii="Arial" w:hAnsi="Arial" w:cs="Arial"/>
        </w:rPr>
        <w:lastRenderedPageBreak/>
        <w:t xml:space="preserve">value of the local community and joint activities of the organisations and community facilitates the development and empower the community. Among the categories of community engagement, transformational community engagement takes lead as the most proactive strategy. The transferable skills of community engagement play a huge role in achieving success. It helps to raise awareness in people regarding several problems and rights. Mr Clark's scheme has achieved success with the help of transferable skills of the group members that includes communication skills, decision making, adaptability, problem-solving and teamwork ability etc. The employer of Mr Clark can enhance community engagement by applying the suggested strategies. </w:t>
      </w:r>
    </w:p>
    <w:p w14:paraId="564012C4" w14:textId="77777777" w:rsidR="00AE58B5" w:rsidRPr="008E0131" w:rsidRDefault="0010741E" w:rsidP="0010741E">
      <w:pPr>
        <w:pStyle w:val="Heading1"/>
        <w:spacing w:line="360" w:lineRule="auto"/>
        <w:rPr>
          <w:rFonts w:ascii="Arial" w:hAnsi="Arial" w:cs="Arial"/>
          <w:color w:val="000000" w:themeColor="text1"/>
          <w:sz w:val="32"/>
          <w:szCs w:val="32"/>
        </w:rPr>
      </w:pPr>
      <w:r w:rsidRPr="008E0131">
        <w:rPr>
          <w:rFonts w:ascii="Arial" w:hAnsi="Arial" w:cs="Arial"/>
          <w:color w:val="000000" w:themeColor="text1"/>
          <w:sz w:val="32"/>
          <w:szCs w:val="32"/>
        </w:rPr>
        <w:t>References</w:t>
      </w:r>
    </w:p>
    <w:p w14:paraId="731CCD14" w14:textId="77777777" w:rsidR="00AE58B5" w:rsidRPr="008E0131" w:rsidRDefault="0010741E" w:rsidP="0010741E">
      <w:pPr>
        <w:spacing w:before="240" w:after="240" w:line="360" w:lineRule="auto"/>
        <w:jc w:val="both"/>
        <w:rPr>
          <w:rFonts w:ascii="Arial" w:hAnsi="Arial" w:cs="Arial"/>
        </w:rPr>
      </w:pPr>
      <w:proofErr w:type="spellStart"/>
      <w:r w:rsidRPr="008E0131">
        <w:rPr>
          <w:rFonts w:ascii="Arial" w:hAnsi="Arial" w:cs="Arial"/>
        </w:rPr>
        <w:t>Assiter</w:t>
      </w:r>
      <w:proofErr w:type="spellEnd"/>
      <w:r w:rsidRPr="008E0131">
        <w:rPr>
          <w:rFonts w:ascii="Arial" w:hAnsi="Arial" w:cs="Arial"/>
        </w:rPr>
        <w:t xml:space="preserve">, A., (2017). </w:t>
      </w:r>
      <w:r w:rsidRPr="008E0131">
        <w:rPr>
          <w:rFonts w:ascii="Arial" w:hAnsi="Arial" w:cs="Arial"/>
          <w:i/>
          <w:iCs/>
        </w:rPr>
        <w:t>Transferable skills in Community Engagement</w:t>
      </w:r>
      <w:r w:rsidRPr="008E0131">
        <w:rPr>
          <w:rFonts w:ascii="Arial" w:hAnsi="Arial" w:cs="Arial"/>
        </w:rPr>
        <w:t>. Routledge.</w:t>
      </w:r>
    </w:p>
    <w:p w14:paraId="32F47D57" w14:textId="77777777" w:rsidR="00AE58B5" w:rsidRPr="008E0131" w:rsidRDefault="0010741E" w:rsidP="0010741E">
      <w:pPr>
        <w:spacing w:before="240" w:after="240" w:line="360" w:lineRule="auto"/>
        <w:jc w:val="both"/>
        <w:rPr>
          <w:rFonts w:ascii="Arial" w:hAnsi="Arial" w:cs="Arial"/>
        </w:rPr>
      </w:pPr>
      <w:proofErr w:type="spellStart"/>
      <w:r w:rsidRPr="008E0131">
        <w:rPr>
          <w:rFonts w:ascii="Arial" w:hAnsi="Arial" w:cs="Arial"/>
        </w:rPr>
        <w:t>Bednarz</w:t>
      </w:r>
      <w:proofErr w:type="spellEnd"/>
      <w:r w:rsidRPr="008E0131">
        <w:rPr>
          <w:rFonts w:ascii="Arial" w:hAnsi="Arial" w:cs="Arial"/>
        </w:rPr>
        <w:t xml:space="preserve">, S.W., </w:t>
      </w:r>
      <w:proofErr w:type="spellStart"/>
      <w:r w:rsidRPr="008E0131">
        <w:rPr>
          <w:rFonts w:ascii="Arial" w:hAnsi="Arial" w:cs="Arial"/>
        </w:rPr>
        <w:t>Chalkley</w:t>
      </w:r>
      <w:proofErr w:type="spellEnd"/>
      <w:r w:rsidRPr="008E0131">
        <w:rPr>
          <w:rFonts w:ascii="Arial" w:hAnsi="Arial" w:cs="Arial"/>
        </w:rPr>
        <w:t xml:space="preserve">, B., Fletcher, S., Hay, I., Heron, E.L., Mohan, A. and Trafford, J., (2018). Community engagement for student learning in geography. </w:t>
      </w:r>
      <w:r w:rsidRPr="008E0131">
        <w:rPr>
          <w:rFonts w:ascii="Arial" w:hAnsi="Arial" w:cs="Arial"/>
          <w:i/>
          <w:iCs/>
        </w:rPr>
        <w:t>Journal of Geography in Higher Education</w:t>
      </w:r>
      <w:r w:rsidRPr="008E0131">
        <w:rPr>
          <w:rFonts w:ascii="Arial" w:hAnsi="Arial" w:cs="Arial"/>
        </w:rPr>
        <w:t xml:space="preserve">, </w:t>
      </w:r>
      <w:r w:rsidRPr="008E0131">
        <w:rPr>
          <w:rFonts w:ascii="Arial" w:hAnsi="Arial" w:cs="Arial"/>
          <w:i/>
          <w:iCs/>
        </w:rPr>
        <w:t>32</w:t>
      </w:r>
      <w:r w:rsidRPr="008E0131">
        <w:rPr>
          <w:rFonts w:ascii="Arial" w:hAnsi="Arial" w:cs="Arial"/>
        </w:rPr>
        <w:t>(1), pp.87-100.</w:t>
      </w:r>
    </w:p>
    <w:p w14:paraId="68793CDB" w14:textId="77777777" w:rsidR="00AE58B5" w:rsidRPr="008E0131" w:rsidRDefault="0010741E" w:rsidP="0010741E">
      <w:pPr>
        <w:spacing w:before="240" w:after="240" w:line="360" w:lineRule="auto"/>
        <w:jc w:val="both"/>
        <w:rPr>
          <w:rFonts w:ascii="Arial" w:hAnsi="Arial" w:cs="Arial"/>
        </w:rPr>
      </w:pPr>
      <w:proofErr w:type="spellStart"/>
      <w:r w:rsidRPr="008E0131">
        <w:rPr>
          <w:rFonts w:ascii="Arial" w:hAnsi="Arial" w:cs="Arial"/>
        </w:rPr>
        <w:t>Bourner</w:t>
      </w:r>
      <w:proofErr w:type="spellEnd"/>
      <w:r w:rsidRPr="008E0131">
        <w:rPr>
          <w:rFonts w:ascii="Arial" w:hAnsi="Arial" w:cs="Arial"/>
        </w:rPr>
        <w:t xml:space="preserve">, T. and </w:t>
      </w:r>
      <w:proofErr w:type="spellStart"/>
      <w:r w:rsidRPr="008E0131">
        <w:rPr>
          <w:rFonts w:ascii="Arial" w:hAnsi="Arial" w:cs="Arial"/>
        </w:rPr>
        <w:t>Millican</w:t>
      </w:r>
      <w:proofErr w:type="spellEnd"/>
      <w:r w:rsidRPr="008E0131">
        <w:rPr>
          <w:rFonts w:ascii="Arial" w:hAnsi="Arial" w:cs="Arial"/>
        </w:rPr>
        <w:t xml:space="preserve">, J., (2017). Community engagement and transferable skills. </w:t>
      </w:r>
      <w:r w:rsidRPr="008E0131">
        <w:rPr>
          <w:rFonts w:ascii="Arial" w:hAnsi="Arial" w:cs="Arial"/>
          <w:i/>
          <w:iCs/>
        </w:rPr>
        <w:t>Journal of Business Studies</w:t>
      </w:r>
      <w:r w:rsidRPr="008E0131">
        <w:rPr>
          <w:rFonts w:ascii="Arial" w:hAnsi="Arial" w:cs="Arial"/>
        </w:rPr>
        <w:t xml:space="preserve">, </w:t>
      </w:r>
      <w:r w:rsidRPr="008E0131">
        <w:rPr>
          <w:rFonts w:ascii="Arial" w:hAnsi="Arial" w:cs="Arial"/>
          <w:i/>
          <w:iCs/>
        </w:rPr>
        <w:t>13</w:t>
      </w:r>
      <w:r w:rsidRPr="008E0131">
        <w:rPr>
          <w:rFonts w:ascii="Arial" w:hAnsi="Arial" w:cs="Arial"/>
        </w:rPr>
        <w:t>(2), pp.68-85.</w:t>
      </w:r>
    </w:p>
    <w:p w14:paraId="0E209DFD"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Cheng, I.H., </w:t>
      </w:r>
      <w:proofErr w:type="spellStart"/>
      <w:r w:rsidRPr="008E0131">
        <w:rPr>
          <w:rFonts w:ascii="Arial" w:hAnsi="Arial" w:cs="Arial"/>
        </w:rPr>
        <w:t>Wahidi</w:t>
      </w:r>
      <w:proofErr w:type="spellEnd"/>
      <w:r w:rsidRPr="008E0131">
        <w:rPr>
          <w:rFonts w:ascii="Arial" w:hAnsi="Arial" w:cs="Arial"/>
        </w:rPr>
        <w:t xml:space="preserve">, S., </w:t>
      </w:r>
      <w:proofErr w:type="spellStart"/>
      <w:r w:rsidRPr="008E0131">
        <w:rPr>
          <w:rFonts w:ascii="Arial" w:hAnsi="Arial" w:cs="Arial"/>
        </w:rPr>
        <w:t>Vasi</w:t>
      </w:r>
      <w:proofErr w:type="spellEnd"/>
      <w:r w:rsidRPr="008E0131">
        <w:rPr>
          <w:rFonts w:ascii="Arial" w:hAnsi="Arial" w:cs="Arial"/>
        </w:rPr>
        <w:t xml:space="preserve">, S. and Samuel, S., (2015). Importance of community engagement. </w:t>
      </w:r>
      <w:r w:rsidRPr="008E0131">
        <w:rPr>
          <w:rFonts w:ascii="Arial" w:hAnsi="Arial" w:cs="Arial"/>
          <w:i/>
          <w:iCs/>
        </w:rPr>
        <w:t>Journal of Management</w:t>
      </w:r>
      <w:r w:rsidRPr="008E0131">
        <w:rPr>
          <w:rFonts w:ascii="Arial" w:hAnsi="Arial" w:cs="Arial"/>
        </w:rPr>
        <w:t xml:space="preserve">, </w:t>
      </w:r>
      <w:r w:rsidRPr="008E0131">
        <w:rPr>
          <w:rFonts w:ascii="Arial" w:hAnsi="Arial" w:cs="Arial"/>
          <w:i/>
          <w:iCs/>
        </w:rPr>
        <w:t>21</w:t>
      </w:r>
      <w:r w:rsidRPr="008E0131">
        <w:rPr>
          <w:rFonts w:ascii="Arial" w:hAnsi="Arial" w:cs="Arial"/>
        </w:rPr>
        <w:t>(3), pp.262-267.</w:t>
      </w:r>
    </w:p>
    <w:p w14:paraId="1459B320"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Dempsey, S.E., (2019). Critiquing community engagement. </w:t>
      </w:r>
      <w:r w:rsidRPr="008E0131">
        <w:rPr>
          <w:rFonts w:ascii="Arial" w:hAnsi="Arial" w:cs="Arial"/>
          <w:i/>
          <w:iCs/>
        </w:rPr>
        <w:t>Management Communication Quarterly</w:t>
      </w:r>
      <w:r w:rsidRPr="008E0131">
        <w:rPr>
          <w:rFonts w:ascii="Arial" w:hAnsi="Arial" w:cs="Arial"/>
        </w:rPr>
        <w:t xml:space="preserve">, </w:t>
      </w:r>
      <w:r w:rsidRPr="008E0131">
        <w:rPr>
          <w:rFonts w:ascii="Arial" w:hAnsi="Arial" w:cs="Arial"/>
          <w:i/>
          <w:iCs/>
        </w:rPr>
        <w:t>24</w:t>
      </w:r>
      <w:r w:rsidRPr="008E0131">
        <w:rPr>
          <w:rFonts w:ascii="Arial" w:hAnsi="Arial" w:cs="Arial"/>
        </w:rPr>
        <w:t>(3), pp.359-390.</w:t>
      </w:r>
    </w:p>
    <w:p w14:paraId="50399FA7"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Doyle, A., (2018). Communication skills for workplace success. </w:t>
      </w:r>
      <w:r w:rsidRPr="008E0131">
        <w:rPr>
          <w:rFonts w:ascii="Arial" w:hAnsi="Arial" w:cs="Arial"/>
          <w:i/>
          <w:iCs/>
        </w:rPr>
        <w:t>Retrieved November</w:t>
      </w:r>
      <w:r w:rsidRPr="008E0131">
        <w:rPr>
          <w:rFonts w:ascii="Arial" w:hAnsi="Arial" w:cs="Arial"/>
        </w:rPr>
        <w:t xml:space="preserve">, </w:t>
      </w:r>
      <w:r w:rsidRPr="008E0131">
        <w:rPr>
          <w:rFonts w:ascii="Arial" w:hAnsi="Arial" w:cs="Arial"/>
          <w:i/>
          <w:iCs/>
        </w:rPr>
        <w:t>19</w:t>
      </w:r>
      <w:r w:rsidRPr="008E0131">
        <w:rPr>
          <w:rFonts w:ascii="Arial" w:hAnsi="Arial" w:cs="Arial"/>
        </w:rPr>
        <w:t>, p.2018.</w:t>
      </w:r>
    </w:p>
    <w:p w14:paraId="4DAE9904"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Driscoll, A., (2018). Community-engagement classification: Intentions and insights. </w:t>
      </w:r>
      <w:r w:rsidRPr="008E0131">
        <w:rPr>
          <w:rFonts w:ascii="Arial" w:hAnsi="Arial" w:cs="Arial"/>
          <w:i/>
          <w:iCs/>
        </w:rPr>
        <w:t>Change: The Magazine of Higher Learning</w:t>
      </w:r>
      <w:r w:rsidRPr="008E0131">
        <w:rPr>
          <w:rFonts w:ascii="Arial" w:hAnsi="Arial" w:cs="Arial"/>
        </w:rPr>
        <w:t xml:space="preserve">, </w:t>
      </w:r>
      <w:r w:rsidRPr="008E0131">
        <w:rPr>
          <w:rFonts w:ascii="Arial" w:hAnsi="Arial" w:cs="Arial"/>
          <w:i/>
          <w:iCs/>
        </w:rPr>
        <w:t>40</w:t>
      </w:r>
      <w:r w:rsidRPr="008E0131">
        <w:rPr>
          <w:rFonts w:ascii="Arial" w:hAnsi="Arial" w:cs="Arial"/>
        </w:rPr>
        <w:t>(1), pp.38-41.</w:t>
      </w:r>
    </w:p>
    <w:p w14:paraId="3E311601"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Head, B.W., (2017). Community engagement: participation on whose </w:t>
      </w:r>
      <w:proofErr w:type="gramStart"/>
      <w:r w:rsidRPr="008E0131">
        <w:rPr>
          <w:rFonts w:ascii="Arial" w:hAnsi="Arial" w:cs="Arial"/>
        </w:rPr>
        <w:t>terms?.</w:t>
      </w:r>
      <w:proofErr w:type="gramEnd"/>
      <w:r w:rsidRPr="008E0131">
        <w:rPr>
          <w:rFonts w:ascii="Arial" w:hAnsi="Arial" w:cs="Arial"/>
        </w:rPr>
        <w:t xml:space="preserve"> </w:t>
      </w:r>
      <w:r w:rsidRPr="008E0131">
        <w:rPr>
          <w:rFonts w:ascii="Arial" w:hAnsi="Arial" w:cs="Arial"/>
          <w:i/>
          <w:iCs/>
        </w:rPr>
        <w:t>Australian Journal of Political Science</w:t>
      </w:r>
      <w:r w:rsidRPr="008E0131">
        <w:rPr>
          <w:rFonts w:ascii="Arial" w:hAnsi="Arial" w:cs="Arial"/>
        </w:rPr>
        <w:t xml:space="preserve">, </w:t>
      </w:r>
      <w:r w:rsidRPr="008E0131">
        <w:rPr>
          <w:rFonts w:ascii="Arial" w:hAnsi="Arial" w:cs="Arial"/>
          <w:i/>
          <w:iCs/>
        </w:rPr>
        <w:t>42</w:t>
      </w:r>
      <w:r w:rsidRPr="008E0131">
        <w:rPr>
          <w:rFonts w:ascii="Arial" w:hAnsi="Arial" w:cs="Arial"/>
        </w:rPr>
        <w:t>(3), pp.441-454.</w:t>
      </w:r>
    </w:p>
    <w:p w14:paraId="7C25FF3F"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lastRenderedPageBreak/>
        <w:t xml:space="preserve">Kerr, N.L. and Tindale, R.S., (2016). Group performance and decision making. </w:t>
      </w:r>
      <w:proofErr w:type="spellStart"/>
      <w:r w:rsidRPr="008E0131">
        <w:rPr>
          <w:rFonts w:ascii="Arial" w:hAnsi="Arial" w:cs="Arial"/>
          <w:i/>
          <w:iCs/>
        </w:rPr>
        <w:t>Annu</w:t>
      </w:r>
      <w:proofErr w:type="spellEnd"/>
      <w:r w:rsidRPr="008E0131">
        <w:rPr>
          <w:rFonts w:ascii="Arial" w:hAnsi="Arial" w:cs="Arial"/>
          <w:i/>
          <w:iCs/>
        </w:rPr>
        <w:t>. Rev. Psychol.</w:t>
      </w:r>
      <w:r w:rsidRPr="008E0131">
        <w:rPr>
          <w:rFonts w:ascii="Arial" w:hAnsi="Arial" w:cs="Arial"/>
        </w:rPr>
        <w:t xml:space="preserve">, </w:t>
      </w:r>
      <w:r w:rsidRPr="008E0131">
        <w:rPr>
          <w:rFonts w:ascii="Arial" w:hAnsi="Arial" w:cs="Arial"/>
          <w:i/>
          <w:iCs/>
        </w:rPr>
        <w:t>55</w:t>
      </w:r>
      <w:r w:rsidRPr="008E0131">
        <w:rPr>
          <w:rFonts w:ascii="Arial" w:hAnsi="Arial" w:cs="Arial"/>
        </w:rPr>
        <w:t>, pp.623-655.</w:t>
      </w:r>
    </w:p>
    <w:p w14:paraId="58BE20C0"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King, C. and Cruickshank, M., (2019). Building capacity to engage: community engagement or government </w:t>
      </w:r>
      <w:proofErr w:type="gramStart"/>
      <w:r w:rsidRPr="008E0131">
        <w:rPr>
          <w:rFonts w:ascii="Arial" w:hAnsi="Arial" w:cs="Arial"/>
        </w:rPr>
        <w:t>engagement?.</w:t>
      </w:r>
      <w:proofErr w:type="gramEnd"/>
      <w:r w:rsidRPr="008E0131">
        <w:rPr>
          <w:rFonts w:ascii="Arial" w:hAnsi="Arial" w:cs="Arial"/>
        </w:rPr>
        <w:t xml:space="preserve"> </w:t>
      </w:r>
      <w:r w:rsidRPr="008E0131">
        <w:rPr>
          <w:rFonts w:ascii="Arial" w:hAnsi="Arial" w:cs="Arial"/>
          <w:i/>
          <w:iCs/>
        </w:rPr>
        <w:t>Community Development Journal</w:t>
      </w:r>
      <w:r w:rsidRPr="008E0131">
        <w:rPr>
          <w:rFonts w:ascii="Arial" w:hAnsi="Arial" w:cs="Arial"/>
        </w:rPr>
        <w:t xml:space="preserve">, </w:t>
      </w:r>
      <w:r w:rsidRPr="008E0131">
        <w:rPr>
          <w:rFonts w:ascii="Arial" w:hAnsi="Arial" w:cs="Arial"/>
          <w:i/>
          <w:iCs/>
        </w:rPr>
        <w:t>47</w:t>
      </w:r>
      <w:r w:rsidRPr="008E0131">
        <w:rPr>
          <w:rFonts w:ascii="Arial" w:hAnsi="Arial" w:cs="Arial"/>
        </w:rPr>
        <w:t>(1), pp.5-28.</w:t>
      </w:r>
    </w:p>
    <w:p w14:paraId="10FB522D"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Millan, A., (2018). Analysis of the classification of community engagement: Patterns and impact on society. </w:t>
      </w:r>
      <w:r w:rsidRPr="008E0131">
        <w:rPr>
          <w:rFonts w:ascii="Arial" w:hAnsi="Arial" w:cs="Arial"/>
          <w:i/>
          <w:iCs/>
        </w:rPr>
        <w:t>New Directions for Institutional Research</w:t>
      </w:r>
      <w:r w:rsidRPr="008E0131">
        <w:rPr>
          <w:rFonts w:ascii="Arial" w:hAnsi="Arial" w:cs="Arial"/>
        </w:rPr>
        <w:t xml:space="preserve">, </w:t>
      </w:r>
      <w:r w:rsidRPr="008E0131">
        <w:rPr>
          <w:rFonts w:ascii="Arial" w:hAnsi="Arial" w:cs="Arial"/>
          <w:i/>
          <w:iCs/>
        </w:rPr>
        <w:t>2014</w:t>
      </w:r>
      <w:r w:rsidRPr="008E0131">
        <w:rPr>
          <w:rFonts w:ascii="Arial" w:hAnsi="Arial" w:cs="Arial"/>
        </w:rPr>
        <w:t>(162), pp.3-15.</w:t>
      </w:r>
    </w:p>
    <w:p w14:paraId="148C3575"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O'Connell, D.J., McNeely, E. and Hall, D.T., (2018). Unpacking personal adaptability at work. </w:t>
      </w:r>
      <w:r w:rsidRPr="008E0131">
        <w:rPr>
          <w:rFonts w:ascii="Arial" w:hAnsi="Arial" w:cs="Arial"/>
          <w:i/>
          <w:iCs/>
        </w:rPr>
        <w:t>Journal of Leadership &amp; Organizational Studies</w:t>
      </w:r>
      <w:r w:rsidRPr="008E0131">
        <w:rPr>
          <w:rFonts w:ascii="Arial" w:hAnsi="Arial" w:cs="Arial"/>
        </w:rPr>
        <w:t xml:space="preserve">, </w:t>
      </w:r>
      <w:r w:rsidRPr="008E0131">
        <w:rPr>
          <w:rFonts w:ascii="Arial" w:hAnsi="Arial" w:cs="Arial"/>
          <w:i/>
          <w:iCs/>
        </w:rPr>
        <w:t>14</w:t>
      </w:r>
      <w:r w:rsidRPr="008E0131">
        <w:rPr>
          <w:rFonts w:ascii="Arial" w:hAnsi="Arial" w:cs="Arial"/>
        </w:rPr>
        <w:t>(3), pp.248-259.</w:t>
      </w:r>
    </w:p>
    <w:p w14:paraId="61EB8A51" w14:textId="77777777" w:rsidR="00AE58B5" w:rsidRPr="008E0131" w:rsidRDefault="0010741E" w:rsidP="0010741E">
      <w:pPr>
        <w:spacing w:before="240" w:after="240" w:line="360" w:lineRule="auto"/>
        <w:jc w:val="both"/>
        <w:rPr>
          <w:rFonts w:ascii="Arial" w:hAnsi="Arial" w:cs="Arial"/>
        </w:rPr>
      </w:pPr>
      <w:r w:rsidRPr="008E0131">
        <w:rPr>
          <w:rFonts w:ascii="Arial" w:hAnsi="Arial" w:cs="Arial"/>
        </w:rPr>
        <w:t xml:space="preserve">Reid, H. and Howard, V., (2016). Connecting with community: The importance of community engagement in rural public library systems. </w:t>
      </w:r>
      <w:r w:rsidRPr="008E0131">
        <w:rPr>
          <w:rFonts w:ascii="Arial" w:hAnsi="Arial" w:cs="Arial"/>
          <w:i/>
          <w:iCs/>
        </w:rPr>
        <w:t>Business Journal Quarterly</w:t>
      </w:r>
      <w:r w:rsidRPr="008E0131">
        <w:rPr>
          <w:rFonts w:ascii="Arial" w:hAnsi="Arial" w:cs="Arial"/>
        </w:rPr>
        <w:t xml:space="preserve">, </w:t>
      </w:r>
      <w:r w:rsidRPr="008E0131">
        <w:rPr>
          <w:rFonts w:ascii="Arial" w:hAnsi="Arial" w:cs="Arial"/>
          <w:i/>
          <w:iCs/>
        </w:rPr>
        <w:t>35</w:t>
      </w:r>
      <w:r w:rsidRPr="008E0131">
        <w:rPr>
          <w:rFonts w:ascii="Arial" w:hAnsi="Arial" w:cs="Arial"/>
        </w:rPr>
        <w:t>(3), pp.188-202.</w:t>
      </w:r>
    </w:p>
    <w:p w14:paraId="242623D6" w14:textId="77777777" w:rsidR="00AE58B5" w:rsidRPr="008E0131" w:rsidRDefault="0010741E" w:rsidP="0010741E">
      <w:pPr>
        <w:spacing w:before="240" w:after="240" w:line="360" w:lineRule="auto"/>
        <w:jc w:val="both"/>
        <w:rPr>
          <w:rFonts w:ascii="Arial" w:hAnsi="Arial" w:cs="Arial"/>
        </w:rPr>
      </w:pPr>
      <w:proofErr w:type="spellStart"/>
      <w:r w:rsidRPr="008E0131">
        <w:rPr>
          <w:rFonts w:ascii="Arial" w:hAnsi="Arial" w:cs="Arial"/>
        </w:rPr>
        <w:t>Vanasupa</w:t>
      </w:r>
      <w:proofErr w:type="spellEnd"/>
      <w:r w:rsidRPr="008E0131">
        <w:rPr>
          <w:rFonts w:ascii="Arial" w:hAnsi="Arial" w:cs="Arial"/>
        </w:rPr>
        <w:t xml:space="preserve">, L. and </w:t>
      </w:r>
      <w:proofErr w:type="spellStart"/>
      <w:r w:rsidRPr="008E0131">
        <w:rPr>
          <w:rFonts w:ascii="Arial" w:hAnsi="Arial" w:cs="Arial"/>
        </w:rPr>
        <w:t>Schlemer</w:t>
      </w:r>
      <w:proofErr w:type="spellEnd"/>
      <w:r w:rsidRPr="008E0131">
        <w:rPr>
          <w:rFonts w:ascii="Arial" w:hAnsi="Arial" w:cs="Arial"/>
        </w:rPr>
        <w:t xml:space="preserve">, L.T., (2019). Relational versus transactional community engagement: An experience of the benefits and costs. In </w:t>
      </w:r>
      <w:r w:rsidRPr="008E0131">
        <w:rPr>
          <w:rFonts w:ascii="Arial" w:hAnsi="Arial" w:cs="Arial"/>
          <w:i/>
          <w:iCs/>
        </w:rPr>
        <w:t>2014 ASEE Annual Conference &amp; Exposition</w:t>
      </w:r>
      <w:r w:rsidRPr="008E0131">
        <w:rPr>
          <w:rFonts w:ascii="Arial" w:hAnsi="Arial" w:cs="Arial"/>
        </w:rPr>
        <w:t xml:space="preserve"> (pp. 24-1037).</w:t>
      </w:r>
    </w:p>
    <w:p w14:paraId="66399D7C" w14:textId="77777777" w:rsidR="00AE58B5" w:rsidRPr="008E0131" w:rsidRDefault="0010741E" w:rsidP="0010741E">
      <w:pPr>
        <w:spacing w:before="240" w:after="240" w:line="360" w:lineRule="auto"/>
        <w:jc w:val="both"/>
        <w:rPr>
          <w:rFonts w:ascii="Arial" w:hAnsi="Arial" w:cs="Arial"/>
        </w:rPr>
      </w:pPr>
      <w:proofErr w:type="spellStart"/>
      <w:r w:rsidRPr="008E0131">
        <w:rPr>
          <w:rFonts w:ascii="Arial" w:hAnsi="Arial" w:cs="Arial"/>
        </w:rPr>
        <w:t>Zuiches</w:t>
      </w:r>
      <w:proofErr w:type="spellEnd"/>
      <w:r w:rsidRPr="008E0131">
        <w:rPr>
          <w:rFonts w:ascii="Arial" w:hAnsi="Arial" w:cs="Arial"/>
        </w:rPr>
        <w:t xml:space="preserve">, J.J., (2018). Community-Engagement Classification. </w:t>
      </w:r>
      <w:r w:rsidRPr="008E0131">
        <w:rPr>
          <w:rFonts w:ascii="Arial" w:hAnsi="Arial" w:cs="Arial"/>
          <w:i/>
          <w:iCs/>
        </w:rPr>
        <w:t>Change: The Magazine of International Business</w:t>
      </w:r>
      <w:r w:rsidRPr="008E0131">
        <w:rPr>
          <w:rFonts w:ascii="Arial" w:hAnsi="Arial" w:cs="Arial"/>
        </w:rPr>
        <w:t xml:space="preserve">, </w:t>
      </w:r>
      <w:r w:rsidRPr="008E0131">
        <w:rPr>
          <w:rFonts w:ascii="Arial" w:hAnsi="Arial" w:cs="Arial"/>
          <w:i/>
          <w:iCs/>
        </w:rPr>
        <w:t>40</w:t>
      </w:r>
      <w:r w:rsidRPr="008E0131">
        <w:rPr>
          <w:rFonts w:ascii="Arial" w:hAnsi="Arial" w:cs="Arial"/>
        </w:rPr>
        <w:t>(1), pp.42-45.</w:t>
      </w:r>
    </w:p>
    <w:sectPr w:rsidR="00AE58B5" w:rsidRPr="008E0131">
      <w:pgSz w:w="12240" w:h="15840"/>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Vrinda">
    <w:altName w:val="Times New Roman"/>
    <w:panose1 w:val="00000000000000000000"/>
    <w:charset w:val="01"/>
    <w:family w:val="roman"/>
    <w:notTrueType/>
    <w:pitch w:val="variable"/>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30465430">
      <w:start w:val="1"/>
      <w:numFmt w:val="bullet"/>
      <w:lvlText w:val=""/>
      <w:lvlJc w:val="left"/>
      <w:pPr>
        <w:ind w:left="720" w:hanging="360"/>
      </w:pPr>
      <w:rPr>
        <w:rFonts w:ascii="Symbol" w:hAnsi="Symbol"/>
      </w:rPr>
    </w:lvl>
    <w:lvl w:ilvl="1" w:tplc="2B9EC944">
      <w:start w:val="1"/>
      <w:numFmt w:val="bullet"/>
      <w:lvlText w:val="o"/>
      <w:lvlJc w:val="left"/>
      <w:pPr>
        <w:tabs>
          <w:tab w:val="num" w:pos="1440"/>
        </w:tabs>
        <w:ind w:left="1440" w:hanging="360"/>
      </w:pPr>
      <w:rPr>
        <w:rFonts w:ascii="Courier New" w:hAnsi="Courier New"/>
      </w:rPr>
    </w:lvl>
    <w:lvl w:ilvl="2" w:tplc="CE2C0A74">
      <w:start w:val="1"/>
      <w:numFmt w:val="bullet"/>
      <w:lvlText w:val=""/>
      <w:lvlJc w:val="left"/>
      <w:pPr>
        <w:tabs>
          <w:tab w:val="num" w:pos="2160"/>
        </w:tabs>
        <w:ind w:left="2160" w:hanging="360"/>
      </w:pPr>
      <w:rPr>
        <w:rFonts w:ascii="Wingdings" w:hAnsi="Wingdings"/>
      </w:rPr>
    </w:lvl>
    <w:lvl w:ilvl="3" w:tplc="816EDF36">
      <w:start w:val="1"/>
      <w:numFmt w:val="bullet"/>
      <w:lvlText w:val=""/>
      <w:lvlJc w:val="left"/>
      <w:pPr>
        <w:tabs>
          <w:tab w:val="num" w:pos="2880"/>
        </w:tabs>
        <w:ind w:left="2880" w:hanging="360"/>
      </w:pPr>
      <w:rPr>
        <w:rFonts w:ascii="Symbol" w:hAnsi="Symbol"/>
      </w:rPr>
    </w:lvl>
    <w:lvl w:ilvl="4" w:tplc="96F26EB2">
      <w:start w:val="1"/>
      <w:numFmt w:val="bullet"/>
      <w:lvlText w:val="o"/>
      <w:lvlJc w:val="left"/>
      <w:pPr>
        <w:tabs>
          <w:tab w:val="num" w:pos="3600"/>
        </w:tabs>
        <w:ind w:left="3600" w:hanging="360"/>
      </w:pPr>
      <w:rPr>
        <w:rFonts w:ascii="Courier New" w:hAnsi="Courier New"/>
      </w:rPr>
    </w:lvl>
    <w:lvl w:ilvl="5" w:tplc="2CDC46E2">
      <w:start w:val="1"/>
      <w:numFmt w:val="bullet"/>
      <w:lvlText w:val=""/>
      <w:lvlJc w:val="left"/>
      <w:pPr>
        <w:tabs>
          <w:tab w:val="num" w:pos="4320"/>
        </w:tabs>
        <w:ind w:left="4320" w:hanging="360"/>
      </w:pPr>
      <w:rPr>
        <w:rFonts w:ascii="Wingdings" w:hAnsi="Wingdings"/>
      </w:rPr>
    </w:lvl>
    <w:lvl w:ilvl="6" w:tplc="E02CAE5E">
      <w:start w:val="1"/>
      <w:numFmt w:val="bullet"/>
      <w:lvlText w:val=""/>
      <w:lvlJc w:val="left"/>
      <w:pPr>
        <w:tabs>
          <w:tab w:val="num" w:pos="5040"/>
        </w:tabs>
        <w:ind w:left="5040" w:hanging="360"/>
      </w:pPr>
      <w:rPr>
        <w:rFonts w:ascii="Symbol" w:hAnsi="Symbol"/>
      </w:rPr>
    </w:lvl>
    <w:lvl w:ilvl="7" w:tplc="D520E1BC">
      <w:start w:val="1"/>
      <w:numFmt w:val="bullet"/>
      <w:lvlText w:val="o"/>
      <w:lvlJc w:val="left"/>
      <w:pPr>
        <w:tabs>
          <w:tab w:val="num" w:pos="5760"/>
        </w:tabs>
        <w:ind w:left="5760" w:hanging="360"/>
      </w:pPr>
      <w:rPr>
        <w:rFonts w:ascii="Courier New" w:hAnsi="Courier New"/>
      </w:rPr>
    </w:lvl>
    <w:lvl w:ilvl="8" w:tplc="9DC6426A">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tplc="8258E114">
      <w:start w:val="1"/>
      <w:numFmt w:val="bullet"/>
      <w:lvlText w:val=""/>
      <w:lvlJc w:val="left"/>
      <w:pPr>
        <w:ind w:left="720" w:hanging="360"/>
      </w:pPr>
      <w:rPr>
        <w:rFonts w:ascii="Symbol" w:hAnsi="Symbol"/>
      </w:rPr>
    </w:lvl>
    <w:lvl w:ilvl="1" w:tplc="61BAA71C">
      <w:start w:val="1"/>
      <w:numFmt w:val="bullet"/>
      <w:lvlText w:val="o"/>
      <w:lvlJc w:val="left"/>
      <w:pPr>
        <w:tabs>
          <w:tab w:val="num" w:pos="1440"/>
        </w:tabs>
        <w:ind w:left="1440" w:hanging="360"/>
      </w:pPr>
      <w:rPr>
        <w:rFonts w:ascii="Courier New" w:hAnsi="Courier New"/>
      </w:rPr>
    </w:lvl>
    <w:lvl w:ilvl="2" w:tplc="60121B54">
      <w:start w:val="1"/>
      <w:numFmt w:val="bullet"/>
      <w:lvlText w:val=""/>
      <w:lvlJc w:val="left"/>
      <w:pPr>
        <w:tabs>
          <w:tab w:val="num" w:pos="2160"/>
        </w:tabs>
        <w:ind w:left="2160" w:hanging="360"/>
      </w:pPr>
      <w:rPr>
        <w:rFonts w:ascii="Wingdings" w:hAnsi="Wingdings"/>
      </w:rPr>
    </w:lvl>
    <w:lvl w:ilvl="3" w:tplc="C92ADEDE">
      <w:start w:val="1"/>
      <w:numFmt w:val="bullet"/>
      <w:lvlText w:val=""/>
      <w:lvlJc w:val="left"/>
      <w:pPr>
        <w:tabs>
          <w:tab w:val="num" w:pos="2880"/>
        </w:tabs>
        <w:ind w:left="2880" w:hanging="360"/>
      </w:pPr>
      <w:rPr>
        <w:rFonts w:ascii="Symbol" w:hAnsi="Symbol"/>
      </w:rPr>
    </w:lvl>
    <w:lvl w:ilvl="4" w:tplc="7C5A0B9C">
      <w:start w:val="1"/>
      <w:numFmt w:val="bullet"/>
      <w:lvlText w:val="o"/>
      <w:lvlJc w:val="left"/>
      <w:pPr>
        <w:tabs>
          <w:tab w:val="num" w:pos="3600"/>
        </w:tabs>
        <w:ind w:left="3600" w:hanging="360"/>
      </w:pPr>
      <w:rPr>
        <w:rFonts w:ascii="Courier New" w:hAnsi="Courier New"/>
      </w:rPr>
    </w:lvl>
    <w:lvl w:ilvl="5" w:tplc="B96E2656">
      <w:start w:val="1"/>
      <w:numFmt w:val="bullet"/>
      <w:lvlText w:val=""/>
      <w:lvlJc w:val="left"/>
      <w:pPr>
        <w:tabs>
          <w:tab w:val="num" w:pos="4320"/>
        </w:tabs>
        <w:ind w:left="4320" w:hanging="360"/>
      </w:pPr>
      <w:rPr>
        <w:rFonts w:ascii="Wingdings" w:hAnsi="Wingdings"/>
      </w:rPr>
    </w:lvl>
    <w:lvl w:ilvl="6" w:tplc="03DED5A6">
      <w:start w:val="1"/>
      <w:numFmt w:val="bullet"/>
      <w:lvlText w:val=""/>
      <w:lvlJc w:val="left"/>
      <w:pPr>
        <w:tabs>
          <w:tab w:val="num" w:pos="5040"/>
        </w:tabs>
        <w:ind w:left="5040" w:hanging="360"/>
      </w:pPr>
      <w:rPr>
        <w:rFonts w:ascii="Symbol" w:hAnsi="Symbol"/>
      </w:rPr>
    </w:lvl>
    <w:lvl w:ilvl="7" w:tplc="B8BA3BC6">
      <w:start w:val="1"/>
      <w:numFmt w:val="bullet"/>
      <w:lvlText w:val="o"/>
      <w:lvlJc w:val="left"/>
      <w:pPr>
        <w:tabs>
          <w:tab w:val="num" w:pos="5760"/>
        </w:tabs>
        <w:ind w:left="5760" w:hanging="360"/>
      </w:pPr>
      <w:rPr>
        <w:rFonts w:ascii="Courier New" w:hAnsi="Courier New"/>
      </w:rPr>
    </w:lvl>
    <w:lvl w:ilvl="8" w:tplc="9F8E92DC">
      <w:start w:val="1"/>
      <w:numFmt w:val="bullet"/>
      <w:lvlText w:val=""/>
      <w:lvlJc w:val="left"/>
      <w:pPr>
        <w:tabs>
          <w:tab w:val="num" w:pos="6480"/>
        </w:tabs>
        <w:ind w:left="6480" w:hanging="360"/>
      </w:pPr>
      <w:rPr>
        <w:rFonts w:ascii="Wingdings" w:hAnsi="Wingdings"/>
      </w:rPr>
    </w:lvl>
  </w:abstractNum>
  <w:abstractNum w:abstractNumId="2">
    <w:nsid w:val="00000003"/>
    <w:multiLevelType w:val="hybridMultilevel"/>
    <w:tmpl w:val="00000003"/>
    <w:lvl w:ilvl="0" w:tplc="DFCE6328">
      <w:start w:val="1"/>
      <w:numFmt w:val="bullet"/>
      <w:lvlText w:val=""/>
      <w:lvlJc w:val="left"/>
      <w:pPr>
        <w:ind w:left="720" w:hanging="360"/>
      </w:pPr>
      <w:rPr>
        <w:rFonts w:ascii="Symbol" w:hAnsi="Symbol"/>
      </w:rPr>
    </w:lvl>
    <w:lvl w:ilvl="1" w:tplc="88F80BC0">
      <w:start w:val="1"/>
      <w:numFmt w:val="bullet"/>
      <w:lvlText w:val="o"/>
      <w:lvlJc w:val="left"/>
      <w:pPr>
        <w:tabs>
          <w:tab w:val="num" w:pos="1440"/>
        </w:tabs>
        <w:ind w:left="1440" w:hanging="360"/>
      </w:pPr>
      <w:rPr>
        <w:rFonts w:ascii="Courier New" w:hAnsi="Courier New"/>
      </w:rPr>
    </w:lvl>
    <w:lvl w:ilvl="2" w:tplc="17C8BC0A">
      <w:start w:val="1"/>
      <w:numFmt w:val="bullet"/>
      <w:lvlText w:val=""/>
      <w:lvlJc w:val="left"/>
      <w:pPr>
        <w:tabs>
          <w:tab w:val="num" w:pos="2160"/>
        </w:tabs>
        <w:ind w:left="2160" w:hanging="360"/>
      </w:pPr>
      <w:rPr>
        <w:rFonts w:ascii="Wingdings" w:hAnsi="Wingdings"/>
      </w:rPr>
    </w:lvl>
    <w:lvl w:ilvl="3" w:tplc="7E16B626">
      <w:start w:val="1"/>
      <w:numFmt w:val="bullet"/>
      <w:lvlText w:val=""/>
      <w:lvlJc w:val="left"/>
      <w:pPr>
        <w:tabs>
          <w:tab w:val="num" w:pos="2880"/>
        </w:tabs>
        <w:ind w:left="2880" w:hanging="360"/>
      </w:pPr>
      <w:rPr>
        <w:rFonts w:ascii="Symbol" w:hAnsi="Symbol"/>
      </w:rPr>
    </w:lvl>
    <w:lvl w:ilvl="4" w:tplc="3D1CE97C">
      <w:start w:val="1"/>
      <w:numFmt w:val="bullet"/>
      <w:lvlText w:val="o"/>
      <w:lvlJc w:val="left"/>
      <w:pPr>
        <w:tabs>
          <w:tab w:val="num" w:pos="3600"/>
        </w:tabs>
        <w:ind w:left="3600" w:hanging="360"/>
      </w:pPr>
      <w:rPr>
        <w:rFonts w:ascii="Courier New" w:hAnsi="Courier New"/>
      </w:rPr>
    </w:lvl>
    <w:lvl w:ilvl="5" w:tplc="F60EFADA">
      <w:start w:val="1"/>
      <w:numFmt w:val="bullet"/>
      <w:lvlText w:val=""/>
      <w:lvlJc w:val="left"/>
      <w:pPr>
        <w:tabs>
          <w:tab w:val="num" w:pos="4320"/>
        </w:tabs>
        <w:ind w:left="4320" w:hanging="360"/>
      </w:pPr>
      <w:rPr>
        <w:rFonts w:ascii="Wingdings" w:hAnsi="Wingdings"/>
      </w:rPr>
    </w:lvl>
    <w:lvl w:ilvl="6" w:tplc="04548742">
      <w:start w:val="1"/>
      <w:numFmt w:val="bullet"/>
      <w:lvlText w:val=""/>
      <w:lvlJc w:val="left"/>
      <w:pPr>
        <w:tabs>
          <w:tab w:val="num" w:pos="5040"/>
        </w:tabs>
        <w:ind w:left="5040" w:hanging="360"/>
      </w:pPr>
      <w:rPr>
        <w:rFonts w:ascii="Symbol" w:hAnsi="Symbol"/>
      </w:rPr>
    </w:lvl>
    <w:lvl w:ilvl="7" w:tplc="5EA8DEE4">
      <w:start w:val="1"/>
      <w:numFmt w:val="bullet"/>
      <w:lvlText w:val="o"/>
      <w:lvlJc w:val="left"/>
      <w:pPr>
        <w:tabs>
          <w:tab w:val="num" w:pos="5760"/>
        </w:tabs>
        <w:ind w:left="5760" w:hanging="360"/>
      </w:pPr>
      <w:rPr>
        <w:rFonts w:ascii="Courier New" w:hAnsi="Courier New"/>
      </w:rPr>
    </w:lvl>
    <w:lvl w:ilvl="8" w:tplc="587ACEDA">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noPunctuationKerning/>
  <w:characterSpacingControl w:val="doNotCompress"/>
  <w:compat>
    <w:compatSetting w:name="compatibilityMode" w:uri="http://schemas.microsoft.com/office/word" w:val="12"/>
  </w:compat>
  <w:rsids>
    <w:rsidRoot w:val="00AE58B5"/>
    <w:rsid w:val="000E3262"/>
    <w:rsid w:val="0010741E"/>
    <w:rsid w:val="002E5D88"/>
    <w:rsid w:val="008E0131"/>
    <w:rsid w:val="00954898"/>
    <w:rsid w:val="00AE4825"/>
    <w:rsid w:val="00AE58B5"/>
    <w:rsid w:val="00B53152"/>
    <w:rsid w:val="00CA76DE"/>
    <w:rsid w:val="00DF590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99B98"/>
  <w15:docId w15:val="{265C8CA0-6CA2-40BE-A9CA-8FF026601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lang w:val="en-GB"/>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BalloonText">
    <w:name w:val="Balloon Text"/>
    <w:basedOn w:val="Normal"/>
    <w:link w:val="BalloonTextChar"/>
    <w:uiPriority w:val="99"/>
    <w:semiHidden/>
    <w:unhideWhenUsed/>
    <w:rsid w:val="0010741E"/>
    <w:rPr>
      <w:rFonts w:ascii="Tahoma" w:hAnsi="Tahoma" w:cs="Tahoma"/>
      <w:sz w:val="16"/>
      <w:szCs w:val="16"/>
    </w:rPr>
  </w:style>
  <w:style w:type="character" w:customStyle="1" w:styleId="BalloonTextChar">
    <w:name w:val="Balloon Text Char"/>
    <w:basedOn w:val="DefaultParagraphFont"/>
    <w:link w:val="BalloonText"/>
    <w:uiPriority w:val="99"/>
    <w:semiHidden/>
    <w:rsid w:val="0010741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147594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diagramData" Target="diagrams/data1.xml"/><Relationship Id="rId6" Type="http://schemas.openxmlformats.org/officeDocument/2006/relationships/diagramLayout" Target="diagrams/layout1.xml"/><Relationship Id="rId7" Type="http://schemas.openxmlformats.org/officeDocument/2006/relationships/diagramQuickStyle" Target="diagrams/quickStyle1.xml"/><Relationship Id="rId8" Type="http://schemas.openxmlformats.org/officeDocument/2006/relationships/diagramColors" Target="diagrams/colors1.xml"/><Relationship Id="rId9" Type="http://schemas.microsoft.com/office/2007/relationships/diagramDrawing" Target="diagrams/drawing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6C4971-B928-4C4C-8EC0-3D0D92738F5B}" type="doc">
      <dgm:prSet loTypeId="urn:microsoft.com/office/officeart/2005/8/layout/process1" loCatId="process" qsTypeId="urn:microsoft.com/office/officeart/2005/8/quickstyle/simple1" qsCatId="simple" csTypeId="urn:microsoft.com/office/officeart/2005/8/colors/accent1_3" csCatId="accent1" phldr="1"/>
      <dgm:spPr/>
      <dgm:t>
        <a:bodyPr/>
        <a:lstStyle/>
        <a:p>
          <a:endParaRPr lang="en-US"/>
        </a:p>
      </dgm:t>
    </dgm:pt>
    <dgm:pt modelId="{76514AB4-8CEB-488F-A7F7-AE84E74AA3D3}">
      <dgm:prSet phldrT="[Text]" custT="1"/>
      <dgm:spPr>
        <a:xfrm>
          <a:off x="4822" y="682049"/>
          <a:ext cx="1441251" cy="864750"/>
        </a:xfrm>
        <a:solidFill>
          <a:srgbClr val="4F81BD">
            <a:shade val="80000"/>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n-US" sz="1200" b="1">
              <a:solidFill>
                <a:sysClr val="window" lastClr="FFFFFF"/>
              </a:solidFill>
              <a:latin typeface="Times New Roman" panose="02020603050405020304" pitchFamily="18" charset="0"/>
              <a:ea typeface="+mn-ea"/>
              <a:cs typeface="Times New Roman" panose="02020603050405020304" pitchFamily="18" charset="0"/>
            </a:rPr>
            <a:t>Transactional</a:t>
          </a:r>
        </a:p>
      </dgm:t>
    </dgm:pt>
    <dgm:pt modelId="{CF279905-33C2-411F-88B4-FAE2D8007CBF}" type="parTrans" cxnId="{2E785F9A-389A-4470-9A82-6A4996962F9B}">
      <dgm:prSet/>
      <dgm:spPr/>
      <dgm:t>
        <a:bodyPr/>
        <a:lstStyle/>
        <a:p>
          <a:endParaRPr lang="en-US"/>
        </a:p>
      </dgm:t>
    </dgm:pt>
    <dgm:pt modelId="{D64CC631-A31D-4EF9-A984-46C20A366B8F}" type="sibTrans" cxnId="{2E785F9A-389A-4470-9A82-6A4996962F9B}">
      <dgm:prSet/>
      <dgm:spPr>
        <a:xfrm>
          <a:off x="1590198" y="935709"/>
          <a:ext cx="305545" cy="357430"/>
        </a:xfrm>
        <a:solidFill>
          <a:srgbClr val="4F81BD">
            <a:shade val="90000"/>
            <a:hueOff val="0"/>
            <a:satOff val="0"/>
            <a:lumOff val="0"/>
            <a:alphaOff val="0"/>
          </a:srgbClr>
        </a:solidFill>
        <a:ln>
          <a:noFill/>
        </a:ln>
        <a:effectLst/>
      </dgm:spPr>
      <dgm:t>
        <a:bodyPr/>
        <a:lstStyle/>
        <a:p>
          <a:endParaRPr lang="en-US">
            <a:solidFill>
              <a:sysClr val="window" lastClr="FFFFFF"/>
            </a:solidFill>
            <a:latin typeface="Calibri"/>
            <a:ea typeface="+mn-ea"/>
            <a:cs typeface="+mn-cs"/>
          </a:endParaRPr>
        </a:p>
      </dgm:t>
    </dgm:pt>
    <dgm:pt modelId="{21E12E44-B139-40D6-B803-1BF96B4AEA03}">
      <dgm:prSet phldrT="[Text]" custT="1"/>
      <dgm:spPr>
        <a:xfrm>
          <a:off x="2022574" y="682049"/>
          <a:ext cx="1441251" cy="864750"/>
        </a:xfrm>
        <a:solidFill>
          <a:srgbClr val="4F81BD">
            <a:shade val="80000"/>
            <a:hueOff val="153123"/>
            <a:satOff val="-2196"/>
            <a:lumOff val="12807"/>
            <a:alphaOff val="0"/>
          </a:srgbClr>
        </a:solidFill>
        <a:ln w="25400" cap="flat" cmpd="sng" algn="ctr">
          <a:solidFill>
            <a:sysClr val="window" lastClr="FFFFFF">
              <a:hueOff val="0"/>
              <a:satOff val="0"/>
              <a:lumOff val="0"/>
              <a:alphaOff val="0"/>
            </a:sysClr>
          </a:solidFill>
          <a:prstDash val="solid"/>
        </a:ln>
        <a:effectLst/>
      </dgm:spPr>
      <dgm:t>
        <a:bodyPr/>
        <a:lstStyle/>
        <a:p>
          <a:r>
            <a:rPr lang="en-US" sz="1200" b="1">
              <a:solidFill>
                <a:sysClr val="window" lastClr="FFFFFF"/>
              </a:solidFill>
              <a:latin typeface="Times New Roman" panose="02020603050405020304" pitchFamily="18" charset="0"/>
              <a:ea typeface="+mn-ea"/>
              <a:cs typeface="Times New Roman" panose="02020603050405020304" pitchFamily="18" charset="0"/>
            </a:rPr>
            <a:t>Transformational</a:t>
          </a:r>
        </a:p>
      </dgm:t>
    </dgm:pt>
    <dgm:pt modelId="{53A351D0-06EE-46EA-AC07-B6245096F658}" type="parTrans" cxnId="{BC2EF895-D00F-4CEC-8E9A-BA6F28167173}">
      <dgm:prSet/>
      <dgm:spPr/>
      <dgm:t>
        <a:bodyPr/>
        <a:lstStyle/>
        <a:p>
          <a:endParaRPr lang="en-US"/>
        </a:p>
      </dgm:t>
    </dgm:pt>
    <dgm:pt modelId="{DBE7D56B-8552-4F82-A076-5AFCBE342EFC}" type="sibTrans" cxnId="{BC2EF895-D00F-4CEC-8E9A-BA6F28167173}">
      <dgm:prSet/>
      <dgm:spPr>
        <a:xfrm>
          <a:off x="3607950" y="935709"/>
          <a:ext cx="305545" cy="357430"/>
        </a:xfrm>
        <a:solidFill>
          <a:srgbClr val="4F81BD">
            <a:shade val="90000"/>
            <a:hueOff val="306300"/>
            <a:satOff val="-4255"/>
            <a:lumOff val="22954"/>
            <a:alphaOff val="0"/>
          </a:srgbClr>
        </a:solidFill>
        <a:ln>
          <a:noFill/>
        </a:ln>
        <a:effectLst/>
      </dgm:spPr>
      <dgm:t>
        <a:bodyPr/>
        <a:lstStyle/>
        <a:p>
          <a:endParaRPr lang="en-US">
            <a:solidFill>
              <a:sysClr val="window" lastClr="FFFFFF"/>
            </a:solidFill>
            <a:latin typeface="Calibri"/>
            <a:ea typeface="+mn-ea"/>
            <a:cs typeface="+mn-cs"/>
          </a:endParaRPr>
        </a:p>
      </dgm:t>
    </dgm:pt>
    <dgm:pt modelId="{CE908854-8496-4623-935D-727007FDFCD1}">
      <dgm:prSet phldrT="[Text]" custT="1"/>
      <dgm:spPr>
        <a:xfrm>
          <a:off x="4040326" y="682049"/>
          <a:ext cx="1441251" cy="864750"/>
        </a:xfrm>
        <a:solidFill>
          <a:srgbClr val="1F497D">
            <a:lumMod val="60000"/>
            <a:lumOff val="40000"/>
          </a:srgbClr>
        </a:solidFill>
        <a:ln w="25400" cap="flat" cmpd="sng" algn="ctr">
          <a:solidFill>
            <a:sysClr val="window" lastClr="FFFFFF">
              <a:hueOff val="0"/>
              <a:satOff val="0"/>
              <a:lumOff val="0"/>
              <a:alphaOff val="0"/>
            </a:sysClr>
          </a:solidFill>
          <a:prstDash val="solid"/>
        </a:ln>
        <a:effectLst/>
      </dgm:spPr>
      <dgm:t>
        <a:bodyPr/>
        <a:lstStyle/>
        <a:p>
          <a:r>
            <a:rPr lang="en-US" sz="1200" b="1">
              <a:solidFill>
                <a:sysClr val="window" lastClr="FFFFFF"/>
              </a:solidFill>
              <a:latin typeface="Times New Roman" panose="02020603050405020304" pitchFamily="18" charset="0"/>
              <a:ea typeface="+mn-ea"/>
              <a:cs typeface="Times New Roman" panose="02020603050405020304" pitchFamily="18" charset="0"/>
            </a:rPr>
            <a:t>Transitional</a:t>
          </a:r>
        </a:p>
      </dgm:t>
    </dgm:pt>
    <dgm:pt modelId="{AE1912AA-BDB8-417A-BC17-6B3E6B3F9F91}" type="parTrans" cxnId="{BE4F1108-D74B-4826-A4DE-E12D305A5B58}">
      <dgm:prSet/>
      <dgm:spPr/>
      <dgm:t>
        <a:bodyPr/>
        <a:lstStyle/>
        <a:p>
          <a:endParaRPr lang="en-US"/>
        </a:p>
      </dgm:t>
    </dgm:pt>
    <dgm:pt modelId="{1B06522E-8540-4B65-8048-537AB0937D7B}" type="sibTrans" cxnId="{BE4F1108-D74B-4826-A4DE-E12D305A5B58}">
      <dgm:prSet/>
      <dgm:spPr/>
      <dgm:t>
        <a:bodyPr/>
        <a:lstStyle/>
        <a:p>
          <a:endParaRPr lang="en-US"/>
        </a:p>
      </dgm:t>
    </dgm:pt>
    <dgm:pt modelId="{C1725E78-61E9-4475-BE40-DF6340DF94F3}" type="pres">
      <dgm:prSet presAssocID="{C66C4971-B928-4C4C-8EC0-3D0D92738F5B}" presName="Name0" presStyleCnt="0">
        <dgm:presLayoutVars>
          <dgm:dir/>
          <dgm:resizeHandles val="exact"/>
        </dgm:presLayoutVars>
      </dgm:prSet>
      <dgm:spPr/>
      <dgm:t>
        <a:bodyPr/>
        <a:lstStyle/>
        <a:p>
          <a:endParaRPr lang="en-US"/>
        </a:p>
      </dgm:t>
    </dgm:pt>
    <dgm:pt modelId="{F737DD5F-FDB2-4518-83B3-AE9FFB81C394}" type="pres">
      <dgm:prSet presAssocID="{76514AB4-8CEB-488F-A7F7-AE84E74AA3D3}" presName="node" presStyleLbl="node1" presStyleIdx="0" presStyleCnt="3">
        <dgm:presLayoutVars>
          <dgm:bulletEnabled val="1"/>
        </dgm:presLayoutVars>
      </dgm:prSet>
      <dgm:spPr>
        <a:prstGeom prst="roundRect">
          <a:avLst>
            <a:gd name="adj" fmla="val 10000"/>
          </a:avLst>
        </a:prstGeom>
      </dgm:spPr>
      <dgm:t>
        <a:bodyPr/>
        <a:lstStyle/>
        <a:p>
          <a:endParaRPr lang="en-US"/>
        </a:p>
      </dgm:t>
    </dgm:pt>
    <dgm:pt modelId="{7D4402CA-0311-4F59-AB85-DC980F321191}" type="pres">
      <dgm:prSet presAssocID="{D64CC631-A31D-4EF9-A984-46C20A366B8F}" presName="sibTrans" presStyleLbl="sibTrans2D1" presStyleIdx="0" presStyleCnt="2"/>
      <dgm:spPr>
        <a:prstGeom prst="rightArrow">
          <a:avLst>
            <a:gd name="adj1" fmla="val 60000"/>
            <a:gd name="adj2" fmla="val 50000"/>
          </a:avLst>
        </a:prstGeom>
      </dgm:spPr>
      <dgm:t>
        <a:bodyPr/>
        <a:lstStyle/>
        <a:p>
          <a:endParaRPr lang="en-US"/>
        </a:p>
      </dgm:t>
    </dgm:pt>
    <dgm:pt modelId="{947BF42C-8927-4AA7-81F0-02B784686552}" type="pres">
      <dgm:prSet presAssocID="{D64CC631-A31D-4EF9-A984-46C20A366B8F}" presName="connectorText" presStyleLbl="sibTrans2D1" presStyleIdx="0" presStyleCnt="2"/>
      <dgm:spPr/>
      <dgm:t>
        <a:bodyPr/>
        <a:lstStyle/>
        <a:p>
          <a:endParaRPr lang="en-US"/>
        </a:p>
      </dgm:t>
    </dgm:pt>
    <dgm:pt modelId="{71D9ED77-F1A1-4934-90A1-50682E608693}" type="pres">
      <dgm:prSet presAssocID="{21E12E44-B139-40D6-B803-1BF96B4AEA03}" presName="node" presStyleLbl="node1" presStyleIdx="1" presStyleCnt="3">
        <dgm:presLayoutVars>
          <dgm:bulletEnabled val="1"/>
        </dgm:presLayoutVars>
      </dgm:prSet>
      <dgm:spPr>
        <a:prstGeom prst="roundRect">
          <a:avLst>
            <a:gd name="adj" fmla="val 10000"/>
          </a:avLst>
        </a:prstGeom>
      </dgm:spPr>
      <dgm:t>
        <a:bodyPr/>
        <a:lstStyle/>
        <a:p>
          <a:endParaRPr lang="en-US"/>
        </a:p>
      </dgm:t>
    </dgm:pt>
    <dgm:pt modelId="{545B7ADF-2DF7-4DD1-B422-92DFB8748C2A}" type="pres">
      <dgm:prSet presAssocID="{DBE7D56B-8552-4F82-A076-5AFCBE342EFC}" presName="sibTrans" presStyleLbl="sibTrans2D1" presStyleIdx="1" presStyleCnt="2"/>
      <dgm:spPr>
        <a:prstGeom prst="rightArrow">
          <a:avLst>
            <a:gd name="adj1" fmla="val 60000"/>
            <a:gd name="adj2" fmla="val 50000"/>
          </a:avLst>
        </a:prstGeom>
      </dgm:spPr>
      <dgm:t>
        <a:bodyPr/>
        <a:lstStyle/>
        <a:p>
          <a:endParaRPr lang="en-US"/>
        </a:p>
      </dgm:t>
    </dgm:pt>
    <dgm:pt modelId="{AD9E56C5-12B6-4F8C-9364-8FA92C9E5BAC}" type="pres">
      <dgm:prSet presAssocID="{DBE7D56B-8552-4F82-A076-5AFCBE342EFC}" presName="connectorText" presStyleLbl="sibTrans2D1" presStyleIdx="1" presStyleCnt="2"/>
      <dgm:spPr/>
      <dgm:t>
        <a:bodyPr/>
        <a:lstStyle/>
        <a:p>
          <a:endParaRPr lang="en-US"/>
        </a:p>
      </dgm:t>
    </dgm:pt>
    <dgm:pt modelId="{2B915BCA-97CA-47D9-BA65-8DE972AE799B}" type="pres">
      <dgm:prSet presAssocID="{CE908854-8496-4623-935D-727007FDFCD1}" presName="node" presStyleLbl="node1" presStyleIdx="2" presStyleCnt="3">
        <dgm:presLayoutVars>
          <dgm:bulletEnabled val="1"/>
        </dgm:presLayoutVars>
      </dgm:prSet>
      <dgm:spPr>
        <a:prstGeom prst="roundRect">
          <a:avLst>
            <a:gd name="adj" fmla="val 10000"/>
          </a:avLst>
        </a:prstGeom>
      </dgm:spPr>
      <dgm:t>
        <a:bodyPr/>
        <a:lstStyle/>
        <a:p>
          <a:endParaRPr lang="en-US"/>
        </a:p>
      </dgm:t>
    </dgm:pt>
  </dgm:ptLst>
  <dgm:cxnLst>
    <dgm:cxn modelId="{2E785F9A-389A-4470-9A82-6A4996962F9B}" srcId="{C66C4971-B928-4C4C-8EC0-3D0D92738F5B}" destId="{76514AB4-8CEB-488F-A7F7-AE84E74AA3D3}" srcOrd="0" destOrd="0" parTransId="{CF279905-33C2-411F-88B4-FAE2D8007CBF}" sibTransId="{D64CC631-A31D-4EF9-A984-46C20A366B8F}"/>
    <dgm:cxn modelId="{A36E669E-C946-1C42-948B-65C6AFC341B1}" type="presOf" srcId="{CE908854-8496-4623-935D-727007FDFCD1}" destId="{2B915BCA-97CA-47D9-BA65-8DE972AE799B}" srcOrd="0" destOrd="0" presId="urn:microsoft.com/office/officeart/2005/8/layout/process1"/>
    <dgm:cxn modelId="{EE477198-170F-7948-9005-2BEA82C7922B}" type="presOf" srcId="{76514AB4-8CEB-488F-A7F7-AE84E74AA3D3}" destId="{F737DD5F-FDB2-4518-83B3-AE9FFB81C394}" srcOrd="0" destOrd="0" presId="urn:microsoft.com/office/officeart/2005/8/layout/process1"/>
    <dgm:cxn modelId="{2B17B20C-AB0A-2F42-B7BE-2E5C7E6D270D}" type="presOf" srcId="{D64CC631-A31D-4EF9-A984-46C20A366B8F}" destId="{7D4402CA-0311-4F59-AB85-DC980F321191}" srcOrd="0" destOrd="0" presId="urn:microsoft.com/office/officeart/2005/8/layout/process1"/>
    <dgm:cxn modelId="{FD0D98FF-47ED-2D4A-B796-141755341656}" type="presOf" srcId="{C66C4971-B928-4C4C-8EC0-3D0D92738F5B}" destId="{C1725E78-61E9-4475-BE40-DF6340DF94F3}" srcOrd="0" destOrd="0" presId="urn:microsoft.com/office/officeart/2005/8/layout/process1"/>
    <dgm:cxn modelId="{5796F113-39B8-174C-B8CA-D13F54D49BED}" type="presOf" srcId="{DBE7D56B-8552-4F82-A076-5AFCBE342EFC}" destId="{AD9E56C5-12B6-4F8C-9364-8FA92C9E5BAC}" srcOrd="1" destOrd="0" presId="urn:microsoft.com/office/officeart/2005/8/layout/process1"/>
    <dgm:cxn modelId="{BE4F1108-D74B-4826-A4DE-E12D305A5B58}" srcId="{C66C4971-B928-4C4C-8EC0-3D0D92738F5B}" destId="{CE908854-8496-4623-935D-727007FDFCD1}" srcOrd="2" destOrd="0" parTransId="{AE1912AA-BDB8-417A-BC17-6B3E6B3F9F91}" sibTransId="{1B06522E-8540-4B65-8048-537AB0937D7B}"/>
    <dgm:cxn modelId="{99D5E6B2-5F93-6E4E-A8A8-68E94AE01A71}" type="presOf" srcId="{DBE7D56B-8552-4F82-A076-5AFCBE342EFC}" destId="{545B7ADF-2DF7-4DD1-B422-92DFB8748C2A}" srcOrd="0" destOrd="0" presId="urn:microsoft.com/office/officeart/2005/8/layout/process1"/>
    <dgm:cxn modelId="{BC2EF895-D00F-4CEC-8E9A-BA6F28167173}" srcId="{C66C4971-B928-4C4C-8EC0-3D0D92738F5B}" destId="{21E12E44-B139-40D6-B803-1BF96B4AEA03}" srcOrd="1" destOrd="0" parTransId="{53A351D0-06EE-46EA-AC07-B6245096F658}" sibTransId="{DBE7D56B-8552-4F82-A076-5AFCBE342EFC}"/>
    <dgm:cxn modelId="{7DB46ADE-BD9D-894B-B912-636BB71D4003}" type="presOf" srcId="{21E12E44-B139-40D6-B803-1BF96B4AEA03}" destId="{71D9ED77-F1A1-4934-90A1-50682E608693}" srcOrd="0" destOrd="0" presId="urn:microsoft.com/office/officeart/2005/8/layout/process1"/>
    <dgm:cxn modelId="{C0489164-51B0-0944-80C6-302992D8A573}" type="presOf" srcId="{D64CC631-A31D-4EF9-A984-46C20A366B8F}" destId="{947BF42C-8927-4AA7-81F0-02B784686552}" srcOrd="1" destOrd="0" presId="urn:microsoft.com/office/officeart/2005/8/layout/process1"/>
    <dgm:cxn modelId="{FD0AB502-1200-EC45-9F7E-9CF5196B68EE}" type="presParOf" srcId="{C1725E78-61E9-4475-BE40-DF6340DF94F3}" destId="{F737DD5F-FDB2-4518-83B3-AE9FFB81C394}" srcOrd="0" destOrd="0" presId="urn:microsoft.com/office/officeart/2005/8/layout/process1"/>
    <dgm:cxn modelId="{9B5A938A-EF4B-384B-B87F-FBA784073165}" type="presParOf" srcId="{C1725E78-61E9-4475-BE40-DF6340DF94F3}" destId="{7D4402CA-0311-4F59-AB85-DC980F321191}" srcOrd="1" destOrd="0" presId="urn:microsoft.com/office/officeart/2005/8/layout/process1"/>
    <dgm:cxn modelId="{11363C69-718D-D443-886E-F7B993B26858}" type="presParOf" srcId="{7D4402CA-0311-4F59-AB85-DC980F321191}" destId="{947BF42C-8927-4AA7-81F0-02B784686552}" srcOrd="0" destOrd="0" presId="urn:microsoft.com/office/officeart/2005/8/layout/process1"/>
    <dgm:cxn modelId="{DF3D4D33-7BBA-A44C-9E8E-8096AF1EDE59}" type="presParOf" srcId="{C1725E78-61E9-4475-BE40-DF6340DF94F3}" destId="{71D9ED77-F1A1-4934-90A1-50682E608693}" srcOrd="2" destOrd="0" presId="urn:microsoft.com/office/officeart/2005/8/layout/process1"/>
    <dgm:cxn modelId="{21DB8498-7405-7741-8A3C-4E1235ABCC6C}" type="presParOf" srcId="{C1725E78-61E9-4475-BE40-DF6340DF94F3}" destId="{545B7ADF-2DF7-4DD1-B422-92DFB8748C2A}" srcOrd="3" destOrd="0" presId="urn:microsoft.com/office/officeart/2005/8/layout/process1"/>
    <dgm:cxn modelId="{DF0E9677-3234-9344-BB4A-DB37629422A6}" type="presParOf" srcId="{545B7ADF-2DF7-4DD1-B422-92DFB8748C2A}" destId="{AD9E56C5-12B6-4F8C-9364-8FA92C9E5BAC}" srcOrd="0" destOrd="0" presId="urn:microsoft.com/office/officeart/2005/8/layout/process1"/>
    <dgm:cxn modelId="{78ACF2B0-D915-8340-B5EF-8FE7532CF826}" type="presParOf" srcId="{C1725E78-61E9-4475-BE40-DF6340DF94F3}" destId="{2B915BCA-97CA-47D9-BA65-8DE972AE799B}" srcOrd="4" destOrd="0" presId="urn:microsoft.com/office/officeart/2005/8/layout/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37DD5F-FDB2-4518-83B3-AE9FFB81C394}">
      <dsp:nvSpPr>
        <dsp:cNvPr id="0" name=""/>
        <dsp:cNvSpPr/>
      </dsp:nvSpPr>
      <dsp:spPr>
        <a:xfrm>
          <a:off x="4822" y="462974"/>
          <a:ext cx="1441251" cy="864750"/>
        </a:xfrm>
        <a:prstGeom prst="roundRect">
          <a:avLst>
            <a:gd name="adj" fmla="val 10000"/>
          </a:avLst>
        </a:prstGeom>
        <a:solidFill>
          <a:srgbClr val="4F81BD">
            <a:shade val="80000"/>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 lastClr="FFFFFF"/>
              </a:solidFill>
              <a:latin typeface="Times New Roman" panose="02020603050405020304" pitchFamily="18" charset="0"/>
              <a:ea typeface="+mn-ea"/>
              <a:cs typeface="Times New Roman" panose="02020603050405020304" pitchFamily="18" charset="0"/>
            </a:rPr>
            <a:t>Transactional</a:t>
          </a:r>
        </a:p>
      </dsp:txBody>
      <dsp:txXfrm>
        <a:off x="30150" y="488302"/>
        <a:ext cx="1390595" cy="814094"/>
      </dsp:txXfrm>
    </dsp:sp>
    <dsp:sp modelId="{7D4402CA-0311-4F59-AB85-DC980F321191}">
      <dsp:nvSpPr>
        <dsp:cNvPr id="0" name=""/>
        <dsp:cNvSpPr/>
      </dsp:nvSpPr>
      <dsp:spPr>
        <a:xfrm>
          <a:off x="1590198" y="716634"/>
          <a:ext cx="305545" cy="357430"/>
        </a:xfrm>
        <a:prstGeom prst="rightArrow">
          <a:avLst>
            <a:gd name="adj1" fmla="val 60000"/>
            <a:gd name="adj2" fmla="val 50000"/>
          </a:avLst>
        </a:prstGeom>
        <a:solidFill>
          <a:srgbClr val="4F81BD">
            <a:shade val="9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solidFill>
              <a:sysClr val="window" lastClr="FFFFFF"/>
            </a:solidFill>
            <a:latin typeface="Calibri"/>
            <a:ea typeface="+mn-ea"/>
            <a:cs typeface="+mn-cs"/>
          </a:endParaRPr>
        </a:p>
      </dsp:txBody>
      <dsp:txXfrm>
        <a:off x="1590198" y="788120"/>
        <a:ext cx="213882" cy="214458"/>
      </dsp:txXfrm>
    </dsp:sp>
    <dsp:sp modelId="{71D9ED77-F1A1-4934-90A1-50682E608693}">
      <dsp:nvSpPr>
        <dsp:cNvPr id="0" name=""/>
        <dsp:cNvSpPr/>
      </dsp:nvSpPr>
      <dsp:spPr>
        <a:xfrm>
          <a:off x="2022574" y="462974"/>
          <a:ext cx="1441251" cy="864750"/>
        </a:xfrm>
        <a:prstGeom prst="roundRect">
          <a:avLst>
            <a:gd name="adj" fmla="val 10000"/>
          </a:avLst>
        </a:prstGeom>
        <a:solidFill>
          <a:srgbClr val="4F81BD">
            <a:shade val="80000"/>
            <a:hueOff val="153123"/>
            <a:satOff val="-2196"/>
            <a:lumOff val="12807"/>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 lastClr="FFFFFF"/>
              </a:solidFill>
              <a:latin typeface="Times New Roman" panose="02020603050405020304" pitchFamily="18" charset="0"/>
              <a:ea typeface="+mn-ea"/>
              <a:cs typeface="Times New Roman" panose="02020603050405020304" pitchFamily="18" charset="0"/>
            </a:rPr>
            <a:t>Transformational</a:t>
          </a:r>
        </a:p>
      </dsp:txBody>
      <dsp:txXfrm>
        <a:off x="2047902" y="488302"/>
        <a:ext cx="1390595" cy="814094"/>
      </dsp:txXfrm>
    </dsp:sp>
    <dsp:sp modelId="{545B7ADF-2DF7-4DD1-B422-92DFB8748C2A}">
      <dsp:nvSpPr>
        <dsp:cNvPr id="0" name=""/>
        <dsp:cNvSpPr/>
      </dsp:nvSpPr>
      <dsp:spPr>
        <a:xfrm>
          <a:off x="3607950" y="716634"/>
          <a:ext cx="305545" cy="357430"/>
        </a:xfrm>
        <a:prstGeom prst="rightArrow">
          <a:avLst>
            <a:gd name="adj1" fmla="val 60000"/>
            <a:gd name="adj2" fmla="val 50000"/>
          </a:avLst>
        </a:prstGeom>
        <a:solidFill>
          <a:srgbClr val="4F81BD">
            <a:shade val="90000"/>
            <a:hueOff val="306300"/>
            <a:satOff val="-4255"/>
            <a:lumOff val="22954"/>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66750">
            <a:lnSpc>
              <a:spcPct val="90000"/>
            </a:lnSpc>
            <a:spcBef>
              <a:spcPct val="0"/>
            </a:spcBef>
            <a:spcAft>
              <a:spcPct val="35000"/>
            </a:spcAft>
          </a:pPr>
          <a:endParaRPr lang="en-US" sz="1500" kern="1200">
            <a:solidFill>
              <a:sysClr val="window" lastClr="FFFFFF"/>
            </a:solidFill>
            <a:latin typeface="Calibri"/>
            <a:ea typeface="+mn-ea"/>
            <a:cs typeface="+mn-cs"/>
          </a:endParaRPr>
        </a:p>
      </dsp:txBody>
      <dsp:txXfrm>
        <a:off x="3607950" y="788120"/>
        <a:ext cx="213882" cy="214458"/>
      </dsp:txXfrm>
    </dsp:sp>
    <dsp:sp modelId="{2B915BCA-97CA-47D9-BA65-8DE972AE799B}">
      <dsp:nvSpPr>
        <dsp:cNvPr id="0" name=""/>
        <dsp:cNvSpPr/>
      </dsp:nvSpPr>
      <dsp:spPr>
        <a:xfrm>
          <a:off x="4040326" y="462974"/>
          <a:ext cx="1441251" cy="864750"/>
        </a:xfrm>
        <a:prstGeom prst="roundRect">
          <a:avLst>
            <a:gd name="adj" fmla="val 10000"/>
          </a:avLst>
        </a:prstGeom>
        <a:solidFill>
          <a:srgbClr val="1F497D">
            <a:lumMod val="60000"/>
            <a:lumOff val="4000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b="1" kern="1200">
              <a:solidFill>
                <a:sysClr val="window" lastClr="FFFFFF"/>
              </a:solidFill>
              <a:latin typeface="Times New Roman" panose="02020603050405020304" pitchFamily="18" charset="0"/>
              <a:ea typeface="+mn-ea"/>
              <a:cs typeface="Times New Roman" panose="02020603050405020304" pitchFamily="18" charset="0"/>
            </a:rPr>
            <a:t>Transitional</a:t>
          </a:r>
        </a:p>
      </dsp:txBody>
      <dsp:txXfrm>
        <a:off x="4065654" y="488302"/>
        <a:ext cx="1390595" cy="8140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2485</Words>
  <Characters>13371</Characters>
  <Application>Microsoft Macintosh Word</Application>
  <DocSecurity>0</DocSecurity>
  <Lines>247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8</cp:revision>
  <dcterms:created xsi:type="dcterms:W3CDTF">2021-10-16T19:10:00Z</dcterms:created>
  <dcterms:modified xsi:type="dcterms:W3CDTF">2021-10-18T08:42:00Z</dcterms:modified>
</cp:coreProperties>
</file>