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E05D65" w14:textId="77777777" w:rsidR="00F12767" w:rsidRPr="00F12767" w:rsidRDefault="00F12767" w:rsidP="00F12767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  <w:r w:rsidRPr="00F12767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  <w:t>What Professionals Could Have Done Differently</w:t>
      </w:r>
    </w:p>
    <w:p w14:paraId="3B6BF1E3" w14:textId="77777777" w:rsidR="00F12767" w:rsidRPr="00F12767" w:rsidRDefault="00F12767" w:rsidP="00F12767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</w:pPr>
      <w:r w:rsidRPr="00F12767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  <w:t>1. Health Professionals</w:t>
      </w:r>
    </w:p>
    <w:p w14:paraId="372B7798" w14:textId="77777777" w:rsidR="00F12767" w:rsidRPr="00F12767" w:rsidRDefault="00F12767" w:rsidP="00F1276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1276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Health professionals missed opportunities to identify safeguarding concerns. They could have:</w:t>
      </w:r>
    </w:p>
    <w:p w14:paraId="1997CBCD" w14:textId="77777777" w:rsidR="00F12767" w:rsidRPr="00F12767" w:rsidRDefault="00F12767" w:rsidP="00F12767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1276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Escalated injuries and weight loss</w:t>
      </w:r>
      <w:r w:rsidRPr="00F1276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 Repeated injuries, rapid weight loss, and inconsistent explanations should have triggered immediate safeguarding referrals.</w:t>
      </w:r>
    </w:p>
    <w:p w14:paraId="6F72392F" w14:textId="77777777" w:rsidR="00F12767" w:rsidRPr="00F12767" w:rsidRDefault="00F12767" w:rsidP="00F12767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1276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Shown greater professional curiosity</w:t>
      </w:r>
      <w:r w:rsidRPr="00F1276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 They should have questioned caregivers’ explanations more thoroughly and sought corroboration.</w:t>
      </w:r>
    </w:p>
    <w:p w14:paraId="0C08A561" w14:textId="77777777" w:rsidR="00F12767" w:rsidRPr="00F12767" w:rsidRDefault="00F12767" w:rsidP="00F12767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1276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Checked historical records</w:t>
      </w:r>
      <w:r w:rsidRPr="00F1276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 Patterns of repeated attendance or missed appointments could have indicated abuse.</w:t>
      </w:r>
    </w:p>
    <w:p w14:paraId="42BD43E5" w14:textId="77777777" w:rsidR="00F12767" w:rsidRPr="00F12767" w:rsidRDefault="00F12767" w:rsidP="00F12767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1276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Initiated multi-agency meetings</w:t>
      </w:r>
      <w:r w:rsidRPr="00F1276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 A paediatrician or GP could have called a strategy discussion when concerns persisted.</w:t>
      </w:r>
    </w:p>
    <w:p w14:paraId="71E270DE" w14:textId="77777777" w:rsidR="00F12767" w:rsidRPr="00F12767" w:rsidRDefault="00F12767" w:rsidP="00F12767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1276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Followed “think child” principles</w:t>
      </w:r>
      <w:r w:rsidRPr="00F1276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 Focusing on the child’s lived experience rather than accepting parental accounts at face value.</w:t>
      </w:r>
    </w:p>
    <w:p w14:paraId="1710FC32" w14:textId="77777777" w:rsidR="00F12767" w:rsidRPr="00F12767" w:rsidRDefault="00F12767" w:rsidP="00F12767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1276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Ensured safeguarding documentation</w:t>
      </w:r>
      <w:r w:rsidRPr="00F1276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 Accurate record-keeping could have highlighted an escalating pattern.</w:t>
      </w:r>
    </w:p>
    <w:p w14:paraId="01A7D446" w14:textId="77777777" w:rsidR="00F12767" w:rsidRPr="00F12767" w:rsidRDefault="00F12767" w:rsidP="00F12767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1276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pict w14:anchorId="5C033B47">
          <v:rect id="_x0000_i1025" style="width:0;height:1.5pt" o:hralign="center" o:hrstd="t" o:hr="t" fillcolor="#a0a0a0" stroked="f"/>
        </w:pict>
      </w:r>
    </w:p>
    <w:p w14:paraId="1E872732" w14:textId="77777777" w:rsidR="00F12767" w:rsidRPr="00F12767" w:rsidRDefault="00F12767" w:rsidP="00F12767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</w:pPr>
      <w:r w:rsidRPr="00F12767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  <w:t>2. Social Care Professionals</w:t>
      </w:r>
    </w:p>
    <w:p w14:paraId="41F7719F" w14:textId="77777777" w:rsidR="00F12767" w:rsidRPr="00F12767" w:rsidRDefault="00F12767" w:rsidP="00F1276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1276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Social care had multiple chances to intervene but failed to coordinate or act with urgency. They could have:</w:t>
      </w:r>
    </w:p>
    <w:p w14:paraId="4CCEB88A" w14:textId="77777777" w:rsidR="00F12767" w:rsidRPr="00F12767" w:rsidRDefault="00F12767" w:rsidP="00F12767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1276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Acted promptly on referrals</w:t>
      </w:r>
      <w:r w:rsidRPr="00F1276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 Delays diminished the opportunity to assess risk adequately.</w:t>
      </w:r>
    </w:p>
    <w:p w14:paraId="318A6B23" w14:textId="77777777" w:rsidR="00F12767" w:rsidRPr="00F12767" w:rsidRDefault="00F12767" w:rsidP="00F12767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1276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Conducted more thorough assessments</w:t>
      </w:r>
      <w:r w:rsidRPr="00F1276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 Home visits should have been unannounced where necessary, with closer inspection of the child’s physical and emotional state.</w:t>
      </w:r>
    </w:p>
    <w:p w14:paraId="263CF1DC" w14:textId="77777777" w:rsidR="00F12767" w:rsidRPr="00F12767" w:rsidRDefault="00F12767" w:rsidP="00F12767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1276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Challenged parental explanations</w:t>
      </w:r>
      <w:r w:rsidRPr="00F1276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 Discrepancies should have triggered more assertive follow-up, not acceptance.</w:t>
      </w:r>
    </w:p>
    <w:p w14:paraId="0B175E17" w14:textId="77777777" w:rsidR="00F12767" w:rsidRPr="00F12767" w:rsidRDefault="00F12767" w:rsidP="00F12767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1276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Held regular multi-agency case conferences</w:t>
      </w:r>
      <w:r w:rsidRPr="00F1276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 Bringing agencies together would have built a clearer risk picture.</w:t>
      </w:r>
    </w:p>
    <w:p w14:paraId="1A8151AE" w14:textId="77777777" w:rsidR="00F12767" w:rsidRPr="00F12767" w:rsidRDefault="00F12767" w:rsidP="00F12767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1276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Maintained clearer communication</w:t>
      </w:r>
      <w:r w:rsidRPr="00F1276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 Passing responsibility between professionals led to fragmented decision-making.</w:t>
      </w:r>
    </w:p>
    <w:p w14:paraId="6E2731F6" w14:textId="77777777" w:rsidR="00F12767" w:rsidRPr="00F12767" w:rsidRDefault="00F12767" w:rsidP="00F12767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1276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Escalated concerns when progress was unclear</w:t>
      </w:r>
      <w:r w:rsidRPr="00F1276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 When a family is evasive or non-engaging, risk should be considered higher, not lower.</w:t>
      </w:r>
    </w:p>
    <w:p w14:paraId="70B49B95" w14:textId="77777777" w:rsidR="00F12767" w:rsidRPr="00F12767" w:rsidRDefault="00F12767" w:rsidP="00F12767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1276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pict w14:anchorId="03060896">
          <v:rect id="_x0000_i1026" style="width:0;height:1.5pt" o:hralign="center" o:hrstd="t" o:hr="t" fillcolor="#a0a0a0" stroked="f"/>
        </w:pict>
      </w:r>
    </w:p>
    <w:p w14:paraId="5BC18EA6" w14:textId="77777777" w:rsidR="00F12767" w:rsidRPr="00F12767" w:rsidRDefault="00F12767" w:rsidP="00F12767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</w:pPr>
      <w:r w:rsidRPr="00F12767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  <w:t>3. Education Professionals</w:t>
      </w:r>
    </w:p>
    <w:p w14:paraId="2B8A6952" w14:textId="77777777" w:rsidR="00F12767" w:rsidRPr="00F12767" w:rsidRDefault="00F12767" w:rsidP="00F1276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1276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t>School staff saw Daniel daily and observed many warning signs. They could have:</w:t>
      </w:r>
    </w:p>
    <w:p w14:paraId="77F741A8" w14:textId="77777777" w:rsidR="00F12767" w:rsidRPr="00F12767" w:rsidRDefault="00F12767" w:rsidP="00F12767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1276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Recorded all observations consistently</w:t>
      </w:r>
      <w:r w:rsidRPr="00F1276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 A clear written pattern of hunger, bruising, and behavioural changes would have strengthened referrals.</w:t>
      </w:r>
    </w:p>
    <w:p w14:paraId="639EC630" w14:textId="77777777" w:rsidR="00F12767" w:rsidRPr="00F12767" w:rsidRDefault="00F12767" w:rsidP="00F12767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1276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Escalated safeguarding concerns sooner</w:t>
      </w:r>
      <w:r w:rsidRPr="00F1276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 Persistent hunger, stealing food, and visible injuries required immediate follow-up.</w:t>
      </w:r>
    </w:p>
    <w:p w14:paraId="5D25F887" w14:textId="77777777" w:rsidR="00F12767" w:rsidRPr="00F12767" w:rsidRDefault="00F12767" w:rsidP="00F12767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1276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Challenged caregivers and asked safeguarding-appropriate questions</w:t>
      </w:r>
      <w:r w:rsidRPr="00F1276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 Staff should have been professionally curious, not reassured by weak explanations.</w:t>
      </w:r>
    </w:p>
    <w:p w14:paraId="14BC2BC3" w14:textId="77777777" w:rsidR="00F12767" w:rsidRPr="00F12767" w:rsidRDefault="00F12767" w:rsidP="00F12767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1276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Followed up when no action appeared to be taken</w:t>
      </w:r>
      <w:r w:rsidRPr="00F1276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 If social care did not respond sufficiently, the school should have escalated further.</w:t>
      </w:r>
    </w:p>
    <w:p w14:paraId="11E78DB7" w14:textId="77777777" w:rsidR="00F12767" w:rsidRPr="00F12767" w:rsidRDefault="00F12767" w:rsidP="00F12767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1276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Ensured the Designated Safeguarding Lead (DSL) coordinated actions</w:t>
      </w:r>
      <w:r w:rsidRPr="00F1276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 This includes collating reports, liaising with agencies, and ensuring concerns aren’t siloed.</w:t>
      </w:r>
    </w:p>
    <w:p w14:paraId="7B346FF5" w14:textId="77777777" w:rsidR="00F12767" w:rsidRPr="00F12767" w:rsidRDefault="00F12767" w:rsidP="00F12767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1276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Considered a child’s lived experience</w:t>
      </w:r>
      <w:r w:rsidRPr="00F1276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 Behavioural changes and physical signs should have been interpreted through a safeguarding lens.</w:t>
      </w:r>
    </w:p>
    <w:p w14:paraId="25B7F8FA" w14:textId="77777777" w:rsidR="00F12767" w:rsidRPr="00F12767" w:rsidRDefault="00F12767" w:rsidP="00F12767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1276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pict w14:anchorId="1984044A">
          <v:rect id="_x0000_i1027" style="width:0;height:1.5pt" o:hralign="center" o:hrstd="t" o:hr="t" fillcolor="#a0a0a0" stroked="f"/>
        </w:pict>
      </w:r>
    </w:p>
    <w:p w14:paraId="1DD742BF" w14:textId="77777777" w:rsidR="00F12767" w:rsidRPr="00F12767" w:rsidRDefault="00F12767" w:rsidP="00F12767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</w:pPr>
      <w:r w:rsidRPr="00F12767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  <w:t>4. What All Agencies Should Have Done Together</w:t>
      </w:r>
    </w:p>
    <w:p w14:paraId="66286E81" w14:textId="77777777" w:rsidR="00F12767" w:rsidRPr="00F12767" w:rsidRDefault="00F12767" w:rsidP="00F1276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1276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Multi-agency failure was a key issue. Collectively, they could have:</w:t>
      </w:r>
    </w:p>
    <w:p w14:paraId="382431E4" w14:textId="77777777" w:rsidR="00F12767" w:rsidRPr="00F12767" w:rsidRDefault="00F12767" w:rsidP="00F12767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1276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Shared information systematically</w:t>
      </w:r>
      <w:r w:rsidRPr="00F1276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 No single agency had the full picture, but combined concerns would have clearly indicated risk.</w:t>
      </w:r>
    </w:p>
    <w:p w14:paraId="5F9AC84D" w14:textId="77777777" w:rsidR="00F12767" w:rsidRPr="00F12767" w:rsidRDefault="00F12767" w:rsidP="00F12767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1276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Held joint safeguarding meetings</w:t>
      </w:r>
      <w:r w:rsidRPr="00F1276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 Case conferences, strategy discussions, or immediate cross-agency communication should have taken place.</w:t>
      </w:r>
    </w:p>
    <w:p w14:paraId="50030EF5" w14:textId="77777777" w:rsidR="00F12767" w:rsidRPr="00F12767" w:rsidRDefault="00F12767" w:rsidP="00F12767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1276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Used escalation procedures</w:t>
      </w:r>
      <w:r w:rsidRPr="00F1276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 When concerns are serious, persistent, or unexplained, agencies must escalate until the child is safe.</w:t>
      </w:r>
    </w:p>
    <w:p w14:paraId="2061B6CE" w14:textId="77777777" w:rsidR="00F12767" w:rsidRPr="00F12767" w:rsidRDefault="00F12767" w:rsidP="00F12767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1276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Worked with a holistic view of the child</w:t>
      </w:r>
      <w:r w:rsidRPr="00F1276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 Considering the cumulative evidence rather than isolated incidents.</w:t>
      </w:r>
    </w:p>
    <w:p w14:paraId="5FAEC298" w14:textId="77777777" w:rsidR="00F12767" w:rsidRPr="00F12767" w:rsidRDefault="00F12767" w:rsidP="00F12767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1276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Followed statutory safeguarding guidance (e.g., Working Together to Safeguard Children)</w:t>
      </w:r>
      <w:r w:rsidRPr="00F1276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 The guidance emphasises information-sharing, curiosity, and multi-agency cooperation.</w:t>
      </w:r>
    </w:p>
    <w:p w14:paraId="4E6C1F2E" w14:textId="77777777" w:rsidR="00F12767" w:rsidRPr="00F12767" w:rsidRDefault="00F12767" w:rsidP="00F12767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1276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pict w14:anchorId="78A53B49">
          <v:rect id="_x0000_i1028" style="width:0;height:1.5pt" o:hralign="center" o:hrstd="t" o:hr="t" fillcolor="#a0a0a0" stroked="f"/>
        </w:pict>
      </w:r>
    </w:p>
    <w:p w14:paraId="24F4F903" w14:textId="77777777" w:rsidR="00F12767" w:rsidRPr="00F12767" w:rsidRDefault="00F12767" w:rsidP="00F12767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</w:pPr>
      <w:r w:rsidRPr="00F12767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  <w:t>Summary</w:t>
      </w:r>
    </w:p>
    <w:p w14:paraId="65019EA3" w14:textId="77777777" w:rsidR="00F12767" w:rsidRPr="00F12767" w:rsidRDefault="00F12767" w:rsidP="00F1276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1276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Professionals across health, education, and social care could have improved their response by:</w:t>
      </w:r>
    </w:p>
    <w:p w14:paraId="0A2FB60D" w14:textId="77777777" w:rsidR="00F12767" w:rsidRPr="00F12767" w:rsidRDefault="00F12767" w:rsidP="00F12767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1276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Recognising patterns of concern</w:t>
      </w:r>
    </w:p>
    <w:p w14:paraId="6367B43D" w14:textId="77777777" w:rsidR="00F12767" w:rsidRPr="00F12767" w:rsidRDefault="00F12767" w:rsidP="00F12767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1276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Escalating early and consistently</w:t>
      </w:r>
    </w:p>
    <w:p w14:paraId="1C7A65C0" w14:textId="77777777" w:rsidR="00F12767" w:rsidRPr="00F12767" w:rsidRDefault="00F12767" w:rsidP="00F12767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1276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Sharing information effectively</w:t>
      </w:r>
    </w:p>
    <w:p w14:paraId="1E9E2535" w14:textId="77777777" w:rsidR="00F12767" w:rsidRPr="00F12767" w:rsidRDefault="00F12767" w:rsidP="00F12767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1276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Challenging caregiver explanations</w:t>
      </w:r>
    </w:p>
    <w:p w14:paraId="34062D68" w14:textId="77777777" w:rsidR="00F12767" w:rsidRPr="00F12767" w:rsidRDefault="00F12767" w:rsidP="00F12767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1276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Using professional curiosity</w:t>
      </w:r>
    </w:p>
    <w:p w14:paraId="6C08CFBC" w14:textId="77777777" w:rsidR="00F12767" w:rsidRPr="00F12767" w:rsidRDefault="00F12767" w:rsidP="00F12767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1276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Holding multi-agency meetings to coordinate safeguarding action</w:t>
      </w:r>
    </w:p>
    <w:p w14:paraId="29166126" w14:textId="77777777" w:rsidR="00F12767" w:rsidRPr="00F12767" w:rsidRDefault="00F12767" w:rsidP="00F1276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1276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Ultimately, earlier and coordinated action could have created a stronger, clearer safeguarding response and prevented the system-wide failure that occurred.</w:t>
      </w:r>
    </w:p>
    <w:p w14:paraId="4DD6F7B1" w14:textId="77777777" w:rsidR="00E7000E" w:rsidRDefault="00E7000E"/>
    <w:sectPr w:rsidR="00E7000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61606F0"/>
    <w:multiLevelType w:val="multilevel"/>
    <w:tmpl w:val="AA4A84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F033A2E"/>
    <w:multiLevelType w:val="multilevel"/>
    <w:tmpl w:val="9288DF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9E12AAB"/>
    <w:multiLevelType w:val="multilevel"/>
    <w:tmpl w:val="57A01B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65D2066"/>
    <w:multiLevelType w:val="multilevel"/>
    <w:tmpl w:val="3252D8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E0977E5"/>
    <w:multiLevelType w:val="multilevel"/>
    <w:tmpl w:val="99D064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496186799">
    <w:abstractNumId w:val="4"/>
  </w:num>
  <w:num w:numId="2" w16cid:durableId="2058972570">
    <w:abstractNumId w:val="0"/>
  </w:num>
  <w:num w:numId="3" w16cid:durableId="1488984017">
    <w:abstractNumId w:val="3"/>
  </w:num>
  <w:num w:numId="4" w16cid:durableId="1835339662">
    <w:abstractNumId w:val="1"/>
  </w:num>
  <w:num w:numId="5" w16cid:durableId="51500399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2767"/>
    <w:rsid w:val="003465EA"/>
    <w:rsid w:val="00E7000E"/>
    <w:rsid w:val="00F127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328971"/>
  <w15:chartTrackingRefBased/>
  <w15:docId w15:val="{F22E4675-2F97-478E-B1CA-7443128B4C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1276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1276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12767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1276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12767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1276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1276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1276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1276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12767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1276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12767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12767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12767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1276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1276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1276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1276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1276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1276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12767"/>
    <w:pPr>
      <w:numPr>
        <w:ilvl w:val="1"/>
      </w:numPr>
    </w:pPr>
    <w:rPr>
      <w:rFonts w:eastAsiaTheme="majorEastAsia" w:cstheme="majorBidi"/>
      <w:color w:val="000000" w:themeColor="text1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12767"/>
    <w:rPr>
      <w:rFonts w:eastAsiaTheme="majorEastAsia" w:cstheme="majorBidi"/>
      <w:color w:val="000000" w:themeColor="text1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12767"/>
    <w:pPr>
      <w:spacing w:before="160"/>
      <w:jc w:val="center"/>
    </w:pPr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12767"/>
    <w:rPr>
      <w:i/>
      <w:iCs/>
      <w:color w:val="000000" w:themeColor="text1"/>
    </w:rPr>
  </w:style>
  <w:style w:type="paragraph" w:styleId="ListParagraph">
    <w:name w:val="List Paragraph"/>
    <w:basedOn w:val="Normal"/>
    <w:uiPriority w:val="34"/>
    <w:qFormat/>
    <w:rsid w:val="00F1276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12767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12767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12767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12767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603</Words>
  <Characters>3443</Characters>
  <Application>Microsoft Office Word</Application>
  <DocSecurity>0</DocSecurity>
  <Lines>28</Lines>
  <Paragraphs>8</Paragraphs>
  <ScaleCrop>false</ScaleCrop>
  <Company/>
  <LinksUpToDate>false</LinksUpToDate>
  <CharactersWithSpaces>4038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Stephanie John</cp:lastModifiedBy>
  <cp:revision>1</cp:revision>
  <dcterms:created xsi:type="dcterms:W3CDTF">2025-11-29T19:21:00Z</dcterms:created>
  <dcterms:modified xsi:type="dcterms:W3CDTF">2025-11-29T19:22:00Z</dcterms:modified>
</cp:coreProperties>
</file>