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A481434" w14:textId="77777777" w:rsidR="0082153A" w:rsidRDefault="0082153A" w:rsidP="0082153A">
      <w:pPr>
        <w:rPr>
          <w:rFonts w:ascii="Calibri" w:eastAsia="Times New Roman" w:hAnsi="Calibri" w:cs="Calibri"/>
          <w:b/>
          <w:bCs/>
          <w:kern w:val="0"/>
          <w:lang w:eastAsia="en-GB"/>
          <w14:ligatures w14:val="none"/>
        </w:rPr>
      </w:pPr>
    </w:p>
    <w:p w14:paraId="55BB525B" w14:textId="77777777" w:rsidR="0082153A" w:rsidRDefault="0082153A" w:rsidP="0082153A">
      <w:pPr>
        <w:rPr>
          <w:rFonts w:ascii="Calibri" w:eastAsia="Times New Roman" w:hAnsi="Calibri" w:cs="Calibri"/>
          <w:b/>
          <w:bCs/>
          <w:kern w:val="0"/>
          <w:lang w:eastAsia="en-GB"/>
          <w14:ligatures w14:val="none"/>
        </w:rPr>
      </w:pPr>
    </w:p>
    <w:p w14:paraId="2F1271DA" w14:textId="77777777" w:rsidR="0082153A" w:rsidRDefault="0082153A" w:rsidP="0082153A">
      <w:pPr>
        <w:rPr>
          <w:rFonts w:ascii="Calibri" w:eastAsia="Times New Roman" w:hAnsi="Calibri" w:cs="Calibri"/>
          <w:b/>
          <w:bCs/>
          <w:kern w:val="0"/>
          <w:lang w:eastAsia="en-GB"/>
          <w14:ligatures w14:val="none"/>
        </w:rPr>
      </w:pPr>
    </w:p>
    <w:p w14:paraId="53212367" w14:textId="77777777" w:rsidR="0082153A" w:rsidRPr="003115EC" w:rsidRDefault="0082153A" w:rsidP="0082153A">
      <w:pPr>
        <w:jc w:val="center"/>
        <w:rPr>
          <w:rFonts w:ascii="Times" w:hAnsi="Times"/>
          <w:sz w:val="52"/>
          <w:szCs w:val="52"/>
        </w:rPr>
      </w:pPr>
    </w:p>
    <w:p w14:paraId="39580235" w14:textId="77777777" w:rsidR="0082153A" w:rsidRPr="003115EC" w:rsidRDefault="0082153A" w:rsidP="0082153A">
      <w:pPr>
        <w:jc w:val="center"/>
        <w:rPr>
          <w:rFonts w:ascii="Times" w:hAnsi="Times"/>
          <w:sz w:val="52"/>
          <w:szCs w:val="52"/>
        </w:rPr>
      </w:pPr>
      <w:r w:rsidRPr="003115EC">
        <w:rPr>
          <w:rFonts w:ascii="Times" w:hAnsi="Times"/>
          <w:sz w:val="52"/>
          <w:szCs w:val="52"/>
        </w:rPr>
        <w:t>University of Wales Trinity Saint David</w:t>
      </w:r>
    </w:p>
    <w:p w14:paraId="0059724A" w14:textId="77777777" w:rsidR="0082153A" w:rsidRDefault="0082153A" w:rsidP="0082153A">
      <w:pPr>
        <w:pStyle w:val="Heading1"/>
        <w:jc w:val="center"/>
        <w:rPr>
          <w:rFonts w:asciiTheme="minorHAnsi" w:hAnsiTheme="minorHAnsi" w:cstheme="minorHAnsi"/>
          <w:b/>
          <w:bCs/>
          <w:sz w:val="23"/>
          <w:szCs w:val="23"/>
        </w:rPr>
      </w:pPr>
    </w:p>
    <w:p w14:paraId="02823BDB" w14:textId="77777777" w:rsidR="0082153A" w:rsidRDefault="0082153A" w:rsidP="0082153A">
      <w:pPr>
        <w:pStyle w:val="Heading1"/>
        <w:jc w:val="center"/>
        <w:rPr>
          <w:rFonts w:asciiTheme="minorHAnsi" w:hAnsiTheme="minorHAnsi" w:cstheme="minorHAnsi"/>
          <w:b/>
          <w:bCs/>
          <w:sz w:val="23"/>
          <w:szCs w:val="23"/>
        </w:rPr>
      </w:pPr>
    </w:p>
    <w:p w14:paraId="593EF229" w14:textId="77777777" w:rsidR="0082153A" w:rsidRDefault="0082153A" w:rsidP="0082153A">
      <w:pPr>
        <w:pStyle w:val="Heading1"/>
        <w:jc w:val="center"/>
        <w:rPr>
          <w:rFonts w:asciiTheme="minorHAnsi" w:hAnsiTheme="minorHAnsi" w:cstheme="minorHAnsi"/>
          <w:b/>
          <w:bCs/>
          <w:sz w:val="23"/>
          <w:szCs w:val="23"/>
        </w:rPr>
      </w:pPr>
    </w:p>
    <w:p w14:paraId="5EDD008C" w14:textId="77777777" w:rsidR="0082153A" w:rsidRDefault="0082153A" w:rsidP="0082153A">
      <w:pPr>
        <w:pStyle w:val="Heading1"/>
        <w:jc w:val="center"/>
        <w:rPr>
          <w:rFonts w:asciiTheme="minorHAnsi" w:hAnsiTheme="minorHAnsi" w:cstheme="minorHAnsi"/>
          <w:b/>
          <w:bCs/>
          <w:sz w:val="28"/>
          <w:szCs w:val="28"/>
        </w:rPr>
      </w:pPr>
    </w:p>
    <w:p w14:paraId="5F6AE9D4" w14:textId="77777777" w:rsidR="0082153A" w:rsidRDefault="0082153A" w:rsidP="0082153A"/>
    <w:p w14:paraId="2399443B" w14:textId="77777777" w:rsidR="0082153A" w:rsidRDefault="0082153A" w:rsidP="0082153A"/>
    <w:p w14:paraId="49DB5995" w14:textId="77777777" w:rsidR="0082153A" w:rsidRPr="008169E5" w:rsidRDefault="0082153A" w:rsidP="0082153A"/>
    <w:p w14:paraId="7F089446" w14:textId="77777777" w:rsidR="0082153A" w:rsidRPr="00701BB6" w:rsidRDefault="0082153A" w:rsidP="0082153A">
      <w:pPr>
        <w:rPr>
          <w:sz w:val="32"/>
          <w:szCs w:val="32"/>
        </w:rPr>
      </w:pPr>
    </w:p>
    <w:p w14:paraId="072D37E5" w14:textId="62ACFB87" w:rsidR="0082153A" w:rsidRDefault="0082153A" w:rsidP="0082153A">
      <w:pPr>
        <w:pStyle w:val="Heading1"/>
        <w:spacing w:line="360" w:lineRule="auto"/>
        <w:jc w:val="center"/>
        <w:rPr>
          <w:rFonts w:ascii="Times" w:hAnsi="Times" w:cstheme="minorHAnsi"/>
          <w:b/>
          <w:bCs/>
          <w:color w:val="auto"/>
        </w:rPr>
      </w:pPr>
      <w:r w:rsidRPr="00701BB6">
        <w:rPr>
          <w:rFonts w:ascii="Times" w:hAnsi="Times" w:cstheme="minorHAnsi"/>
          <w:b/>
          <w:bCs/>
          <w:color w:val="auto"/>
        </w:rPr>
        <w:t>ECAD7004 – Researching the Learning</w:t>
      </w:r>
    </w:p>
    <w:p w14:paraId="20C1EA5D" w14:textId="77777777" w:rsidR="00701BB6" w:rsidRPr="00701BB6" w:rsidRDefault="00701BB6" w:rsidP="00701BB6">
      <w:pPr>
        <w:rPr>
          <w:lang w:eastAsia="en-GB"/>
        </w:rPr>
      </w:pPr>
    </w:p>
    <w:p w14:paraId="2DE45729" w14:textId="213A5318" w:rsidR="00AD4A56" w:rsidRPr="00701BB6" w:rsidRDefault="00701BB6" w:rsidP="0082153A">
      <w:pPr>
        <w:pStyle w:val="Heading1"/>
        <w:spacing w:line="360" w:lineRule="auto"/>
        <w:jc w:val="center"/>
        <w:rPr>
          <w:rFonts w:ascii="Times" w:hAnsi="Times" w:cstheme="minorHAnsi"/>
          <w:b/>
          <w:bCs/>
          <w:color w:val="000000" w:themeColor="text1"/>
        </w:rPr>
      </w:pPr>
      <w:r w:rsidRPr="00701BB6">
        <w:rPr>
          <w:rFonts w:ascii="Times" w:hAnsi="Times" w:cstheme="minorHAnsi"/>
          <w:b/>
          <w:bCs/>
          <w:noProof/>
          <w:color w:val="auto"/>
        </w:rPr>
        <mc:AlternateContent>
          <mc:Choice Requires="wps">
            <w:drawing>
              <wp:anchor distT="0" distB="0" distL="114300" distR="114300" simplePos="0" relativeHeight="251659264" behindDoc="0" locked="0" layoutInCell="1" allowOverlap="1" wp14:anchorId="24A1B7B7" wp14:editId="5D07673F">
                <wp:simplePos x="0" y="0"/>
                <wp:positionH relativeFrom="column">
                  <wp:posOffset>484505</wp:posOffset>
                </wp:positionH>
                <wp:positionV relativeFrom="paragraph">
                  <wp:posOffset>25400</wp:posOffset>
                </wp:positionV>
                <wp:extent cx="5687060" cy="0"/>
                <wp:effectExtent l="0" t="12700" r="27940" b="25400"/>
                <wp:wrapNone/>
                <wp:docPr id="826453485" name="Straight Connector 1"/>
                <wp:cNvGraphicFramePr/>
                <a:graphic xmlns:a="http://schemas.openxmlformats.org/drawingml/2006/main">
                  <a:graphicData uri="http://schemas.microsoft.com/office/word/2010/wordprocessingShape">
                    <wps:wsp>
                      <wps:cNvCnPr/>
                      <wps:spPr>
                        <a:xfrm>
                          <a:off x="0" y="0"/>
                          <a:ext cx="5687060" cy="0"/>
                        </a:xfrm>
                        <a:prstGeom prst="line">
                          <a:avLst/>
                        </a:prstGeom>
                        <a:ln w="317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5E56FBC2" id="Straight Connector 1" o:spid="_x0000_s1026" style="position:absolute;z-index:251659264;visibility:visible;mso-wrap-style:square;mso-wrap-distance-left:9pt;mso-wrap-distance-top:0;mso-wrap-distance-right:9pt;mso-wrap-distance-bottom:0;mso-position-horizontal:absolute;mso-position-horizontal-relative:text;mso-position-vertical:absolute;mso-position-vertical-relative:text" from="38.15pt,2pt" to="485.95pt,2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" strokecolor="black [3200]" strokeweight="2.5pt">
                <v:stroke joinstyle="miter"/>
              </v:line>
            </w:pict>
          </mc:Fallback>
        </mc:AlternateContent>
      </w:r>
      <w:r w:rsidR="00AD7947" w:rsidRPr="00701BB6">
        <w:rPr>
          <w:rFonts w:ascii="Times" w:hAnsi="Times" w:cstheme="minorHAnsi"/>
          <w:b/>
          <w:bCs/>
          <w:color w:val="000000" w:themeColor="text1"/>
        </w:rPr>
        <w:t>How do</w:t>
      </w:r>
      <w:r w:rsidR="0082153A" w:rsidRPr="00701BB6">
        <w:rPr>
          <w:rFonts w:ascii="Times" w:hAnsi="Times" w:cstheme="minorHAnsi"/>
          <w:b/>
          <w:bCs/>
          <w:color w:val="000000" w:themeColor="text1"/>
        </w:rPr>
        <w:t xml:space="preserve"> gender </w:t>
      </w:r>
      <w:r w:rsidR="00AD7947" w:rsidRPr="00701BB6">
        <w:rPr>
          <w:rFonts w:ascii="Times" w:hAnsi="Times" w:cstheme="minorHAnsi"/>
          <w:b/>
          <w:bCs/>
          <w:color w:val="000000" w:themeColor="text1"/>
        </w:rPr>
        <w:t>stereotypes impact</w:t>
      </w:r>
      <w:r w:rsidR="0082153A" w:rsidRPr="00701BB6">
        <w:rPr>
          <w:rFonts w:ascii="Times" w:hAnsi="Times" w:cstheme="minorHAnsi"/>
          <w:b/>
          <w:bCs/>
          <w:color w:val="000000" w:themeColor="text1"/>
        </w:rPr>
        <w:t xml:space="preserve"> play </w:t>
      </w:r>
    </w:p>
    <w:p w14:paraId="5FA1CC94" w14:textId="1B5738C8" w:rsidR="0082153A" w:rsidRPr="00701BB6" w:rsidRDefault="00AD7947" w:rsidP="00AD4A56">
      <w:pPr>
        <w:pStyle w:val="Heading1"/>
        <w:spacing w:line="360" w:lineRule="auto"/>
        <w:jc w:val="center"/>
        <w:rPr>
          <w:rFonts w:ascii="Times" w:hAnsi="Times" w:cstheme="minorHAnsi"/>
          <w:b/>
          <w:bCs/>
          <w:color w:val="000000" w:themeColor="text1"/>
        </w:rPr>
      </w:pPr>
      <w:r w:rsidRPr="00701BB6">
        <w:rPr>
          <w:rFonts w:ascii="Times" w:hAnsi="Times" w:cstheme="minorHAnsi"/>
          <w:b/>
          <w:bCs/>
          <w:color w:val="000000" w:themeColor="text1"/>
        </w:rPr>
        <w:t xml:space="preserve">and social interaction </w:t>
      </w:r>
      <w:r w:rsidR="0082153A" w:rsidRPr="00701BB6">
        <w:rPr>
          <w:rFonts w:ascii="Times" w:hAnsi="Times" w:cstheme="minorHAnsi"/>
          <w:b/>
          <w:bCs/>
          <w:color w:val="000000" w:themeColor="text1"/>
        </w:rPr>
        <w:t xml:space="preserve">in the outdoor </w:t>
      </w:r>
      <w:r w:rsidRPr="00701BB6">
        <w:rPr>
          <w:rFonts w:ascii="Times" w:hAnsi="Times" w:cstheme="minorHAnsi"/>
          <w:b/>
          <w:bCs/>
          <w:color w:val="000000" w:themeColor="text1"/>
        </w:rPr>
        <w:t>learning environment</w:t>
      </w:r>
      <w:r w:rsidR="0082153A" w:rsidRPr="00701BB6">
        <w:rPr>
          <w:rFonts w:ascii="Times" w:hAnsi="Times" w:cstheme="minorHAnsi"/>
          <w:b/>
          <w:bCs/>
          <w:color w:val="000000" w:themeColor="text1"/>
        </w:rPr>
        <w:t>?</w:t>
      </w:r>
    </w:p>
    <w:p w14:paraId="189259A5" w14:textId="31425D51" w:rsidR="0082153A" w:rsidRPr="0082153A" w:rsidRDefault="0082153A" w:rsidP="00D10F02">
      <w:pPr>
        <w:rPr>
          <w:rFonts w:ascii="Google Sans" w:eastAsia="Times New Roman" w:hAnsi="Google Sans" w:cs="Times New Roman"/>
          <w:color w:val="1F1F1F"/>
          <w:kern w:val="0"/>
          <w:lang w:eastAsia="en-GB"/>
          <w14:ligatures w14:val="none"/>
        </w:rPr>
      </w:pPr>
      <w:r>
        <w:rPr>
          <w:rFonts w:ascii="Times" w:hAnsi="Times" w:cstheme="minorHAnsi"/>
          <w:b/>
          <w:bCs/>
          <w:noProof/>
          <w:sz w:val="28"/>
          <w:szCs w:val="28"/>
        </w:rPr>
        <mc:AlternateContent>
          <mc:Choice Requires="wps">
            <w:drawing>
              <wp:anchor distT="0" distB="0" distL="114300" distR="114300" simplePos="0" relativeHeight="251660288" behindDoc="0" locked="0" layoutInCell="1" allowOverlap="1" wp14:anchorId="225D8208" wp14:editId="251C8948">
                <wp:simplePos x="0" y="0"/>
                <wp:positionH relativeFrom="column">
                  <wp:posOffset>483293</wp:posOffset>
                </wp:positionH>
                <wp:positionV relativeFrom="paragraph">
                  <wp:posOffset>86995</wp:posOffset>
                </wp:positionV>
                <wp:extent cx="5687122" cy="0"/>
                <wp:effectExtent l="0" t="12700" r="27940" b="25400"/>
                <wp:wrapNone/>
                <wp:docPr id="388210621" name="Straight Connector 1"/>
                <wp:cNvGraphicFramePr/>
                <a:graphic xmlns:a="http://schemas.openxmlformats.org/drawingml/2006/main">
                  <a:graphicData uri="http://schemas.microsoft.com/office/word/2010/wordprocessingShape">
                    <wps:wsp>
                      <wps:cNvCnPr/>
                      <wps:spPr>
                        <a:xfrm>
                          <a:off x="0" y="0"/>
                          <a:ext cx="5687122" cy="0"/>
                        </a:xfrm>
                        <a:prstGeom prst="line">
                          <a:avLst/>
                        </a:prstGeom>
                        <a:ln w="31750"/>
                      </wps:spPr>
                      <wps:style>
                        <a:lnRef idx="1">
                          <a:schemeClr val="dk1"/>
                        </a:lnRef>
                        <a:fillRef idx="0">
                          <a:schemeClr val="dk1"/>
                        </a:fillRef>
                        <a:effectRef idx="0">
                          <a:schemeClr val="dk1"/>
                        </a:effectRef>
                        <a:fontRef idx="minor">
                          <a:schemeClr val="tx1"/>
                        </a:fontRef>
                      </wps:style>
                      <wps:bodyPr/>
                    </wps:wsp>
                  </a:graphicData>
                </a:graphic>
              </wp:anchor>
            </w:drawing>
          </mc:Choice>
          <mc:Fallback>
            <w:pict>
              <v:line w14:anchorId="38976E7E" id="Straight Connector 1" o:spid="_x0000_s1026" style="position:absolute;z-index:251660288;visibility:visible;mso-wrap-style:square;mso-wrap-distance-left:9pt;mso-wrap-distance-top:0;mso-wrap-distance-right:9pt;mso-wrap-distance-bottom:0;mso-position-horizontal:absolute;mso-position-horizontal-relative:text;mso-position-vertical:absolute;mso-position-vertical-relative:text" from="38.05pt,6.85pt" to="485.85pt,6.85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" strokecolor="black [3200]" strokeweight="2.5pt">
                <v:stroke joinstyle="miter"/>
              </v:line>
            </w:pict>
          </mc:Fallback>
        </mc:AlternateContent>
      </w:r>
    </w:p>
    <w:p w14:paraId="014E50F1" w14:textId="77777777" w:rsidR="0082153A" w:rsidRDefault="0082153A" w:rsidP="0082153A"/>
    <w:p w14:paraId="0C8E0431" w14:textId="77777777" w:rsidR="0082153A" w:rsidRDefault="0082153A" w:rsidP="0082153A"/>
    <w:p w14:paraId="3F438D83" w14:textId="77777777" w:rsidR="0082153A" w:rsidRDefault="0082153A" w:rsidP="0082153A"/>
    <w:p w14:paraId="1D98BFE5" w14:textId="77777777" w:rsidR="0082153A" w:rsidRPr="008169E5" w:rsidRDefault="0082153A" w:rsidP="0082153A">
      <w:pPr>
        <w:rPr>
          <w:sz w:val="32"/>
          <w:szCs w:val="32"/>
        </w:rPr>
      </w:pPr>
    </w:p>
    <w:p w14:paraId="08067DDA" w14:textId="77777777" w:rsidR="0082153A" w:rsidRDefault="0082153A" w:rsidP="0082153A">
      <w:pPr>
        <w:jc w:val="center"/>
        <w:rPr>
          <w:rFonts w:ascii="Times" w:hAnsi="Times"/>
          <w:i/>
          <w:iCs/>
          <w:sz w:val="32"/>
          <w:szCs w:val="32"/>
        </w:rPr>
      </w:pPr>
    </w:p>
    <w:p w14:paraId="34F62D79" w14:textId="77777777" w:rsidR="00D10F02" w:rsidRDefault="00D10F02" w:rsidP="0082153A">
      <w:pPr>
        <w:jc w:val="center"/>
        <w:rPr>
          <w:rFonts w:ascii="Times" w:hAnsi="Times"/>
          <w:i/>
          <w:iCs/>
          <w:sz w:val="32"/>
          <w:szCs w:val="32"/>
        </w:rPr>
      </w:pPr>
    </w:p>
    <w:p w14:paraId="7719BD4E" w14:textId="77777777" w:rsidR="00D10F02" w:rsidRDefault="00D10F02" w:rsidP="0082153A">
      <w:pPr>
        <w:jc w:val="center"/>
        <w:rPr>
          <w:rFonts w:ascii="Times" w:hAnsi="Times"/>
          <w:i/>
          <w:iCs/>
          <w:sz w:val="32"/>
          <w:szCs w:val="32"/>
        </w:rPr>
      </w:pPr>
    </w:p>
    <w:p w14:paraId="1FDEA429" w14:textId="77777777" w:rsidR="00D10F02" w:rsidRDefault="00D10F02" w:rsidP="0082153A">
      <w:pPr>
        <w:jc w:val="center"/>
        <w:rPr>
          <w:rFonts w:ascii="Times" w:hAnsi="Times"/>
          <w:i/>
          <w:iCs/>
          <w:sz w:val="32"/>
          <w:szCs w:val="32"/>
        </w:rPr>
      </w:pPr>
    </w:p>
    <w:p w14:paraId="011F4512" w14:textId="77777777" w:rsidR="00D10F02" w:rsidRDefault="00D10F02" w:rsidP="0082153A">
      <w:pPr>
        <w:jc w:val="center"/>
        <w:rPr>
          <w:rFonts w:ascii="Times" w:hAnsi="Times"/>
          <w:i/>
          <w:iCs/>
          <w:sz w:val="32"/>
          <w:szCs w:val="32"/>
        </w:rPr>
      </w:pPr>
    </w:p>
    <w:p w14:paraId="7C16B682" w14:textId="77777777" w:rsidR="0082153A" w:rsidRDefault="0082153A" w:rsidP="0082153A">
      <w:pPr>
        <w:jc w:val="center"/>
        <w:rPr>
          <w:rFonts w:ascii="Times" w:hAnsi="Times"/>
          <w:i/>
          <w:iCs/>
          <w:sz w:val="32"/>
          <w:szCs w:val="32"/>
        </w:rPr>
      </w:pPr>
    </w:p>
    <w:p w14:paraId="05B53C0B" w14:textId="77777777" w:rsidR="0082153A" w:rsidRDefault="0082153A" w:rsidP="0082153A">
      <w:pPr>
        <w:jc w:val="center"/>
        <w:rPr>
          <w:rFonts w:ascii="Times" w:hAnsi="Times"/>
          <w:sz w:val="32"/>
          <w:szCs w:val="32"/>
        </w:rPr>
      </w:pPr>
      <w:r w:rsidRPr="008169E5">
        <w:rPr>
          <w:rFonts w:ascii="Times" w:hAnsi="Times"/>
          <w:i/>
          <w:iCs/>
          <w:sz w:val="32"/>
          <w:szCs w:val="32"/>
        </w:rPr>
        <w:t>Author:</w:t>
      </w:r>
      <w:r w:rsidRPr="008169E5">
        <w:rPr>
          <w:rFonts w:ascii="Times" w:hAnsi="Times"/>
          <w:sz w:val="32"/>
          <w:szCs w:val="32"/>
        </w:rPr>
        <w:t xml:space="preserve"> Hannah James</w:t>
      </w:r>
    </w:p>
    <w:p w14:paraId="0430629B" w14:textId="7088946E" w:rsidR="00701BB6" w:rsidRDefault="00701BB6" w:rsidP="0082153A">
      <w:pPr>
        <w:jc w:val="center"/>
        <w:rPr>
          <w:rFonts w:ascii="Times" w:hAnsi="Times"/>
          <w:sz w:val="32"/>
          <w:szCs w:val="32"/>
        </w:rPr>
      </w:pPr>
      <w:r w:rsidRPr="00701BB6">
        <w:rPr>
          <w:rFonts w:ascii="Times" w:hAnsi="Times"/>
          <w:i/>
          <w:iCs/>
          <w:sz w:val="32"/>
          <w:szCs w:val="32"/>
        </w:rPr>
        <w:t>Student Number:</w:t>
      </w:r>
      <w:r>
        <w:rPr>
          <w:rFonts w:ascii="Times" w:hAnsi="Times"/>
          <w:i/>
          <w:iCs/>
          <w:sz w:val="32"/>
          <w:szCs w:val="32"/>
        </w:rPr>
        <w:t xml:space="preserve"> </w:t>
      </w:r>
      <w:r>
        <w:rPr>
          <w:rFonts w:ascii="Times" w:hAnsi="Times"/>
          <w:sz w:val="32"/>
          <w:szCs w:val="32"/>
        </w:rPr>
        <w:t>0851498</w:t>
      </w:r>
    </w:p>
    <w:p w14:paraId="6094B5BA" w14:textId="289AC910" w:rsidR="00BD6D50" w:rsidRPr="00701BB6" w:rsidRDefault="00BD6D50" w:rsidP="0082153A">
      <w:pPr>
        <w:jc w:val="center"/>
        <w:rPr>
          <w:rFonts w:ascii="Times" w:hAnsi="Times"/>
          <w:sz w:val="32"/>
          <w:szCs w:val="32"/>
        </w:rPr>
      </w:pPr>
      <w:r w:rsidRPr="00BD6D50">
        <w:rPr>
          <w:rFonts w:ascii="Times" w:hAnsi="Times"/>
          <w:i/>
          <w:iCs/>
          <w:sz w:val="32"/>
          <w:szCs w:val="32"/>
        </w:rPr>
        <w:t>Word Count:</w:t>
      </w:r>
      <w:r>
        <w:rPr>
          <w:rFonts w:ascii="Times" w:hAnsi="Times"/>
          <w:sz w:val="32"/>
          <w:szCs w:val="32"/>
        </w:rPr>
        <w:t xml:space="preserve"> 4508</w:t>
      </w:r>
    </w:p>
    <w:p w14:paraId="14CD3609" w14:textId="77777777" w:rsidR="0082153A" w:rsidRPr="008169E5" w:rsidRDefault="0082153A" w:rsidP="0082153A">
      <w:pPr>
        <w:jc w:val="center"/>
        <w:rPr>
          <w:rFonts w:ascii="Times" w:hAnsi="Times"/>
          <w:sz w:val="32"/>
          <w:szCs w:val="32"/>
        </w:rPr>
      </w:pPr>
    </w:p>
    <w:p w14:paraId="1F9EA80D" w14:textId="27A08513" w:rsidR="00FC5C3B" w:rsidRDefault="0082153A" w:rsidP="0082153A">
      <w:pPr>
        <w:jc w:val="center"/>
        <w:rPr>
          <w:rFonts w:ascii="Times" w:hAnsi="Times"/>
          <w:sz w:val="32"/>
          <w:szCs w:val="32"/>
        </w:rPr>
      </w:pPr>
      <w:r>
        <w:rPr>
          <w:rFonts w:ascii="Times" w:hAnsi="Times"/>
          <w:sz w:val="32"/>
          <w:szCs w:val="32"/>
        </w:rPr>
        <w:t>7</w:t>
      </w:r>
      <w:r w:rsidRPr="008169E5">
        <w:rPr>
          <w:rFonts w:ascii="Times" w:hAnsi="Times"/>
          <w:sz w:val="32"/>
          <w:szCs w:val="32"/>
          <w:vertAlign w:val="superscript"/>
        </w:rPr>
        <w:t>th</w:t>
      </w:r>
      <w:r w:rsidRPr="008169E5">
        <w:rPr>
          <w:rFonts w:ascii="Times" w:hAnsi="Times"/>
          <w:sz w:val="32"/>
          <w:szCs w:val="32"/>
        </w:rPr>
        <w:t xml:space="preserve"> </w:t>
      </w:r>
      <w:r>
        <w:rPr>
          <w:rFonts w:ascii="Times" w:hAnsi="Times"/>
          <w:sz w:val="32"/>
          <w:szCs w:val="32"/>
        </w:rPr>
        <w:t>May</w:t>
      </w:r>
      <w:r w:rsidRPr="008169E5">
        <w:rPr>
          <w:rFonts w:ascii="Times" w:hAnsi="Times"/>
          <w:sz w:val="32"/>
          <w:szCs w:val="32"/>
        </w:rPr>
        <w:t xml:space="preserve"> 202</w:t>
      </w:r>
      <w:r>
        <w:rPr>
          <w:rFonts w:ascii="Times" w:hAnsi="Times"/>
          <w:sz w:val="32"/>
          <w:szCs w:val="32"/>
        </w:rPr>
        <w:t>4</w:t>
      </w:r>
    </w:p>
    <w:p w14:paraId="541DE59F" w14:textId="77777777" w:rsidR="00FC5C3B" w:rsidRDefault="00FC5C3B">
      <w:pPr>
        <w:rPr>
          <w:rFonts w:ascii="Times" w:hAnsi="Times"/>
          <w:sz w:val="32"/>
          <w:szCs w:val="32"/>
        </w:rPr>
      </w:pPr>
      <w:r>
        <w:rPr>
          <w:rFonts w:ascii="Times" w:hAnsi="Times"/>
          <w:sz w:val="32"/>
          <w:szCs w:val="32"/>
        </w:rPr>
        <w:br w:type="page"/>
      </w:r>
    </w:p>
    <w:p w14:paraId="38E0EAE7" w14:textId="77777777" w:rsidR="0082153A" w:rsidRDefault="0082153A" w:rsidP="0082153A">
      <w:pPr>
        <w:jc w:val="center"/>
        <w:rPr>
          <w:rFonts w:ascii="Times" w:hAnsi="Times"/>
          <w:sz w:val="32"/>
          <w:szCs w:val="32"/>
        </w:rPr>
      </w:pPr>
    </w:p>
    <w:p w14:paraId="0128943D" w14:textId="50E43376" w:rsidR="00ED4075" w:rsidRDefault="00ED4075" w:rsidP="00ED4075">
      <w:r>
        <w:t>Targets</w:t>
      </w:r>
    </w:p>
    <w:p w14:paraId="0CCB9A4A" w14:textId="77777777" w:rsidR="00ED4075" w:rsidRDefault="00ED4075" w:rsidP="00ED4075"/>
    <w:tbl>
      <w:tblPr>
        <w:tblW w:w="9000" w:type="dxa"/>
        <w:tblInd w:w="108"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shd w:val="clear" w:color="auto" w:fill="CDD4E9"/>
        <w:tblLayout w:type="fixed"/>
        <w:tblLook w:val="04A0" w:firstRow="1" w:lastRow="0" w:firstColumn="1" w:lastColumn="0" w:noHBand="0" w:noVBand="1"/>
      </w:tblPr>
      <w:tblGrid>
        <w:gridCol w:w="3000"/>
        <w:gridCol w:w="3000"/>
        <w:gridCol w:w="3000"/>
      </w:tblGrid>
      <w:tr w:rsidR="00ED4075" w:rsidRPr="00BD1BDB" w14:paraId="306BC08E" w14:textId="77777777" w:rsidTr="00874337">
        <w:trPr>
          <w:trHeight w:val="1167"/>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79EAD036" w14:textId="77777777" w:rsidR="00ED4075" w:rsidRPr="00BD1BDB" w:rsidRDefault="00ED4075" w:rsidP="00874337">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042B053" w14:textId="31A9B5EA" w:rsidR="00ED4075" w:rsidRPr="00BD1BDB" w:rsidRDefault="00ED4075" w:rsidP="00874337">
            <w:pPr>
              <w:tabs>
                <w:tab w:val="left" w:pos="1440"/>
                <w:tab w:val="left" w:pos="2880"/>
              </w:tabs>
              <w:suppressAutoHyphens/>
              <w:spacing w:line="360" w:lineRule="auto"/>
              <w:outlineLvl w:val="0"/>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Target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3FA9D27" w14:textId="77777777" w:rsidR="00ED4075" w:rsidRPr="00BD1BDB" w:rsidRDefault="00ED4075" w:rsidP="00874337">
            <w:pPr>
              <w:tabs>
                <w:tab w:val="left" w:pos="1440"/>
                <w:tab w:val="left" w:pos="2880"/>
              </w:tabs>
              <w:suppressAutoHyphens/>
              <w:spacing w:line="360" w:lineRule="auto"/>
              <w:outlineLvl w:val="0"/>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What I have done in this assignment….</w:t>
            </w:r>
          </w:p>
        </w:tc>
      </w:tr>
      <w:tr w:rsidR="00ED4075" w:rsidRPr="00BD1BDB" w14:paraId="7C440AA2" w14:textId="77777777" w:rsidTr="00874337">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30C6C3D4" w14:textId="43A4EFB7" w:rsidR="00ED4075" w:rsidRPr="00BD1BDB" w:rsidRDefault="00ED4075" w:rsidP="00874337">
            <w:pPr>
              <w:tabs>
                <w:tab w:val="left" w:pos="1440"/>
                <w:tab w:val="left" w:pos="2880"/>
              </w:tabs>
              <w:suppressAutoHyphens/>
              <w:spacing w:line="360" w:lineRule="auto"/>
              <w:outlineLvl w:val="0"/>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Target 1</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5453775A" w14:textId="208A537C" w:rsidR="00ED4075" w:rsidRPr="00BD1BDB" w:rsidRDefault="00ED4075" w:rsidP="00DD67CD">
            <w:pPr>
              <w:spacing w:line="360" w:lineRule="auto"/>
              <w:rPr>
                <w:rFonts w:ascii="Arial" w:hAnsi="Arial" w:cs="Arial"/>
              </w:rPr>
            </w:pPr>
            <w:r>
              <w:rPr>
                <w:rFonts w:ascii="Arial" w:hAnsi="Arial" w:cs="Arial"/>
              </w:rPr>
              <w:t>Continue to apply this careful approach to your work to your final assignment.</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2116A1A5" w14:textId="6A983A22" w:rsidR="00ED4075" w:rsidRPr="00BD1BDB" w:rsidRDefault="00ED4075" w:rsidP="00DD67CD">
            <w:pPr>
              <w:spacing w:line="360" w:lineRule="auto"/>
              <w:rPr>
                <w:rFonts w:ascii="Arial" w:hAnsi="Arial" w:cs="Arial"/>
              </w:rPr>
            </w:pPr>
            <w:r>
              <w:rPr>
                <w:rFonts w:ascii="Arial" w:hAnsi="Arial" w:cs="Arial"/>
              </w:rPr>
              <w:t>I have continued to research multiple sources of literature and have continued to apply a degree of criticality and reflection.</w:t>
            </w:r>
          </w:p>
        </w:tc>
      </w:tr>
      <w:tr w:rsidR="00ED4075" w:rsidRPr="00BD1BDB" w14:paraId="14217DB9" w14:textId="77777777" w:rsidTr="00874337">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5958E4EE" w14:textId="298D070A" w:rsidR="00ED4075" w:rsidRPr="00BD1BDB" w:rsidRDefault="00ED4075" w:rsidP="00874337">
            <w:pPr>
              <w:spacing w:line="360" w:lineRule="auto"/>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Target 2</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425376DF" w14:textId="5B81FB89" w:rsidR="00ED4075" w:rsidRPr="00BD1BDB" w:rsidRDefault="00ED4075" w:rsidP="00DD67CD">
            <w:pPr>
              <w:spacing w:line="360" w:lineRule="auto"/>
              <w:rPr>
                <w:rFonts w:ascii="Arial" w:hAnsi="Arial" w:cs="Arial"/>
              </w:rPr>
            </w:pPr>
            <w:r>
              <w:rPr>
                <w:rFonts w:ascii="Arial" w:hAnsi="Arial" w:cs="Arial"/>
              </w:rPr>
              <w:t>There are some minor errors in referencing format that you should look to address.</w:t>
            </w:r>
          </w:p>
        </w:tc>
        <w:tc>
          <w:tcPr>
            <w:tcW w:w="3000" w:type="dxa"/>
            <w:tcBorders>
              <w:top w:val="single" w:sz="8" w:space="0" w:color="FFFFFF"/>
              <w:left w:val="single" w:sz="8" w:space="0" w:color="FFFFFF"/>
              <w:bottom w:val="single" w:sz="8" w:space="0" w:color="FFFFFF"/>
              <w:right w:val="single" w:sz="8" w:space="0" w:color="FFFFFF"/>
            </w:tcBorders>
            <w:shd w:val="clear" w:color="auto" w:fill="E7EAF4"/>
            <w:tcMar>
              <w:top w:w="0" w:type="dxa"/>
              <w:left w:w="0" w:type="dxa"/>
              <w:bottom w:w="0" w:type="dxa"/>
              <w:right w:w="0" w:type="dxa"/>
            </w:tcMar>
          </w:tcPr>
          <w:p w14:paraId="17041EE2" w14:textId="6CFB1EDD" w:rsidR="00ED4075" w:rsidRPr="00BD1BDB" w:rsidRDefault="00ED4075" w:rsidP="00DD67CD">
            <w:pPr>
              <w:spacing w:line="360" w:lineRule="auto"/>
              <w:rPr>
                <w:rFonts w:ascii="Arial" w:hAnsi="Arial" w:cs="Arial"/>
              </w:rPr>
            </w:pPr>
            <w:r>
              <w:rPr>
                <w:rFonts w:ascii="Arial" w:hAnsi="Arial" w:cs="Arial"/>
              </w:rPr>
              <w:t>I have checked my references and reference list carefully adhering to the Harvard referencing guidelines from the university’s library.</w:t>
            </w:r>
          </w:p>
        </w:tc>
      </w:tr>
      <w:tr w:rsidR="00ED4075" w:rsidRPr="00BD1BDB" w14:paraId="42C876C9" w14:textId="77777777" w:rsidTr="00874337">
        <w:trPr>
          <w:trHeight w:val="452"/>
        </w:trPr>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3E0EFD5" w14:textId="2253D005" w:rsidR="00ED4075" w:rsidRPr="00BD1BDB" w:rsidRDefault="00ED4075" w:rsidP="00874337">
            <w:pPr>
              <w:tabs>
                <w:tab w:val="left" w:pos="1440"/>
                <w:tab w:val="left" w:pos="2880"/>
              </w:tabs>
              <w:suppressAutoHyphens/>
              <w:spacing w:line="360" w:lineRule="auto"/>
              <w:outlineLvl w:val="0"/>
              <w:rPr>
                <w:rFonts w:ascii="Arial" w:hAnsi="Arial" w:cs="Arial"/>
              </w:rPr>
            </w:pPr>
            <w:r w:rsidRPr="00BD1BDB">
              <w:rPr>
                <w:rFonts w:ascii="Arial" w:eastAsia="Arial Unicode MS" w:hAnsi="Arial" w:cs="Arial"/>
                <w:color w:val="000000"/>
                <w14:textOutline w14:w="12700" w14:cap="flat" w14:cmpd="sng" w14:algn="ctr">
                  <w14:noFill/>
                  <w14:prstDash w14:val="solid"/>
                  <w14:miter w14:lim="400000"/>
                </w14:textOutline>
              </w:rPr>
              <w:t>Target 3</w:t>
            </w: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475D9F1C" w14:textId="77777777" w:rsidR="00ED4075" w:rsidRPr="00BD1BDB" w:rsidRDefault="00ED4075" w:rsidP="00874337">
            <w:pPr>
              <w:spacing w:line="360" w:lineRule="auto"/>
              <w:rPr>
                <w:rFonts w:ascii="Arial" w:hAnsi="Arial" w:cs="Arial"/>
              </w:rPr>
            </w:pPr>
          </w:p>
        </w:tc>
        <w:tc>
          <w:tcPr>
            <w:tcW w:w="3000" w:type="dxa"/>
            <w:tcBorders>
              <w:top w:val="single" w:sz="8" w:space="0" w:color="FFFFFF"/>
              <w:left w:val="single" w:sz="8" w:space="0" w:color="FFFFFF"/>
              <w:bottom w:val="single" w:sz="8" w:space="0" w:color="FFFFFF"/>
              <w:right w:val="single" w:sz="8" w:space="0" w:color="FFFFFF"/>
            </w:tcBorders>
            <w:shd w:val="clear" w:color="auto" w:fill="CDD4E9"/>
            <w:tcMar>
              <w:top w:w="0" w:type="dxa"/>
              <w:left w:w="0" w:type="dxa"/>
              <w:bottom w:w="0" w:type="dxa"/>
              <w:right w:w="0" w:type="dxa"/>
            </w:tcMar>
          </w:tcPr>
          <w:p w14:paraId="6DADE21D" w14:textId="77777777" w:rsidR="00ED4075" w:rsidRPr="00BD1BDB" w:rsidRDefault="00ED4075" w:rsidP="00874337">
            <w:pPr>
              <w:spacing w:line="360" w:lineRule="auto"/>
              <w:rPr>
                <w:rFonts w:ascii="Arial" w:hAnsi="Arial" w:cs="Arial"/>
              </w:rPr>
            </w:pPr>
          </w:p>
        </w:tc>
      </w:tr>
    </w:tbl>
    <w:p w14:paraId="0ED44A06" w14:textId="77777777" w:rsidR="00ED4075" w:rsidRPr="008169E5" w:rsidRDefault="00ED4075" w:rsidP="0082153A">
      <w:pPr>
        <w:jc w:val="center"/>
        <w:rPr>
          <w:rFonts w:ascii="Times" w:hAnsi="Times"/>
          <w:sz w:val="32"/>
          <w:szCs w:val="32"/>
        </w:rPr>
      </w:pPr>
    </w:p>
    <w:p w14:paraId="38B5430A" w14:textId="77777777" w:rsidR="00951487" w:rsidRDefault="0082153A" w:rsidP="008A682C">
      <w:pPr>
        <w:rPr>
          <w:rFonts w:ascii="Calibri" w:eastAsia="Times New Roman" w:hAnsi="Calibri" w:cs="Calibri"/>
          <w:b/>
          <w:bCs/>
          <w:kern w:val="0"/>
          <w:lang w:eastAsia="en-GB"/>
          <w14:ligatures w14:val="none"/>
        </w:rPr>
        <w:sectPr w:rsidR="00951487" w:rsidSect="0056472F">
          <w:headerReference w:type="default" r:id="rId7"/>
          <w:footerReference w:type="even" r:id="rId8"/>
          <w:footerReference w:type="default" r:id="rId9"/>
          <w:pgSz w:w="11906" w:h="16838"/>
          <w:pgMar w:top="720" w:right="720" w:bottom="720" w:left="720" w:header="708" w:footer="708" w:gutter="0"/>
          <w:cols w:space="708"/>
          <w:titlePg/>
          <w:docGrid w:linePitch="360"/>
        </w:sectPr>
      </w:pPr>
      <w:r>
        <w:rPr>
          <w:rFonts w:ascii="Calibri" w:eastAsia="Times New Roman" w:hAnsi="Calibri" w:cs="Calibri"/>
          <w:b/>
          <w:bCs/>
          <w:kern w:val="0"/>
          <w:lang w:eastAsia="en-GB"/>
          <w14:ligatures w14:val="none"/>
        </w:rPr>
        <w:br w:type="page"/>
      </w:r>
    </w:p>
    <w:p w14:paraId="0666B2DC" w14:textId="567D0F00" w:rsidR="00E408A9" w:rsidRPr="008E0AA1" w:rsidRDefault="00E408A9" w:rsidP="00855FF2">
      <w:pPr>
        <w:jc w:val="center"/>
        <w:rPr>
          <w:rFonts w:ascii="Calibri" w:eastAsia="Times New Roman" w:hAnsi="Calibri" w:cs="Calibri"/>
          <w:b/>
          <w:bCs/>
          <w:color w:val="000000" w:themeColor="text1"/>
          <w:kern w:val="0"/>
          <w:u w:val="single"/>
          <w:lang w:eastAsia="en-GB"/>
          <w14:ligatures w14:val="none"/>
        </w:rPr>
      </w:pPr>
      <w:r w:rsidRPr="008E0AA1">
        <w:rPr>
          <w:rFonts w:ascii="Calibri" w:eastAsia="Times New Roman" w:hAnsi="Calibri" w:cs="Calibri"/>
          <w:b/>
          <w:bCs/>
          <w:color w:val="000000" w:themeColor="text1"/>
          <w:kern w:val="0"/>
          <w:u w:val="single"/>
          <w:lang w:eastAsia="en-GB"/>
          <w14:ligatures w14:val="none"/>
        </w:rPr>
        <w:lastRenderedPageBreak/>
        <w:t xml:space="preserve">Aim, </w:t>
      </w:r>
      <w:r w:rsidR="00AD4A56" w:rsidRPr="008E0AA1">
        <w:rPr>
          <w:rFonts w:ascii="Calibri" w:eastAsia="Times New Roman" w:hAnsi="Calibri" w:cs="Calibri"/>
          <w:b/>
          <w:bCs/>
          <w:color w:val="000000" w:themeColor="text1"/>
          <w:kern w:val="0"/>
          <w:u w:val="single"/>
          <w:lang w:eastAsia="en-GB"/>
          <w14:ligatures w14:val="none"/>
        </w:rPr>
        <w:t>F</w:t>
      </w:r>
      <w:r w:rsidRPr="008E0AA1">
        <w:rPr>
          <w:rFonts w:ascii="Calibri" w:eastAsia="Times New Roman" w:hAnsi="Calibri" w:cs="Calibri"/>
          <w:b/>
          <w:bCs/>
          <w:color w:val="000000" w:themeColor="text1"/>
          <w:kern w:val="0"/>
          <w:u w:val="single"/>
          <w:lang w:eastAsia="en-GB"/>
          <w14:ligatures w14:val="none"/>
        </w:rPr>
        <w:t xml:space="preserve">ocus and </w:t>
      </w:r>
      <w:r w:rsidR="00AD4A56" w:rsidRPr="008E0AA1">
        <w:rPr>
          <w:rFonts w:ascii="Calibri" w:eastAsia="Times New Roman" w:hAnsi="Calibri" w:cs="Calibri"/>
          <w:b/>
          <w:bCs/>
          <w:color w:val="000000" w:themeColor="text1"/>
          <w:kern w:val="0"/>
          <w:u w:val="single"/>
          <w:lang w:eastAsia="en-GB"/>
          <w14:ligatures w14:val="none"/>
        </w:rPr>
        <w:t>P</w:t>
      </w:r>
      <w:r w:rsidRPr="008E0AA1">
        <w:rPr>
          <w:rFonts w:ascii="Calibri" w:eastAsia="Times New Roman" w:hAnsi="Calibri" w:cs="Calibri"/>
          <w:b/>
          <w:bCs/>
          <w:color w:val="000000" w:themeColor="text1"/>
          <w:kern w:val="0"/>
          <w:u w:val="single"/>
          <w:lang w:eastAsia="en-GB"/>
          <w14:ligatures w14:val="none"/>
        </w:rPr>
        <w:t xml:space="preserve">urpose of the </w:t>
      </w:r>
      <w:r w:rsidR="00AD4A56" w:rsidRPr="008E0AA1">
        <w:rPr>
          <w:rFonts w:ascii="Calibri" w:eastAsia="Times New Roman" w:hAnsi="Calibri" w:cs="Calibri"/>
          <w:b/>
          <w:bCs/>
          <w:color w:val="000000" w:themeColor="text1"/>
          <w:kern w:val="0"/>
          <w:u w:val="single"/>
          <w:lang w:eastAsia="en-GB"/>
          <w14:ligatures w14:val="none"/>
        </w:rPr>
        <w:t>R</w:t>
      </w:r>
      <w:r w:rsidRPr="008E0AA1">
        <w:rPr>
          <w:rFonts w:ascii="Calibri" w:eastAsia="Times New Roman" w:hAnsi="Calibri" w:cs="Calibri"/>
          <w:b/>
          <w:bCs/>
          <w:color w:val="000000" w:themeColor="text1"/>
          <w:kern w:val="0"/>
          <w:u w:val="single"/>
          <w:lang w:eastAsia="en-GB"/>
          <w14:ligatures w14:val="none"/>
        </w:rPr>
        <w:t>esearch</w:t>
      </w:r>
    </w:p>
    <w:p w14:paraId="5C72B57B" w14:textId="1B0BF00C" w:rsidR="00587E34" w:rsidRPr="008E0AA1" w:rsidRDefault="00587E34" w:rsidP="00587E34">
      <w:pPr>
        <w:spacing w:before="100" w:beforeAutospacing="1" w:after="100" w:afterAutospacing="1" w:line="360" w:lineRule="auto"/>
        <w:jc w:val="both"/>
        <w:rPr>
          <w:rFonts w:ascii="Calibri" w:eastAsia="Times New Roman" w:hAnsi="Calibri" w:cs="Calibri"/>
          <w:color w:val="000000" w:themeColor="text1"/>
          <w:kern w:val="0"/>
          <w:lang w:eastAsia="en-GB"/>
          <w14:ligatures w14:val="none"/>
        </w:rPr>
      </w:pPr>
      <w:r w:rsidRPr="008E0AA1">
        <w:rPr>
          <w:rFonts w:ascii="Calibri" w:eastAsia="Times New Roman" w:hAnsi="Calibri" w:cs="Calibri"/>
          <w:color w:val="000000" w:themeColor="text1"/>
          <w:kern w:val="0"/>
          <w:lang w:eastAsia="en-GB"/>
          <w14:ligatures w14:val="none"/>
        </w:rPr>
        <w:t xml:space="preserve">This case study investigates how </w:t>
      </w:r>
      <w:r w:rsidR="00D51248" w:rsidRPr="008E0AA1">
        <w:rPr>
          <w:rFonts w:ascii="Calibri" w:eastAsia="Times New Roman" w:hAnsi="Calibri" w:cs="Calibri"/>
          <w:color w:val="000000" w:themeColor="text1"/>
          <w:kern w:val="0"/>
          <w:lang w:eastAsia="en-GB"/>
          <w14:ligatures w14:val="none"/>
        </w:rPr>
        <w:t xml:space="preserve">children’s perceptions of </w:t>
      </w:r>
      <w:r w:rsidRPr="008E0AA1">
        <w:rPr>
          <w:rFonts w:ascii="Calibri" w:eastAsia="Times New Roman" w:hAnsi="Calibri" w:cs="Calibri"/>
          <w:color w:val="000000" w:themeColor="text1"/>
          <w:kern w:val="0"/>
          <w:lang w:eastAsia="en-GB"/>
          <w14:ligatures w14:val="none"/>
        </w:rPr>
        <w:t>gender might influence</w:t>
      </w:r>
      <w:r w:rsidR="00D51248" w:rsidRPr="008E0AA1">
        <w:rPr>
          <w:rFonts w:ascii="Calibri" w:eastAsia="Times New Roman" w:hAnsi="Calibri" w:cs="Calibri"/>
          <w:color w:val="000000" w:themeColor="text1"/>
          <w:kern w:val="0"/>
          <w:lang w:eastAsia="en-GB"/>
          <w14:ligatures w14:val="none"/>
        </w:rPr>
        <w:t xml:space="preserve"> play </w:t>
      </w:r>
      <w:r w:rsidRPr="008E0AA1">
        <w:rPr>
          <w:rFonts w:ascii="Calibri" w:eastAsia="Times New Roman" w:hAnsi="Calibri" w:cs="Calibri"/>
          <w:color w:val="000000" w:themeColor="text1"/>
          <w:kern w:val="0"/>
          <w:lang w:eastAsia="en-GB"/>
          <w14:ligatures w14:val="none"/>
        </w:rPr>
        <w:t>behaviour</w:t>
      </w:r>
      <w:r w:rsidR="00D51248" w:rsidRPr="008E0AA1">
        <w:rPr>
          <w:rFonts w:ascii="Calibri" w:eastAsia="Times New Roman" w:hAnsi="Calibri" w:cs="Calibri"/>
          <w:color w:val="000000" w:themeColor="text1"/>
          <w:kern w:val="0"/>
          <w:lang w:eastAsia="en-GB"/>
          <w14:ligatures w14:val="none"/>
        </w:rPr>
        <w:t xml:space="preserve"> and </w:t>
      </w:r>
      <w:r w:rsidRPr="008E0AA1">
        <w:rPr>
          <w:rFonts w:ascii="Calibri" w:eastAsia="Times New Roman" w:hAnsi="Calibri" w:cs="Calibri"/>
          <w:color w:val="000000" w:themeColor="text1"/>
          <w:kern w:val="0"/>
          <w:lang w:eastAsia="en-GB"/>
          <w14:ligatures w14:val="none"/>
        </w:rPr>
        <w:t xml:space="preserve">social interactions in </w:t>
      </w:r>
      <w:r w:rsidR="00D51248" w:rsidRPr="008E0AA1">
        <w:rPr>
          <w:rFonts w:ascii="Calibri" w:eastAsia="Times New Roman" w:hAnsi="Calibri" w:cs="Calibri"/>
          <w:color w:val="000000" w:themeColor="text1"/>
          <w:kern w:val="0"/>
          <w:lang w:eastAsia="en-GB"/>
          <w14:ligatures w14:val="none"/>
        </w:rPr>
        <w:t xml:space="preserve">the outdoor continuous provision area of a </w:t>
      </w:r>
      <w:r w:rsidRPr="008E0AA1">
        <w:rPr>
          <w:rFonts w:ascii="Calibri" w:eastAsia="Times New Roman" w:hAnsi="Calibri" w:cs="Calibri"/>
          <w:color w:val="000000" w:themeColor="text1"/>
          <w:kern w:val="0"/>
          <w:lang w:eastAsia="en-GB"/>
          <w14:ligatures w14:val="none"/>
        </w:rPr>
        <w:t>mixed-gender year one classroom. Observations of children gravitating towards specific areas within the outdoor learning environment, such as boys favouring construction zones and girls engaging with dolls, raise questions about the influence of these stereotypes. The research explore</w:t>
      </w:r>
      <w:r w:rsidR="00D51248" w:rsidRPr="008E0AA1">
        <w:rPr>
          <w:rFonts w:ascii="Calibri" w:eastAsia="Times New Roman" w:hAnsi="Calibri" w:cs="Calibri"/>
          <w:color w:val="000000" w:themeColor="text1"/>
          <w:kern w:val="0"/>
          <w:lang w:eastAsia="en-GB"/>
          <w14:ligatures w14:val="none"/>
        </w:rPr>
        <w:t>d</w:t>
      </w:r>
      <w:r w:rsidRPr="008E0AA1">
        <w:rPr>
          <w:rFonts w:ascii="Calibri" w:eastAsia="Times New Roman" w:hAnsi="Calibri" w:cs="Calibri"/>
          <w:color w:val="000000" w:themeColor="text1"/>
          <w:kern w:val="0"/>
          <w:lang w:eastAsia="en-GB"/>
          <w14:ligatures w14:val="none"/>
        </w:rPr>
        <w:t xml:space="preserve"> whether these patterns reflect underlying biases and how such limitations might hinder children's social development and ability to interact with each other</w:t>
      </w:r>
      <w:r w:rsidR="00D51248" w:rsidRPr="008E0AA1">
        <w:rPr>
          <w:rFonts w:ascii="Calibri" w:eastAsia="Times New Roman" w:hAnsi="Calibri" w:cs="Calibri"/>
          <w:color w:val="000000" w:themeColor="text1"/>
          <w:kern w:val="0"/>
          <w:lang w:eastAsia="en-GB"/>
          <w14:ligatures w14:val="none"/>
        </w:rPr>
        <w:t xml:space="preserve">. </w:t>
      </w:r>
    </w:p>
    <w:p w14:paraId="4C4043D2" w14:textId="77777777" w:rsidR="00587E34" w:rsidRPr="008E0AA1" w:rsidRDefault="00C06E10" w:rsidP="00587E34">
      <w:pPr>
        <w:spacing w:before="100" w:beforeAutospacing="1" w:after="100" w:afterAutospacing="1" w:line="360" w:lineRule="auto"/>
        <w:jc w:val="both"/>
        <w:rPr>
          <w:rFonts w:ascii="Calibri" w:eastAsia="Times New Roman" w:hAnsi="Calibri" w:cs="Calibri"/>
          <w:color w:val="000000" w:themeColor="text1"/>
          <w:kern w:val="0"/>
          <w:lang w:eastAsia="en-GB"/>
          <w14:ligatures w14:val="none"/>
        </w:rPr>
      </w:pPr>
      <w:r w:rsidRPr="008E0AA1">
        <w:rPr>
          <w:rFonts w:ascii="Calibri" w:eastAsia="Times New Roman" w:hAnsi="Calibri" w:cs="Calibri"/>
          <w:color w:val="000000" w:themeColor="text1"/>
          <w:kern w:val="0"/>
          <w:lang w:eastAsia="en-GB"/>
          <w14:ligatures w14:val="none"/>
        </w:rPr>
        <w:t xml:space="preserve">The overarching values and dispositions of the Professional Standards for Teaching and Leadership </w:t>
      </w:r>
      <w:r w:rsidRPr="00BB66AE">
        <w:rPr>
          <w:rFonts w:ascii="Calibri" w:eastAsia="Times New Roman" w:hAnsi="Calibri" w:cs="Calibri"/>
          <w:color w:val="000000" w:themeColor="text1"/>
          <w:kern w:val="0"/>
          <w:lang w:eastAsia="en-GB"/>
          <w14:ligatures w14:val="none"/>
        </w:rPr>
        <w:t xml:space="preserve">(Welsh Government, 2019) </w:t>
      </w:r>
      <w:r w:rsidRPr="008E0AA1">
        <w:rPr>
          <w:rFonts w:ascii="Calibri" w:eastAsia="Times New Roman" w:hAnsi="Calibri" w:cs="Calibri"/>
          <w:color w:val="000000" w:themeColor="text1"/>
          <w:kern w:val="0"/>
          <w:lang w:eastAsia="en-GB"/>
          <w14:ligatures w14:val="none"/>
        </w:rPr>
        <w:t xml:space="preserve">advocate core </w:t>
      </w:r>
      <w:r w:rsidR="006E240C" w:rsidRPr="008E0AA1">
        <w:rPr>
          <w:rFonts w:ascii="Calibri" w:eastAsia="Times New Roman" w:hAnsi="Calibri" w:cs="Calibri"/>
          <w:color w:val="000000" w:themeColor="text1"/>
          <w:kern w:val="0"/>
          <w:lang w:eastAsia="en-GB"/>
          <w14:ligatures w14:val="none"/>
        </w:rPr>
        <w:t>values, including</w:t>
      </w:r>
      <w:r w:rsidRPr="008E0AA1">
        <w:rPr>
          <w:rFonts w:ascii="Calibri" w:eastAsia="Times New Roman" w:hAnsi="Calibri" w:cs="Calibri"/>
          <w:color w:val="000000" w:themeColor="text1"/>
          <w:kern w:val="0"/>
          <w:lang w:eastAsia="en-GB"/>
          <w14:ligatures w14:val="none"/>
        </w:rPr>
        <w:t xml:space="preserve"> a commitment to ongoing improvement, professional development, collaboration, and innovation, all of which aim to </w:t>
      </w:r>
      <w:r w:rsidR="008A682C" w:rsidRPr="008E0AA1">
        <w:rPr>
          <w:rFonts w:ascii="Calibri" w:eastAsia="Times New Roman" w:hAnsi="Calibri" w:cs="Calibri"/>
          <w:color w:val="000000" w:themeColor="text1"/>
          <w:kern w:val="0"/>
          <w:lang w:eastAsia="en-GB"/>
          <w14:ligatures w14:val="none"/>
        </w:rPr>
        <w:t>benefit learners</w:t>
      </w:r>
      <w:r w:rsidRPr="008E0AA1">
        <w:rPr>
          <w:rFonts w:ascii="Calibri" w:eastAsia="Times New Roman" w:hAnsi="Calibri" w:cs="Calibri"/>
          <w:color w:val="000000" w:themeColor="text1"/>
          <w:kern w:val="0"/>
          <w:lang w:eastAsia="en-GB"/>
          <w14:ligatures w14:val="none"/>
        </w:rPr>
        <w:t xml:space="preserve">. </w:t>
      </w:r>
      <w:r w:rsidR="00587E34" w:rsidRPr="008E0AA1">
        <w:rPr>
          <w:rFonts w:ascii="Calibri" w:eastAsia="Times New Roman" w:hAnsi="Calibri" w:cs="Calibri"/>
          <w:color w:val="000000" w:themeColor="text1"/>
          <w:kern w:val="0"/>
          <w:lang w:eastAsia="en-GB"/>
          <w14:ligatures w14:val="none"/>
        </w:rPr>
        <w:t>Aligned with a passion for fostering inclusive learning environments, this investigation aims to shed light on these dynamics and their potential impact on children's social development.</w:t>
      </w:r>
    </w:p>
    <w:p w14:paraId="47B13E1C" w14:textId="77777777" w:rsidR="00AD4A56" w:rsidRPr="008E0AA1" w:rsidRDefault="00AD4A56" w:rsidP="00855FF2">
      <w:pPr>
        <w:spacing w:before="100" w:beforeAutospacing="1" w:after="100" w:afterAutospacing="1" w:line="360" w:lineRule="auto"/>
        <w:jc w:val="center"/>
        <w:rPr>
          <w:rFonts w:ascii="Calibri" w:eastAsia="Times New Roman" w:hAnsi="Calibri" w:cs="Calibri"/>
          <w:b/>
          <w:bCs/>
          <w:color w:val="000000" w:themeColor="text1"/>
          <w:kern w:val="0"/>
          <w:u w:val="single"/>
          <w:lang w:eastAsia="en-GB"/>
          <w14:ligatures w14:val="none"/>
        </w:rPr>
      </w:pPr>
      <w:r w:rsidRPr="008E0AA1">
        <w:rPr>
          <w:rFonts w:ascii="Calibri" w:eastAsia="Times New Roman" w:hAnsi="Calibri" w:cs="Calibri"/>
          <w:b/>
          <w:bCs/>
          <w:color w:val="000000" w:themeColor="text1"/>
          <w:kern w:val="0"/>
          <w:u w:val="single"/>
          <w:lang w:eastAsia="en-GB"/>
          <w14:ligatures w14:val="none"/>
        </w:rPr>
        <w:t>Research Context</w:t>
      </w:r>
    </w:p>
    <w:p w14:paraId="4503FC3C" w14:textId="452D0935" w:rsidR="003F4A17" w:rsidRPr="008E0AA1" w:rsidRDefault="008A682C" w:rsidP="00587E34">
      <w:pPr>
        <w:spacing w:before="100" w:beforeAutospacing="1" w:after="100" w:afterAutospacing="1" w:line="360" w:lineRule="auto"/>
        <w:jc w:val="both"/>
        <w:rPr>
          <w:rFonts w:ascii="Calibri" w:eastAsia="Times New Roman" w:hAnsi="Calibri" w:cs="Calibri"/>
          <w:color w:val="000000" w:themeColor="text1"/>
          <w:kern w:val="0"/>
          <w:u w:val="single"/>
          <w:lang w:eastAsia="en-GB"/>
          <w14:ligatures w14:val="none"/>
        </w:rPr>
      </w:pPr>
      <w:r w:rsidRPr="008E0AA1">
        <w:rPr>
          <w:rFonts w:ascii="Calibri" w:eastAsia="Times New Roman" w:hAnsi="Calibri" w:cs="Calibri"/>
          <w:color w:val="000000" w:themeColor="text1"/>
          <w:kern w:val="0"/>
          <w:lang w:eastAsia="en-GB"/>
          <w14:ligatures w14:val="none"/>
        </w:rPr>
        <w:t xml:space="preserve">According to the </w:t>
      </w:r>
      <w:r w:rsidRPr="00BB66AE">
        <w:rPr>
          <w:rFonts w:ascii="Calibri" w:eastAsia="Times New Roman" w:hAnsi="Calibri" w:cs="Calibri"/>
          <w:color w:val="000000" w:themeColor="text1"/>
          <w:kern w:val="0"/>
          <w:lang w:eastAsia="en-GB"/>
          <w14:ligatures w14:val="none"/>
        </w:rPr>
        <w:t xml:space="preserve">Welsh Government (2023), </w:t>
      </w:r>
      <w:r w:rsidR="003F4A17" w:rsidRPr="008E0AA1">
        <w:rPr>
          <w:rFonts w:ascii="Calibri" w:eastAsia="Times New Roman" w:hAnsi="Calibri" w:cs="Calibri"/>
          <w:color w:val="000000" w:themeColor="text1"/>
          <w:kern w:val="0"/>
          <w:lang w:eastAsia="en-GB"/>
          <w14:ligatures w14:val="none"/>
        </w:rPr>
        <w:t>School A</w:t>
      </w:r>
      <w:r w:rsidR="000660AD" w:rsidRPr="008E0AA1">
        <w:rPr>
          <w:rFonts w:ascii="Calibri" w:eastAsia="Times New Roman" w:hAnsi="Calibri" w:cs="Calibri"/>
          <w:color w:val="000000" w:themeColor="text1"/>
          <w:kern w:val="0"/>
          <w:lang w:eastAsia="en-GB"/>
          <w14:ligatures w14:val="none"/>
        </w:rPr>
        <w:t xml:space="preserve"> is a large, English-medium, mainstream, mixed-gender primary school situated in the Vale of Glamorgan. It has approximately 473 pupils on roll, 225 male pupils and 248 female </w:t>
      </w:r>
      <w:r w:rsidR="00DD67CD" w:rsidRPr="008E0AA1">
        <w:rPr>
          <w:rFonts w:ascii="Calibri" w:eastAsia="Times New Roman" w:hAnsi="Calibri" w:cs="Calibri"/>
          <w:color w:val="000000" w:themeColor="text1"/>
          <w:kern w:val="0"/>
          <w:lang w:eastAsia="en-GB"/>
          <w14:ligatures w14:val="none"/>
        </w:rPr>
        <w:t>pupils.</w:t>
      </w:r>
      <w:r w:rsidR="000660AD" w:rsidRPr="008E0AA1">
        <w:rPr>
          <w:rFonts w:ascii="Calibri" w:eastAsia="Times New Roman" w:hAnsi="Calibri" w:cs="Calibri"/>
          <w:color w:val="000000" w:themeColor="text1"/>
          <w:kern w:val="0"/>
          <w:lang w:eastAsia="en-GB"/>
          <w14:ligatures w14:val="none"/>
        </w:rPr>
        <w:t xml:space="preserve"> </w:t>
      </w:r>
    </w:p>
    <w:p w14:paraId="1707EF38" w14:textId="43D496DD" w:rsidR="00D16DF2" w:rsidRPr="008E0AA1" w:rsidRDefault="00D16DF2" w:rsidP="00587E34">
      <w:pPr>
        <w:spacing w:before="100" w:beforeAutospacing="1" w:after="100" w:afterAutospacing="1" w:line="360" w:lineRule="auto"/>
        <w:jc w:val="both"/>
        <w:rPr>
          <w:rFonts w:ascii="Calibri" w:eastAsia="Times New Roman" w:hAnsi="Calibri" w:cs="Calibri"/>
          <w:color w:val="000000" w:themeColor="text1"/>
          <w:kern w:val="0"/>
          <w:lang w:eastAsia="en-GB"/>
          <w14:ligatures w14:val="none"/>
        </w:rPr>
      </w:pPr>
      <w:r w:rsidRPr="008E0AA1">
        <w:rPr>
          <w:rFonts w:ascii="Calibri" w:eastAsia="Times New Roman" w:hAnsi="Calibri" w:cs="Calibri"/>
          <w:color w:val="000000" w:themeColor="text1"/>
          <w:kern w:val="0"/>
          <w:lang w:eastAsia="en-GB"/>
          <w14:ligatures w14:val="none"/>
        </w:rPr>
        <w:t xml:space="preserve">The class in which this research was undertaken has 30 pupils on roll, with 14 pupils identifying as girls and 16 pupils identifying as boys. </w:t>
      </w:r>
      <w:r w:rsidR="008E0AA1">
        <w:rPr>
          <w:rFonts w:ascii="Calibri" w:eastAsia="Times New Roman" w:hAnsi="Calibri" w:cs="Calibri"/>
          <w:color w:val="000000" w:themeColor="text1"/>
          <w:kern w:val="0"/>
          <w:lang w:eastAsia="en-GB"/>
          <w14:ligatures w14:val="none"/>
        </w:rPr>
        <w:t xml:space="preserve">The class utilised a </w:t>
      </w:r>
      <w:proofErr w:type="gramStart"/>
      <w:r w:rsidR="00DD67CD">
        <w:rPr>
          <w:rFonts w:ascii="Calibri" w:eastAsia="Times New Roman" w:hAnsi="Calibri" w:cs="Calibri"/>
          <w:color w:val="000000" w:themeColor="text1"/>
          <w:kern w:val="0"/>
          <w:lang w:eastAsia="en-GB"/>
          <w14:ligatures w14:val="none"/>
        </w:rPr>
        <w:t>mixed</w:t>
      </w:r>
      <w:r w:rsidR="00701BB6">
        <w:rPr>
          <w:rFonts w:ascii="Calibri" w:eastAsia="Times New Roman" w:hAnsi="Calibri" w:cs="Calibri"/>
          <w:color w:val="000000" w:themeColor="text1"/>
          <w:kern w:val="0"/>
          <w:lang w:eastAsia="en-GB"/>
          <w14:ligatures w14:val="none"/>
        </w:rPr>
        <w:t>-</w:t>
      </w:r>
      <w:r w:rsidR="00DD67CD">
        <w:rPr>
          <w:rFonts w:ascii="Calibri" w:eastAsia="Times New Roman" w:hAnsi="Calibri" w:cs="Calibri"/>
          <w:color w:val="000000" w:themeColor="text1"/>
          <w:kern w:val="0"/>
          <w:lang w:eastAsia="en-GB"/>
          <w14:ligatures w14:val="none"/>
        </w:rPr>
        <w:t>gender</w:t>
      </w:r>
      <w:proofErr w:type="gramEnd"/>
      <w:r w:rsidR="008E0AA1">
        <w:rPr>
          <w:rFonts w:ascii="Calibri" w:eastAsia="Times New Roman" w:hAnsi="Calibri" w:cs="Calibri"/>
          <w:color w:val="000000" w:themeColor="text1"/>
          <w:kern w:val="0"/>
          <w:lang w:eastAsia="en-GB"/>
          <w14:ligatures w14:val="none"/>
        </w:rPr>
        <w:t xml:space="preserve"> grouping system, splitting the class into half. During the main learning sessions, one group can access the outdoor provision, and the other group can access the indoor provision. The outdoor provision is divided into areas that include a construction area, transactional role play, stage area, physical area, mud kitchen, science area, small world play, water tray and sensory tray. Weekly </w:t>
      </w:r>
      <w:r w:rsidR="00701BB6">
        <w:rPr>
          <w:rFonts w:ascii="Calibri" w:eastAsia="Times New Roman" w:hAnsi="Calibri" w:cs="Calibri"/>
          <w:color w:val="000000" w:themeColor="text1"/>
          <w:kern w:val="0"/>
          <w:lang w:eastAsia="en-GB"/>
          <w14:ligatures w14:val="none"/>
        </w:rPr>
        <w:t xml:space="preserve">learning </w:t>
      </w:r>
      <w:r w:rsidR="008E0AA1">
        <w:rPr>
          <w:rFonts w:ascii="Calibri" w:eastAsia="Times New Roman" w:hAnsi="Calibri" w:cs="Calibri"/>
          <w:color w:val="000000" w:themeColor="text1"/>
          <w:kern w:val="0"/>
          <w:lang w:eastAsia="en-GB"/>
          <w14:ligatures w14:val="none"/>
        </w:rPr>
        <w:t xml:space="preserve">challenges are placed into some of the areas with targeted skills to be developed, whilst other areas remain open to free play. </w:t>
      </w:r>
    </w:p>
    <w:p w14:paraId="52BBBD56" w14:textId="77777777" w:rsidR="00D87843" w:rsidRPr="008E0AA1" w:rsidRDefault="00D87843">
      <w:pPr>
        <w:rPr>
          <w:rFonts w:ascii="Calibri" w:eastAsia="Times New Roman" w:hAnsi="Calibri" w:cs="Calibri"/>
          <w:b/>
          <w:bCs/>
          <w:color w:val="000000" w:themeColor="text1"/>
          <w:kern w:val="0"/>
          <w:u w:val="single"/>
          <w:lang w:eastAsia="en-GB"/>
          <w14:ligatures w14:val="none"/>
        </w:rPr>
      </w:pPr>
      <w:r w:rsidRPr="008E0AA1">
        <w:rPr>
          <w:rFonts w:ascii="Calibri" w:eastAsia="Times New Roman" w:hAnsi="Calibri" w:cs="Calibri"/>
          <w:b/>
          <w:bCs/>
          <w:color w:val="000000" w:themeColor="text1"/>
          <w:kern w:val="0"/>
          <w:u w:val="single"/>
          <w:lang w:eastAsia="en-GB"/>
          <w14:ligatures w14:val="none"/>
        </w:rPr>
        <w:br w:type="page"/>
      </w:r>
    </w:p>
    <w:p w14:paraId="3CF42DF5" w14:textId="7F0DE29E" w:rsidR="00E408A9" w:rsidRPr="008E0AA1" w:rsidRDefault="00AD4A56" w:rsidP="00855FF2">
      <w:pPr>
        <w:jc w:val="center"/>
        <w:rPr>
          <w:rFonts w:ascii="Times New Roman" w:eastAsia="Times New Roman" w:hAnsi="Times New Roman" w:cs="Times New Roman"/>
          <w:b/>
          <w:bCs/>
          <w:color w:val="000000" w:themeColor="text1"/>
          <w:kern w:val="0"/>
          <w:u w:val="single"/>
          <w:lang w:eastAsia="en-GB"/>
          <w14:ligatures w14:val="none"/>
        </w:rPr>
      </w:pPr>
      <w:r w:rsidRPr="008E0AA1">
        <w:rPr>
          <w:rFonts w:ascii="Calibri" w:eastAsia="Times New Roman" w:hAnsi="Calibri" w:cs="Calibri"/>
          <w:b/>
          <w:bCs/>
          <w:color w:val="000000" w:themeColor="text1"/>
          <w:kern w:val="0"/>
          <w:u w:val="single"/>
          <w:lang w:eastAsia="en-GB"/>
          <w14:ligatures w14:val="none"/>
        </w:rPr>
        <w:lastRenderedPageBreak/>
        <w:t>Literature Review</w:t>
      </w:r>
    </w:p>
    <w:p w14:paraId="6EEEA0ED" w14:textId="6D794124" w:rsidR="00701BB6" w:rsidRDefault="00701BB6" w:rsidP="0029424F">
      <w:pPr>
        <w:spacing w:before="100" w:beforeAutospacing="1" w:after="100" w:afterAutospacing="1" w:line="360" w:lineRule="auto"/>
        <w:jc w:val="both"/>
        <w:rPr>
          <w:rFonts w:ascii="Calibri" w:hAnsi="Calibri" w:cs="Calibri"/>
          <w:color w:val="000000" w:themeColor="text1"/>
        </w:rPr>
      </w:pPr>
      <w:r w:rsidRPr="00701BB6">
        <w:rPr>
          <w:rFonts w:ascii="Calibri" w:hAnsi="Calibri" w:cs="Calibri"/>
          <w:color w:val="000000" w:themeColor="text1"/>
        </w:rPr>
        <w:t xml:space="preserve">Children's understanding of gender significantly shapes their social interactions and play </w:t>
      </w:r>
      <w:r w:rsidRPr="00701BB6">
        <w:rPr>
          <w:rFonts w:ascii="Calibri" w:hAnsi="Calibri" w:cs="Calibri"/>
          <w:color w:val="000000" w:themeColor="text1"/>
        </w:rPr>
        <w:t>behaviours</w:t>
      </w:r>
      <w:r w:rsidRPr="00701BB6">
        <w:rPr>
          <w:rFonts w:ascii="Calibri" w:hAnsi="Calibri" w:cs="Calibri"/>
          <w:color w:val="000000" w:themeColor="text1"/>
        </w:rPr>
        <w:t xml:space="preserve">, particularly within outdoor learning environments. While the terms "sex" and "gender" are often used interchangeably, they hold distinct meanings. Sex refers to biological characteristics, while gender is a social construct shaped by cultural expectations and norms </w:t>
      </w:r>
      <w:r w:rsidRPr="00BB66AE">
        <w:rPr>
          <w:rFonts w:ascii="Calibri" w:hAnsi="Calibri" w:cs="Calibri"/>
          <w:color w:val="000000" w:themeColor="text1"/>
        </w:rPr>
        <w:t xml:space="preserve">(Chapman, 2016). The United Nations (2024) </w:t>
      </w:r>
      <w:r w:rsidRPr="00701BB6">
        <w:rPr>
          <w:rFonts w:ascii="Calibri" w:hAnsi="Calibri" w:cs="Calibri"/>
          <w:color w:val="000000" w:themeColor="text1"/>
        </w:rPr>
        <w:t>defines gender stereotypes as "generali</w:t>
      </w:r>
      <w:r>
        <w:rPr>
          <w:rFonts w:ascii="Calibri" w:hAnsi="Calibri" w:cs="Calibri"/>
          <w:color w:val="000000" w:themeColor="text1"/>
        </w:rPr>
        <w:t>s</w:t>
      </w:r>
      <w:r w:rsidRPr="00701BB6">
        <w:rPr>
          <w:rFonts w:ascii="Calibri" w:hAnsi="Calibri" w:cs="Calibri"/>
          <w:color w:val="000000" w:themeColor="text1"/>
        </w:rPr>
        <w:t>ed views or preconceptions about attributes or characteristics, or the roles that are or ought to be possessed by, or performed by, women and men."</w:t>
      </w:r>
      <w:r w:rsidRPr="00701BB6">
        <w:rPr>
          <w:rFonts w:ascii="-webkit-standard" w:hAnsi="-webkit-standard"/>
          <w:color w:val="000000"/>
          <w:sz w:val="27"/>
          <w:szCs w:val="27"/>
        </w:rPr>
        <w:t xml:space="preserve"> </w:t>
      </w:r>
      <w:r w:rsidRPr="00701BB6">
        <w:rPr>
          <w:rFonts w:ascii="Calibri" w:hAnsi="Calibri" w:cs="Calibri"/>
          <w:color w:val="000000" w:themeColor="text1"/>
        </w:rPr>
        <w:t>Th</w:t>
      </w:r>
      <w:r w:rsidRPr="00BB66AE">
        <w:rPr>
          <w:rFonts w:ascii="Calibri" w:hAnsi="Calibri" w:cs="Calibri"/>
          <w:color w:val="000000" w:themeColor="text1"/>
        </w:rPr>
        <w:t>e Welsh Government's (202</w:t>
      </w:r>
      <w:r w:rsidR="00BB66AE" w:rsidRPr="00BB66AE">
        <w:rPr>
          <w:rFonts w:ascii="Calibri" w:hAnsi="Calibri" w:cs="Calibri"/>
          <w:color w:val="000000" w:themeColor="text1"/>
        </w:rPr>
        <w:t>2</w:t>
      </w:r>
      <w:r w:rsidRPr="00BB66AE">
        <w:rPr>
          <w:rFonts w:ascii="Calibri" w:hAnsi="Calibri" w:cs="Calibri"/>
          <w:color w:val="000000" w:themeColor="text1"/>
        </w:rPr>
        <w:t xml:space="preserve">) </w:t>
      </w:r>
      <w:r w:rsidRPr="00701BB6">
        <w:rPr>
          <w:rFonts w:ascii="Calibri" w:hAnsi="Calibri" w:cs="Calibri"/>
          <w:color w:val="000000" w:themeColor="text1"/>
        </w:rPr>
        <w:t>statutory guidance on relationships and sexuality education, focusing on equity and inclusivity, empowers learners to be agents of change regardless of gender. This shift could be pivotal in breaking societal norms and challenging stereotypical perspectives.</w:t>
      </w:r>
    </w:p>
    <w:p w14:paraId="41D20D27" w14:textId="3BFCD5BC" w:rsidR="00701BB6" w:rsidRDefault="00701BB6" w:rsidP="0029424F">
      <w:pPr>
        <w:spacing w:before="100" w:beforeAutospacing="1" w:after="100" w:afterAutospacing="1" w:line="360" w:lineRule="auto"/>
        <w:jc w:val="both"/>
        <w:rPr>
          <w:rFonts w:ascii="Calibri" w:hAnsi="Calibri" w:cs="Calibri"/>
          <w:color w:val="000000" w:themeColor="text1"/>
        </w:rPr>
      </w:pPr>
      <w:r w:rsidRPr="00701BB6">
        <w:rPr>
          <w:rFonts w:ascii="Calibri" w:hAnsi="Calibri" w:cs="Calibri"/>
          <w:color w:val="000000" w:themeColor="text1"/>
        </w:rPr>
        <w:t>Play is recogni</w:t>
      </w:r>
      <w:r>
        <w:rPr>
          <w:rFonts w:ascii="Calibri" w:hAnsi="Calibri" w:cs="Calibri"/>
          <w:color w:val="000000" w:themeColor="text1"/>
        </w:rPr>
        <w:t>s</w:t>
      </w:r>
      <w:r w:rsidRPr="00701BB6">
        <w:rPr>
          <w:rFonts w:ascii="Calibri" w:hAnsi="Calibri" w:cs="Calibri"/>
          <w:color w:val="000000" w:themeColor="text1"/>
        </w:rPr>
        <w:t xml:space="preserve">ed as crucial for children's development, encompassing social skills, physical growth, creativity, and cognitive </w:t>
      </w:r>
      <w:r w:rsidRPr="00BB66AE">
        <w:rPr>
          <w:rFonts w:ascii="Calibri" w:hAnsi="Calibri" w:cs="Calibri"/>
          <w:color w:val="000000" w:themeColor="text1"/>
        </w:rPr>
        <w:t>abilities (</w:t>
      </w:r>
      <w:proofErr w:type="spellStart"/>
      <w:r w:rsidRPr="00BB66AE">
        <w:rPr>
          <w:rFonts w:ascii="Calibri" w:hAnsi="Calibri" w:cs="Calibri"/>
          <w:color w:val="000000" w:themeColor="text1"/>
        </w:rPr>
        <w:t>MacBlain</w:t>
      </w:r>
      <w:proofErr w:type="spellEnd"/>
      <w:r w:rsidRPr="00BB66AE">
        <w:rPr>
          <w:rFonts w:ascii="Calibri" w:hAnsi="Calibri" w:cs="Calibri"/>
          <w:color w:val="000000" w:themeColor="text1"/>
        </w:rPr>
        <w:t xml:space="preserve">, 2014; Bruce, 2010; </w:t>
      </w:r>
      <w:proofErr w:type="spellStart"/>
      <w:r w:rsidRPr="00BB66AE">
        <w:rPr>
          <w:rFonts w:ascii="Calibri" w:hAnsi="Calibri" w:cs="Calibri"/>
          <w:color w:val="000000" w:themeColor="text1"/>
        </w:rPr>
        <w:t>Fromberg</w:t>
      </w:r>
      <w:proofErr w:type="spellEnd"/>
      <w:r w:rsidRPr="00BB66AE">
        <w:rPr>
          <w:rFonts w:ascii="Calibri" w:hAnsi="Calibri" w:cs="Calibri"/>
          <w:color w:val="000000" w:themeColor="text1"/>
        </w:rPr>
        <w:t xml:space="preserve">, 2005). </w:t>
      </w:r>
      <w:r w:rsidRPr="00701BB6">
        <w:rPr>
          <w:rFonts w:ascii="Calibri" w:hAnsi="Calibri" w:cs="Calibri"/>
          <w:color w:val="000000" w:themeColor="text1"/>
        </w:rPr>
        <w:t>However, societal gender norms can limit the scope for inclusive exploration in outdoor play experiences. Studies consistently show that young children exhibit gender-typical play patterns that persist into later stages of childhood. Boys gravitate towards active play in larger groups, while girls favo</w:t>
      </w:r>
      <w:r>
        <w:rPr>
          <w:rFonts w:ascii="Calibri" w:hAnsi="Calibri" w:cs="Calibri"/>
          <w:color w:val="000000" w:themeColor="text1"/>
        </w:rPr>
        <w:t>u</w:t>
      </w:r>
      <w:r w:rsidRPr="00701BB6">
        <w:rPr>
          <w:rFonts w:ascii="Calibri" w:hAnsi="Calibri" w:cs="Calibri"/>
          <w:color w:val="000000" w:themeColor="text1"/>
        </w:rPr>
        <w:t xml:space="preserve">r cooperative play in smaller settings </w:t>
      </w:r>
      <w:r w:rsidRPr="00BB66AE">
        <w:rPr>
          <w:rFonts w:ascii="Calibri" w:hAnsi="Calibri" w:cs="Calibri"/>
          <w:color w:val="000000" w:themeColor="text1"/>
        </w:rPr>
        <w:t>(</w:t>
      </w:r>
      <w:proofErr w:type="spellStart"/>
      <w:r w:rsidRPr="00BB66AE">
        <w:rPr>
          <w:rFonts w:ascii="Calibri" w:hAnsi="Calibri" w:cs="Calibri"/>
          <w:color w:val="000000" w:themeColor="text1"/>
        </w:rPr>
        <w:t>Weisgram</w:t>
      </w:r>
      <w:proofErr w:type="spellEnd"/>
      <w:r w:rsidRPr="00BB66AE">
        <w:rPr>
          <w:rFonts w:ascii="Calibri" w:hAnsi="Calibri" w:cs="Calibri"/>
          <w:color w:val="000000" w:themeColor="text1"/>
        </w:rPr>
        <w:t xml:space="preserve">, 2019). </w:t>
      </w:r>
      <w:r w:rsidRPr="00701BB6">
        <w:rPr>
          <w:rFonts w:ascii="Calibri" w:hAnsi="Calibri" w:cs="Calibri"/>
          <w:color w:val="000000" w:themeColor="text1"/>
        </w:rPr>
        <w:t>These distinctions can lead to disparate childhood experiences.</w:t>
      </w:r>
    </w:p>
    <w:p w14:paraId="0DE8FBB8" w14:textId="373C4AC7" w:rsidR="00701BB6" w:rsidRDefault="00701BB6" w:rsidP="0029424F">
      <w:pPr>
        <w:spacing w:before="100" w:beforeAutospacing="1" w:after="100" w:afterAutospacing="1" w:line="360" w:lineRule="auto"/>
        <w:jc w:val="both"/>
        <w:rPr>
          <w:rFonts w:ascii="Calibri" w:hAnsi="Calibri" w:cs="Calibri"/>
          <w:color w:val="000000" w:themeColor="text1"/>
        </w:rPr>
      </w:pPr>
      <w:r w:rsidRPr="00701BB6">
        <w:rPr>
          <w:rFonts w:ascii="Calibri" w:hAnsi="Calibri" w:cs="Calibri"/>
          <w:color w:val="000000" w:themeColor="text1"/>
        </w:rPr>
        <w:t xml:space="preserve">Unconscious teacher bias can significantly influence how children view themselves and interact with their environment. Research by </w:t>
      </w:r>
      <w:r w:rsidRPr="00BB66AE">
        <w:rPr>
          <w:rFonts w:ascii="Calibri" w:hAnsi="Calibri" w:cs="Calibri"/>
          <w:color w:val="000000" w:themeColor="text1"/>
        </w:rPr>
        <w:t xml:space="preserve">Andersen (2023) </w:t>
      </w:r>
      <w:r w:rsidRPr="00701BB6">
        <w:rPr>
          <w:rFonts w:ascii="Calibri" w:hAnsi="Calibri" w:cs="Calibri"/>
          <w:color w:val="000000" w:themeColor="text1"/>
        </w:rPr>
        <w:t xml:space="preserve">suggests these biases can unintentionally promote gender differences in student outcomes through reinforcing widely accepted norms. </w:t>
      </w:r>
      <w:proofErr w:type="spellStart"/>
      <w:r w:rsidRPr="00BB66AE">
        <w:rPr>
          <w:rFonts w:ascii="Calibri" w:hAnsi="Calibri" w:cs="Calibri"/>
          <w:color w:val="000000" w:themeColor="text1"/>
        </w:rPr>
        <w:t>Carlana</w:t>
      </w:r>
      <w:proofErr w:type="spellEnd"/>
      <w:r w:rsidRPr="00BB66AE">
        <w:rPr>
          <w:rFonts w:ascii="Calibri" w:hAnsi="Calibri" w:cs="Calibri"/>
          <w:color w:val="000000" w:themeColor="text1"/>
        </w:rPr>
        <w:t xml:space="preserve"> (2019) </w:t>
      </w:r>
      <w:r w:rsidRPr="00701BB6">
        <w:rPr>
          <w:rFonts w:ascii="Calibri" w:hAnsi="Calibri" w:cs="Calibri"/>
          <w:color w:val="000000" w:themeColor="text1"/>
        </w:rPr>
        <w:t>further emphasi</w:t>
      </w:r>
      <w:r>
        <w:rPr>
          <w:rFonts w:ascii="Calibri" w:hAnsi="Calibri" w:cs="Calibri"/>
          <w:color w:val="000000" w:themeColor="text1"/>
        </w:rPr>
        <w:t>s</w:t>
      </w:r>
      <w:r w:rsidRPr="00701BB6">
        <w:rPr>
          <w:rFonts w:ascii="Calibri" w:hAnsi="Calibri" w:cs="Calibri"/>
          <w:color w:val="000000" w:themeColor="text1"/>
        </w:rPr>
        <w:t>es the negative impact of unconscious bias and gender stereotypes on children's self-concept. Therefore, teachers play a critical role in dismantling these preconceived notions and fostering inclusive learning environments for all students.</w:t>
      </w:r>
    </w:p>
    <w:p w14:paraId="55CCE8FB" w14:textId="77915BD4" w:rsidR="00701BB6" w:rsidRDefault="00701BB6" w:rsidP="0029424F">
      <w:pPr>
        <w:spacing w:before="100" w:beforeAutospacing="1" w:after="100" w:afterAutospacing="1" w:line="360" w:lineRule="auto"/>
        <w:jc w:val="both"/>
        <w:rPr>
          <w:rFonts w:ascii="Calibri" w:hAnsi="Calibri" w:cs="Calibri"/>
          <w:color w:val="000000" w:themeColor="text1"/>
        </w:rPr>
      </w:pPr>
      <w:r w:rsidRPr="00701BB6">
        <w:rPr>
          <w:rFonts w:ascii="Calibri" w:hAnsi="Calibri" w:cs="Calibri"/>
          <w:color w:val="000000" w:themeColor="text1"/>
        </w:rPr>
        <w:t>The potential for gendered play to constrain social interactions highlights the necessity for strategies fostering inclusivity in outdoor learning environments. Research by</w:t>
      </w:r>
      <w:r w:rsidRPr="005F6BED">
        <w:rPr>
          <w:rFonts w:ascii="Calibri" w:hAnsi="Calibri" w:cs="Calibri"/>
          <w:color w:val="FF0000"/>
        </w:rPr>
        <w:t xml:space="preserve"> </w:t>
      </w:r>
      <w:proofErr w:type="spellStart"/>
      <w:r w:rsidRPr="00BB66AE">
        <w:rPr>
          <w:rFonts w:ascii="Calibri" w:hAnsi="Calibri" w:cs="Calibri"/>
          <w:color w:val="000000" w:themeColor="text1"/>
        </w:rPr>
        <w:t>Stutey</w:t>
      </w:r>
      <w:proofErr w:type="spellEnd"/>
      <w:r w:rsidRPr="00BB66AE">
        <w:rPr>
          <w:rFonts w:ascii="Calibri" w:hAnsi="Calibri" w:cs="Calibri"/>
          <w:color w:val="000000" w:themeColor="text1"/>
        </w:rPr>
        <w:t xml:space="preserve"> et al. (2020) </w:t>
      </w:r>
      <w:r w:rsidRPr="00701BB6">
        <w:rPr>
          <w:rFonts w:ascii="Calibri" w:hAnsi="Calibri" w:cs="Calibri"/>
          <w:color w:val="000000" w:themeColor="text1"/>
        </w:rPr>
        <w:t xml:space="preserve">and </w:t>
      </w:r>
      <w:r w:rsidRPr="00BB66AE">
        <w:rPr>
          <w:rFonts w:ascii="Calibri" w:hAnsi="Calibri" w:cs="Calibri"/>
          <w:color w:val="000000" w:themeColor="text1"/>
        </w:rPr>
        <w:t xml:space="preserve">Kung (2021) </w:t>
      </w:r>
      <w:r w:rsidRPr="00701BB6">
        <w:rPr>
          <w:rFonts w:ascii="Calibri" w:hAnsi="Calibri" w:cs="Calibri"/>
          <w:color w:val="000000" w:themeColor="text1"/>
        </w:rPr>
        <w:t>underscores that children internali</w:t>
      </w:r>
      <w:r>
        <w:rPr>
          <w:rFonts w:ascii="Calibri" w:hAnsi="Calibri" w:cs="Calibri"/>
          <w:color w:val="000000" w:themeColor="text1"/>
        </w:rPr>
        <w:t>s</w:t>
      </w:r>
      <w:r w:rsidRPr="00701BB6">
        <w:rPr>
          <w:rFonts w:ascii="Calibri" w:hAnsi="Calibri" w:cs="Calibri"/>
          <w:color w:val="000000" w:themeColor="text1"/>
        </w:rPr>
        <w:t xml:space="preserve">e these gendered norms early on, affecting their choice of toys and play approaches. This aligns with the broader body of </w:t>
      </w:r>
      <w:r w:rsidRPr="00701BB6">
        <w:rPr>
          <w:rFonts w:ascii="Calibri" w:hAnsi="Calibri" w:cs="Calibri"/>
          <w:color w:val="000000" w:themeColor="text1"/>
        </w:rPr>
        <w:lastRenderedPageBreak/>
        <w:t xml:space="preserve">research, as highlighted by </w:t>
      </w:r>
      <w:proofErr w:type="spellStart"/>
      <w:r w:rsidRPr="00BB66AE">
        <w:rPr>
          <w:rFonts w:ascii="Calibri" w:hAnsi="Calibri" w:cs="Calibri"/>
          <w:color w:val="000000" w:themeColor="text1"/>
        </w:rPr>
        <w:t>Mayeza</w:t>
      </w:r>
      <w:proofErr w:type="spellEnd"/>
      <w:r w:rsidRPr="00BB66AE">
        <w:rPr>
          <w:rFonts w:ascii="Calibri" w:hAnsi="Calibri" w:cs="Calibri"/>
          <w:color w:val="000000" w:themeColor="text1"/>
        </w:rPr>
        <w:t xml:space="preserve"> (2017), </w:t>
      </w:r>
      <w:r w:rsidRPr="00701BB6">
        <w:rPr>
          <w:rFonts w:ascii="Calibri" w:hAnsi="Calibri" w:cs="Calibri"/>
          <w:color w:val="000000" w:themeColor="text1"/>
        </w:rPr>
        <w:t>emphasi</w:t>
      </w:r>
      <w:r>
        <w:rPr>
          <w:rFonts w:ascii="Calibri" w:hAnsi="Calibri" w:cs="Calibri"/>
          <w:color w:val="000000" w:themeColor="text1"/>
        </w:rPr>
        <w:t>s</w:t>
      </w:r>
      <w:r w:rsidRPr="00701BB6">
        <w:rPr>
          <w:rFonts w:ascii="Calibri" w:hAnsi="Calibri" w:cs="Calibri"/>
          <w:color w:val="000000" w:themeColor="text1"/>
        </w:rPr>
        <w:t>ing the impact of gender on play behavio</w:t>
      </w:r>
      <w:r>
        <w:rPr>
          <w:rFonts w:ascii="Calibri" w:hAnsi="Calibri" w:cs="Calibri"/>
          <w:color w:val="000000" w:themeColor="text1"/>
        </w:rPr>
        <w:t>u</w:t>
      </w:r>
      <w:r w:rsidRPr="00701BB6">
        <w:rPr>
          <w:rFonts w:ascii="Calibri" w:hAnsi="Calibri" w:cs="Calibri"/>
          <w:color w:val="000000" w:themeColor="text1"/>
        </w:rPr>
        <w:t>rs within educational settings.</w:t>
      </w:r>
    </w:p>
    <w:p w14:paraId="139FF134" w14:textId="0BA72230" w:rsidR="00701BB6" w:rsidRDefault="00701BB6" w:rsidP="0029424F">
      <w:pPr>
        <w:spacing w:before="100" w:beforeAutospacing="1" w:after="100" w:afterAutospacing="1" w:line="360" w:lineRule="auto"/>
        <w:jc w:val="both"/>
        <w:rPr>
          <w:rFonts w:ascii="Calibri" w:hAnsi="Calibri" w:cs="Calibri"/>
          <w:color w:val="000000" w:themeColor="text1"/>
        </w:rPr>
      </w:pPr>
      <w:r w:rsidRPr="00701BB6">
        <w:rPr>
          <w:rFonts w:ascii="Calibri" w:hAnsi="Calibri" w:cs="Calibri"/>
          <w:color w:val="000000" w:themeColor="text1"/>
        </w:rPr>
        <w:t>Notably, social learning influences children's play behavio</w:t>
      </w:r>
      <w:r>
        <w:rPr>
          <w:rFonts w:ascii="Calibri" w:hAnsi="Calibri" w:cs="Calibri"/>
          <w:color w:val="000000" w:themeColor="text1"/>
        </w:rPr>
        <w:t>u</w:t>
      </w:r>
      <w:r w:rsidRPr="00701BB6">
        <w:rPr>
          <w:rFonts w:ascii="Calibri" w:hAnsi="Calibri" w:cs="Calibri"/>
          <w:color w:val="000000" w:themeColor="text1"/>
        </w:rPr>
        <w:t xml:space="preserve">rs, often outweighing inherent biological predispositions </w:t>
      </w:r>
      <w:r w:rsidRPr="00BB66AE">
        <w:rPr>
          <w:rFonts w:ascii="Calibri" w:hAnsi="Calibri" w:cs="Calibri"/>
          <w:color w:val="000000" w:themeColor="text1"/>
        </w:rPr>
        <w:t xml:space="preserve">(Maccoby, 2000). Coyne et al. (2014) </w:t>
      </w:r>
      <w:r w:rsidRPr="00701BB6">
        <w:rPr>
          <w:rFonts w:ascii="Calibri" w:hAnsi="Calibri" w:cs="Calibri"/>
          <w:color w:val="000000" w:themeColor="text1"/>
        </w:rPr>
        <w:t xml:space="preserve">further stress the role of gender stereotypes perpetuated through media, toys, and adult interactions. For instance, the absence of diverse play materials in outdoor settings might dissuade girls from engaging in activities like block play, limiting their exposure to spatial reasoning and problem-solving skills typically associated with such play. </w:t>
      </w:r>
      <w:r w:rsidRPr="00BB66AE">
        <w:rPr>
          <w:rFonts w:ascii="Calibri" w:hAnsi="Calibri" w:cs="Calibri"/>
          <w:color w:val="000000" w:themeColor="text1"/>
        </w:rPr>
        <w:t xml:space="preserve">O’Connor et al. (2017) </w:t>
      </w:r>
      <w:r w:rsidRPr="00701BB6">
        <w:rPr>
          <w:rFonts w:ascii="Calibri" w:hAnsi="Calibri" w:cs="Calibri"/>
          <w:color w:val="000000" w:themeColor="text1"/>
        </w:rPr>
        <w:t>reinforce that play is not gender-exclusive and advocate for embracing all forms of play to foster holistic skill development.</w:t>
      </w:r>
    </w:p>
    <w:p w14:paraId="32841485" w14:textId="57AFBB09" w:rsidR="00701BB6" w:rsidRDefault="00701BB6" w:rsidP="0029424F">
      <w:pPr>
        <w:spacing w:before="100" w:beforeAutospacing="1" w:after="100" w:afterAutospacing="1" w:line="360" w:lineRule="auto"/>
        <w:jc w:val="both"/>
        <w:rPr>
          <w:rFonts w:ascii="Calibri" w:hAnsi="Calibri" w:cs="Calibri"/>
          <w:color w:val="000000" w:themeColor="text1"/>
        </w:rPr>
      </w:pPr>
      <w:r w:rsidRPr="00701BB6">
        <w:rPr>
          <w:rFonts w:ascii="Calibri" w:hAnsi="Calibri" w:cs="Calibri"/>
          <w:color w:val="000000" w:themeColor="text1"/>
        </w:rPr>
        <w:t xml:space="preserve">Research suggests that gender stereotypes can have an adverse effect on the development of children's skills and learning. </w:t>
      </w:r>
      <w:r w:rsidRPr="00BB66AE">
        <w:rPr>
          <w:rFonts w:ascii="Calibri" w:hAnsi="Calibri" w:cs="Calibri"/>
          <w:color w:val="000000" w:themeColor="text1"/>
        </w:rPr>
        <w:t xml:space="preserve">Spinner et al. (2021) </w:t>
      </w:r>
      <w:proofErr w:type="gramStart"/>
      <w:r w:rsidRPr="00701BB6">
        <w:rPr>
          <w:rFonts w:ascii="Calibri" w:hAnsi="Calibri" w:cs="Calibri"/>
          <w:color w:val="000000" w:themeColor="text1"/>
        </w:rPr>
        <w:t>support</w:t>
      </w:r>
      <w:proofErr w:type="gramEnd"/>
      <w:r>
        <w:rPr>
          <w:rFonts w:ascii="Calibri" w:hAnsi="Calibri" w:cs="Calibri"/>
          <w:color w:val="000000" w:themeColor="text1"/>
        </w:rPr>
        <w:t xml:space="preserve"> </w:t>
      </w:r>
      <w:r w:rsidRPr="00701BB6">
        <w:rPr>
          <w:rFonts w:ascii="Calibri" w:hAnsi="Calibri" w:cs="Calibri"/>
          <w:color w:val="000000" w:themeColor="text1"/>
        </w:rPr>
        <w:t>this view by suggesting that children are often discouraged from engaging in activities deemed suitable for the opposite gender, leading to missed opportunities for growth</w:t>
      </w:r>
      <w:r w:rsidRPr="00BB66AE">
        <w:rPr>
          <w:rFonts w:ascii="Calibri" w:hAnsi="Calibri" w:cs="Calibri"/>
          <w:color w:val="000000" w:themeColor="text1"/>
        </w:rPr>
        <w:t xml:space="preserve">. </w:t>
      </w:r>
      <w:proofErr w:type="spellStart"/>
      <w:r w:rsidRPr="00BB66AE">
        <w:rPr>
          <w:rFonts w:ascii="Calibri" w:hAnsi="Calibri" w:cs="Calibri"/>
          <w:color w:val="000000" w:themeColor="text1"/>
        </w:rPr>
        <w:t>Weisgram</w:t>
      </w:r>
      <w:proofErr w:type="spellEnd"/>
      <w:r w:rsidRPr="00BB66AE">
        <w:rPr>
          <w:rFonts w:ascii="Calibri" w:hAnsi="Calibri" w:cs="Calibri"/>
          <w:color w:val="000000" w:themeColor="text1"/>
        </w:rPr>
        <w:t xml:space="preserve"> (2019) </w:t>
      </w:r>
      <w:r w:rsidRPr="00701BB6">
        <w:rPr>
          <w:rFonts w:ascii="Calibri" w:hAnsi="Calibri" w:cs="Calibri"/>
          <w:color w:val="000000" w:themeColor="text1"/>
        </w:rPr>
        <w:t>further states that the impact of gender stereotypes in play can even go on to influence occupations subjected to traditional stereotypes.</w:t>
      </w:r>
    </w:p>
    <w:p w14:paraId="5272E562" w14:textId="42DEB2D8" w:rsidR="00701BB6" w:rsidRDefault="005F6BED" w:rsidP="00BE457A">
      <w:pPr>
        <w:spacing w:line="360" w:lineRule="auto"/>
        <w:jc w:val="both"/>
        <w:rPr>
          <w:rFonts w:ascii="Calibri" w:hAnsi="Calibri" w:cs="Calibri"/>
          <w:color w:val="000000" w:themeColor="text1"/>
        </w:rPr>
      </w:pPr>
      <w:r>
        <w:rPr>
          <w:rFonts w:ascii="Calibri" w:hAnsi="Calibri" w:cs="Calibri"/>
          <w:color w:val="000000" w:themeColor="text1"/>
        </w:rPr>
        <w:t xml:space="preserve">Albert </w:t>
      </w:r>
      <w:r w:rsidR="00701BB6" w:rsidRPr="00BB66AE">
        <w:rPr>
          <w:rFonts w:ascii="Calibri" w:hAnsi="Calibri" w:cs="Calibri"/>
          <w:color w:val="000000" w:themeColor="text1"/>
        </w:rPr>
        <w:t xml:space="preserve">Bandura's Social Learning Theory (1971) </w:t>
      </w:r>
      <w:r w:rsidR="00701BB6" w:rsidRPr="00701BB6">
        <w:rPr>
          <w:rFonts w:ascii="Calibri" w:hAnsi="Calibri" w:cs="Calibri"/>
          <w:color w:val="000000" w:themeColor="text1"/>
        </w:rPr>
        <w:t>offers insights into how children internali</w:t>
      </w:r>
      <w:r w:rsidR="00701BB6">
        <w:rPr>
          <w:rFonts w:ascii="Calibri" w:hAnsi="Calibri" w:cs="Calibri"/>
          <w:color w:val="000000" w:themeColor="text1"/>
        </w:rPr>
        <w:t>s</w:t>
      </w:r>
      <w:r w:rsidR="00701BB6" w:rsidRPr="00701BB6">
        <w:rPr>
          <w:rFonts w:ascii="Calibri" w:hAnsi="Calibri" w:cs="Calibri"/>
          <w:color w:val="000000" w:themeColor="text1"/>
        </w:rPr>
        <w:t xml:space="preserve">e gender stereotypes through observational learning. Here, they mimic </w:t>
      </w:r>
      <w:r w:rsidR="00701BB6" w:rsidRPr="00701BB6">
        <w:rPr>
          <w:rFonts w:ascii="Calibri" w:hAnsi="Calibri" w:cs="Calibri"/>
          <w:color w:val="000000" w:themeColor="text1"/>
        </w:rPr>
        <w:t>behaviours</w:t>
      </w:r>
      <w:r w:rsidR="00701BB6" w:rsidRPr="00701BB6">
        <w:rPr>
          <w:rFonts w:ascii="Calibri" w:hAnsi="Calibri" w:cs="Calibri"/>
          <w:color w:val="000000" w:themeColor="text1"/>
        </w:rPr>
        <w:t xml:space="preserve"> rewarded by significant figures like parents and teachers. Such differential reinforcement can influence children's perceptions of gender-appropriate activities. Moreover, exposure to gendered portrayals in media further reinforces these stereotypes. Therefore, examining the interplay between sociali</w:t>
      </w:r>
      <w:r w:rsidR="00701BB6">
        <w:rPr>
          <w:rFonts w:ascii="Calibri" w:hAnsi="Calibri" w:cs="Calibri"/>
          <w:color w:val="000000" w:themeColor="text1"/>
        </w:rPr>
        <w:t>s</w:t>
      </w:r>
      <w:r w:rsidR="00701BB6" w:rsidRPr="00701BB6">
        <w:rPr>
          <w:rFonts w:ascii="Calibri" w:hAnsi="Calibri" w:cs="Calibri"/>
          <w:color w:val="000000" w:themeColor="text1"/>
        </w:rPr>
        <w:t>ation processes and outdoor environments can inform efforts to promote inclusivity and gender diversity in outdoor learning spaces.</w:t>
      </w:r>
    </w:p>
    <w:p w14:paraId="743CD869" w14:textId="77777777" w:rsidR="00701BB6" w:rsidRDefault="00701BB6" w:rsidP="00BE457A">
      <w:pPr>
        <w:spacing w:line="360" w:lineRule="auto"/>
        <w:jc w:val="both"/>
        <w:rPr>
          <w:rFonts w:ascii="Calibri" w:hAnsi="Calibri" w:cs="Calibri"/>
          <w:color w:val="000000" w:themeColor="text1"/>
        </w:rPr>
      </w:pPr>
    </w:p>
    <w:p w14:paraId="55072AB1" w14:textId="5F160CFE" w:rsidR="00F7261E" w:rsidRDefault="00701BB6" w:rsidP="00BE457A">
      <w:pPr>
        <w:spacing w:line="360" w:lineRule="auto"/>
        <w:jc w:val="both"/>
        <w:rPr>
          <w:rFonts w:ascii="Calibri" w:hAnsi="Calibri" w:cs="Calibri"/>
          <w:color w:val="000000" w:themeColor="text1"/>
        </w:rPr>
      </w:pPr>
      <w:r w:rsidRPr="00701BB6">
        <w:rPr>
          <w:rFonts w:ascii="Calibri" w:hAnsi="Calibri" w:cs="Calibri"/>
          <w:color w:val="000000" w:themeColor="text1"/>
        </w:rPr>
        <w:t xml:space="preserve">Gender stereotypes are a pervasive part of our society. However, </w:t>
      </w:r>
      <w:r w:rsidRPr="00BB66AE">
        <w:rPr>
          <w:rFonts w:ascii="Calibri" w:hAnsi="Calibri" w:cs="Calibri"/>
          <w:color w:val="000000" w:themeColor="text1"/>
        </w:rPr>
        <w:t xml:space="preserve">UNESCO (2022) </w:t>
      </w:r>
      <w:r w:rsidRPr="00701BB6">
        <w:rPr>
          <w:rFonts w:ascii="Calibri" w:hAnsi="Calibri" w:cs="Calibri"/>
          <w:color w:val="000000" w:themeColor="text1"/>
        </w:rPr>
        <w:t xml:space="preserve">acknowledges the power of educators to bring about transformative change by challenging these stereotypes and creating inclusive teaching and learning opportunities. This is further supported by the </w:t>
      </w:r>
      <w:r w:rsidRPr="00BB66AE">
        <w:rPr>
          <w:rFonts w:ascii="Calibri" w:hAnsi="Calibri" w:cs="Calibri"/>
          <w:color w:val="000000" w:themeColor="text1"/>
        </w:rPr>
        <w:t>NEU (2020)</w:t>
      </w:r>
      <w:r w:rsidRPr="00BB66AE">
        <w:rPr>
          <w:rFonts w:ascii="Calibri" w:hAnsi="Calibri" w:cs="Calibri"/>
          <w:color w:val="000000" w:themeColor="text1"/>
        </w:rPr>
        <w:t>,</w:t>
      </w:r>
      <w:r w:rsidRPr="00BB66AE">
        <w:rPr>
          <w:rFonts w:ascii="Calibri" w:hAnsi="Calibri" w:cs="Calibri"/>
          <w:color w:val="000000" w:themeColor="text1"/>
        </w:rPr>
        <w:t xml:space="preserve"> </w:t>
      </w:r>
      <w:r w:rsidRPr="00701BB6">
        <w:rPr>
          <w:rFonts w:ascii="Calibri" w:hAnsi="Calibri" w:cs="Calibri"/>
          <w:color w:val="000000" w:themeColor="text1"/>
        </w:rPr>
        <w:t>wh</w:t>
      </w:r>
      <w:r>
        <w:rPr>
          <w:rFonts w:ascii="Calibri" w:hAnsi="Calibri" w:cs="Calibri"/>
          <w:color w:val="000000" w:themeColor="text1"/>
        </w:rPr>
        <w:t>ich</w:t>
      </w:r>
      <w:r w:rsidRPr="00701BB6">
        <w:rPr>
          <w:rFonts w:ascii="Calibri" w:hAnsi="Calibri" w:cs="Calibri"/>
          <w:color w:val="000000" w:themeColor="text1"/>
        </w:rPr>
        <w:t xml:space="preserve"> developed the “Breaking the Mould” resources, </w:t>
      </w:r>
      <w:r>
        <w:rPr>
          <w:rFonts w:ascii="Calibri" w:hAnsi="Calibri" w:cs="Calibri"/>
          <w:color w:val="000000" w:themeColor="text1"/>
        </w:rPr>
        <w:t>which support</w:t>
      </w:r>
      <w:r w:rsidRPr="00701BB6">
        <w:rPr>
          <w:rFonts w:ascii="Calibri" w:hAnsi="Calibri" w:cs="Calibri"/>
          <w:color w:val="000000" w:themeColor="text1"/>
        </w:rPr>
        <w:t xml:space="preserve"> early years educators </w:t>
      </w:r>
      <w:r>
        <w:rPr>
          <w:rFonts w:ascii="Calibri" w:hAnsi="Calibri" w:cs="Calibri"/>
          <w:color w:val="000000" w:themeColor="text1"/>
        </w:rPr>
        <w:t>in</w:t>
      </w:r>
      <w:r w:rsidRPr="00701BB6">
        <w:rPr>
          <w:rFonts w:ascii="Calibri" w:hAnsi="Calibri" w:cs="Calibri"/>
          <w:color w:val="000000" w:themeColor="text1"/>
        </w:rPr>
        <w:t xml:space="preserve"> challeng</w:t>
      </w:r>
      <w:r>
        <w:rPr>
          <w:rFonts w:ascii="Calibri" w:hAnsi="Calibri" w:cs="Calibri"/>
          <w:color w:val="000000" w:themeColor="text1"/>
        </w:rPr>
        <w:t>ing</w:t>
      </w:r>
      <w:r w:rsidRPr="00701BB6">
        <w:rPr>
          <w:rFonts w:ascii="Calibri" w:hAnsi="Calibri" w:cs="Calibri"/>
          <w:color w:val="000000" w:themeColor="text1"/>
        </w:rPr>
        <w:t xml:space="preserve"> gender stereotypes within their schools.</w:t>
      </w:r>
    </w:p>
    <w:p w14:paraId="3854BB5E" w14:textId="77777777" w:rsidR="00701BB6" w:rsidRPr="008E0AA1" w:rsidRDefault="00701BB6" w:rsidP="00BE457A">
      <w:pPr>
        <w:spacing w:line="360" w:lineRule="auto"/>
        <w:jc w:val="both"/>
        <w:rPr>
          <w:rFonts w:ascii="Calibri" w:hAnsi="Calibri" w:cs="Calibri"/>
          <w:color w:val="000000" w:themeColor="text1"/>
        </w:rPr>
      </w:pPr>
    </w:p>
    <w:p w14:paraId="5109F331" w14:textId="451F18CC" w:rsidR="00AC1DDB" w:rsidRPr="008E0AA1" w:rsidRDefault="00AC1DDB" w:rsidP="00BE457A">
      <w:pPr>
        <w:spacing w:line="360" w:lineRule="auto"/>
        <w:jc w:val="both"/>
        <w:rPr>
          <w:rFonts w:ascii="Calibri" w:hAnsi="Calibri" w:cs="Calibri"/>
          <w:color w:val="000000" w:themeColor="text1"/>
        </w:rPr>
      </w:pPr>
      <w:r w:rsidRPr="008E0AA1">
        <w:rPr>
          <w:rStyle w:val="first-token"/>
          <w:color w:val="000000" w:themeColor="text1"/>
        </w:rPr>
        <w:lastRenderedPageBreak/>
        <w:t>In conclusion,</w:t>
      </w:r>
      <w:r w:rsidRPr="008E0AA1">
        <w:rPr>
          <w:rStyle w:val="apple-converted-space"/>
          <w:color w:val="000000" w:themeColor="text1"/>
        </w:rPr>
        <w:t> </w:t>
      </w:r>
      <w:r w:rsidRPr="008E0AA1">
        <w:rPr>
          <w:color w:val="000000" w:themeColor="text1"/>
        </w:rPr>
        <w:t>this review has explored the significant influence of children's understanding of gender on their social interactions and play behavio</w:t>
      </w:r>
      <w:r w:rsidR="00F7261E" w:rsidRPr="008E0AA1">
        <w:rPr>
          <w:color w:val="000000" w:themeColor="text1"/>
        </w:rPr>
        <w:t>u</w:t>
      </w:r>
      <w:r w:rsidRPr="008E0AA1">
        <w:rPr>
          <w:color w:val="000000" w:themeColor="text1"/>
        </w:rPr>
        <w:t>rs within outdoor learning environments.</w:t>
      </w:r>
      <w:r w:rsidRPr="008E0AA1">
        <w:rPr>
          <w:rStyle w:val="apple-converted-space"/>
          <w:color w:val="000000" w:themeColor="text1"/>
        </w:rPr>
        <w:t> </w:t>
      </w:r>
      <w:r w:rsidRPr="008E0AA1">
        <w:rPr>
          <w:color w:val="000000" w:themeColor="text1"/>
        </w:rPr>
        <w:t>While a wealth of research exists on the negative impact of gender stereotypes and the role of social learning,</w:t>
      </w:r>
      <w:r w:rsidRPr="008E0AA1">
        <w:rPr>
          <w:rStyle w:val="apple-converted-space"/>
          <w:color w:val="000000" w:themeColor="text1"/>
        </w:rPr>
        <w:t> </w:t>
      </w:r>
      <w:r w:rsidRPr="008E0AA1">
        <w:rPr>
          <w:color w:val="000000" w:themeColor="text1"/>
        </w:rPr>
        <w:t>there is a relative scarcity of literature specifically focused on strategies for creating gender-inclusive outdoor learning spaces.</w:t>
      </w:r>
      <w:r w:rsidRPr="008E0AA1">
        <w:rPr>
          <w:rStyle w:val="apple-converted-space"/>
          <w:color w:val="000000" w:themeColor="text1"/>
        </w:rPr>
        <w:t> </w:t>
      </w:r>
      <w:r w:rsidRPr="008E0AA1">
        <w:rPr>
          <w:color w:val="000000" w:themeColor="text1"/>
        </w:rPr>
        <w:t>This gap in research highlights the need for further studies that explore practical methods for educators and outdoor learning providers to dismantle gendered biases and create environments that nurture all children's sense of exploration,</w:t>
      </w:r>
      <w:r w:rsidRPr="008E0AA1">
        <w:rPr>
          <w:rStyle w:val="apple-converted-space"/>
          <w:color w:val="000000" w:themeColor="text1"/>
        </w:rPr>
        <w:t> </w:t>
      </w:r>
      <w:r w:rsidRPr="008E0AA1">
        <w:rPr>
          <w:color w:val="000000" w:themeColor="text1"/>
        </w:rPr>
        <w:t>regardless of gender identity or expression.</w:t>
      </w:r>
      <w:r w:rsidRPr="008E0AA1">
        <w:rPr>
          <w:rStyle w:val="apple-converted-space"/>
          <w:color w:val="000000" w:themeColor="text1"/>
        </w:rPr>
        <w:t> </w:t>
      </w:r>
      <w:r w:rsidRPr="008E0AA1">
        <w:rPr>
          <w:color w:val="000000" w:themeColor="text1"/>
        </w:rPr>
        <w:t>By prioriti</w:t>
      </w:r>
      <w:r w:rsidR="00F7261E" w:rsidRPr="008E0AA1">
        <w:rPr>
          <w:color w:val="000000" w:themeColor="text1"/>
        </w:rPr>
        <w:t>s</w:t>
      </w:r>
      <w:r w:rsidRPr="008E0AA1">
        <w:rPr>
          <w:color w:val="000000" w:themeColor="text1"/>
        </w:rPr>
        <w:t>ing inclusivity and fostering a diversity of play experiences,</w:t>
      </w:r>
      <w:r w:rsidRPr="008E0AA1">
        <w:rPr>
          <w:rStyle w:val="apple-converted-space"/>
          <w:color w:val="000000" w:themeColor="text1"/>
        </w:rPr>
        <w:t> </w:t>
      </w:r>
      <w:r w:rsidRPr="008E0AA1">
        <w:rPr>
          <w:color w:val="000000" w:themeColor="text1"/>
        </w:rPr>
        <w:t xml:space="preserve">we can ensure that all children </w:t>
      </w:r>
      <w:r w:rsidR="00F7261E" w:rsidRPr="008E0AA1">
        <w:rPr>
          <w:color w:val="000000" w:themeColor="text1"/>
        </w:rPr>
        <w:t>can</w:t>
      </w:r>
      <w:r w:rsidRPr="008E0AA1">
        <w:rPr>
          <w:color w:val="000000" w:themeColor="text1"/>
        </w:rPr>
        <w:t xml:space="preserve"> thrive and develop their full potential in the enriching context of outdoor learning.</w:t>
      </w:r>
    </w:p>
    <w:p w14:paraId="5E4C22AF" w14:textId="6CF5A3AE" w:rsidR="00E408A9" w:rsidRPr="008E0AA1" w:rsidRDefault="00E408A9" w:rsidP="00855FF2">
      <w:pPr>
        <w:pStyle w:val="NormalWeb"/>
        <w:jc w:val="center"/>
        <w:rPr>
          <w:b/>
          <w:bCs/>
          <w:color w:val="000000" w:themeColor="text1"/>
          <w:u w:val="single"/>
        </w:rPr>
      </w:pPr>
      <w:r w:rsidRPr="008E0AA1">
        <w:rPr>
          <w:rFonts w:ascii="Calibri" w:hAnsi="Calibri" w:cs="Calibri"/>
          <w:b/>
          <w:bCs/>
          <w:color w:val="000000" w:themeColor="text1"/>
          <w:u w:val="single"/>
        </w:rPr>
        <w:t>Explanation of Case Study</w:t>
      </w:r>
    </w:p>
    <w:p w14:paraId="5B0C8CB8" w14:textId="4AC98D7B" w:rsidR="005567C2" w:rsidRPr="008E0AA1" w:rsidRDefault="00433E99" w:rsidP="00433E99">
      <w:pPr>
        <w:spacing w:line="360" w:lineRule="auto"/>
        <w:jc w:val="both"/>
        <w:rPr>
          <w:rFonts w:ascii="Calibri" w:hAnsi="Calibri" w:cs="Calibri"/>
          <w:color w:val="000000" w:themeColor="text1"/>
        </w:rPr>
      </w:pPr>
      <w:r w:rsidRPr="008E0AA1">
        <w:rPr>
          <w:rFonts w:ascii="Calibri" w:hAnsi="Calibri" w:cs="Calibri"/>
          <w:color w:val="000000" w:themeColor="text1"/>
        </w:rPr>
        <w:t>The term "case study research" encompasses various approaches</w:t>
      </w:r>
      <w:r w:rsidR="00015146" w:rsidRPr="008E0AA1">
        <w:rPr>
          <w:rFonts w:ascii="Calibri" w:hAnsi="Calibri" w:cs="Calibri"/>
          <w:color w:val="000000" w:themeColor="text1"/>
        </w:rPr>
        <w:t xml:space="preserve"> as re</w:t>
      </w:r>
      <w:r w:rsidR="00F55050" w:rsidRPr="008E0AA1">
        <w:rPr>
          <w:rFonts w:ascii="Calibri" w:hAnsi="Calibri" w:cs="Calibri"/>
          <w:color w:val="000000" w:themeColor="text1"/>
        </w:rPr>
        <w:t>co</w:t>
      </w:r>
      <w:r w:rsidR="00015146" w:rsidRPr="008E0AA1">
        <w:rPr>
          <w:rFonts w:ascii="Calibri" w:hAnsi="Calibri" w:cs="Calibri"/>
          <w:color w:val="000000" w:themeColor="text1"/>
        </w:rPr>
        <w:t>gnise</w:t>
      </w:r>
      <w:r w:rsidR="00015146" w:rsidRPr="00BB66AE">
        <w:rPr>
          <w:rFonts w:ascii="Calibri" w:hAnsi="Calibri" w:cs="Calibri"/>
          <w:color w:val="000000" w:themeColor="text1"/>
        </w:rPr>
        <w:t>d by Yazan (2015)</w:t>
      </w:r>
      <w:r w:rsidRPr="00BB66AE">
        <w:rPr>
          <w:rFonts w:ascii="Calibri" w:hAnsi="Calibri" w:cs="Calibri"/>
          <w:color w:val="000000" w:themeColor="text1"/>
        </w:rPr>
        <w:t xml:space="preserve">. </w:t>
      </w:r>
      <w:r w:rsidRPr="008E0AA1">
        <w:rPr>
          <w:rFonts w:ascii="Calibri" w:hAnsi="Calibri" w:cs="Calibri"/>
          <w:color w:val="000000" w:themeColor="text1"/>
        </w:rPr>
        <w:t xml:space="preserve">However, this study aligns with the definitions </w:t>
      </w:r>
      <w:r w:rsidRPr="00BB66AE">
        <w:rPr>
          <w:rFonts w:ascii="Calibri" w:hAnsi="Calibri" w:cs="Calibri"/>
          <w:color w:val="000000" w:themeColor="text1"/>
        </w:rPr>
        <w:t xml:space="preserve">of Thomas (2021) </w:t>
      </w:r>
      <w:r w:rsidRPr="008E0AA1">
        <w:rPr>
          <w:rFonts w:ascii="Calibri" w:hAnsi="Calibri" w:cs="Calibri"/>
          <w:color w:val="000000" w:themeColor="text1"/>
        </w:rPr>
        <w:t xml:space="preserve">and </w:t>
      </w:r>
      <w:r w:rsidRPr="00BB66AE">
        <w:rPr>
          <w:rFonts w:ascii="Calibri" w:hAnsi="Calibri" w:cs="Calibri"/>
          <w:color w:val="000000" w:themeColor="text1"/>
        </w:rPr>
        <w:t xml:space="preserve">Yin (2014), </w:t>
      </w:r>
      <w:r w:rsidR="00015146" w:rsidRPr="008E0AA1">
        <w:rPr>
          <w:rFonts w:ascii="Calibri" w:hAnsi="Calibri" w:cs="Calibri"/>
          <w:color w:val="000000" w:themeColor="text1"/>
        </w:rPr>
        <w:t xml:space="preserve">the latter </w:t>
      </w:r>
      <w:r w:rsidRPr="008E0AA1">
        <w:rPr>
          <w:rFonts w:ascii="Calibri" w:hAnsi="Calibri" w:cs="Calibri"/>
          <w:color w:val="000000" w:themeColor="text1"/>
        </w:rPr>
        <w:t xml:space="preserve">specifically focusing on exploratory case study methods. As </w:t>
      </w:r>
      <w:r w:rsidRPr="00BB66AE">
        <w:rPr>
          <w:rFonts w:ascii="Calibri" w:hAnsi="Calibri" w:cs="Calibri"/>
          <w:color w:val="000000" w:themeColor="text1"/>
        </w:rPr>
        <w:t xml:space="preserve">Thomas (2021) </w:t>
      </w:r>
      <w:r w:rsidRPr="008E0AA1">
        <w:rPr>
          <w:rFonts w:ascii="Calibri" w:hAnsi="Calibri" w:cs="Calibri"/>
          <w:color w:val="000000" w:themeColor="text1"/>
        </w:rPr>
        <w:t>outlines, a case study involves two key elements: the subject of focus (e.g., a person or place)</w:t>
      </w:r>
      <w:r w:rsidR="00015146" w:rsidRPr="008E0AA1">
        <w:rPr>
          <w:rFonts w:ascii="Calibri" w:hAnsi="Calibri" w:cs="Calibri"/>
          <w:color w:val="000000" w:themeColor="text1"/>
        </w:rPr>
        <w:t>, in this instance, school children in an outdoor environment and the object of interest (the specific area of investigation) and their perspectives of gender in play</w:t>
      </w:r>
      <w:r w:rsidRPr="008E0AA1">
        <w:rPr>
          <w:rFonts w:ascii="Calibri" w:hAnsi="Calibri" w:cs="Calibri"/>
          <w:color w:val="000000" w:themeColor="text1"/>
        </w:rPr>
        <w:t xml:space="preserve">. These elements are interrelated and define the overall case being studied. </w:t>
      </w:r>
      <w:r w:rsidRPr="00BB66AE">
        <w:rPr>
          <w:rFonts w:ascii="Calibri" w:hAnsi="Calibri" w:cs="Calibri"/>
          <w:color w:val="000000" w:themeColor="text1"/>
        </w:rPr>
        <w:t xml:space="preserve">Yin (2014) </w:t>
      </w:r>
      <w:r w:rsidRPr="008E0AA1">
        <w:rPr>
          <w:rFonts w:ascii="Calibri" w:hAnsi="Calibri" w:cs="Calibri"/>
          <w:color w:val="000000" w:themeColor="text1"/>
        </w:rPr>
        <w:t xml:space="preserve">highlights the value of exploratory case studies for a deeper understanding of social experiences, particularly when there's no predetermined outcome. This aligns with the open-ended nature of the focus on social interactions and play behaviours in this research project. </w:t>
      </w:r>
    </w:p>
    <w:p w14:paraId="681C5394" w14:textId="77777777" w:rsidR="00015146" w:rsidRPr="008E0AA1" w:rsidRDefault="00015146" w:rsidP="00433E99">
      <w:pPr>
        <w:spacing w:line="360" w:lineRule="auto"/>
        <w:jc w:val="both"/>
        <w:rPr>
          <w:rFonts w:ascii="Calibri" w:hAnsi="Calibri" w:cs="Calibri"/>
          <w:color w:val="000000" w:themeColor="text1"/>
        </w:rPr>
      </w:pPr>
    </w:p>
    <w:p w14:paraId="4031ED8C" w14:textId="1E0F3F0B" w:rsidR="00015146" w:rsidRPr="008E0AA1" w:rsidRDefault="00D85970" w:rsidP="00433E99">
      <w:pPr>
        <w:spacing w:line="360" w:lineRule="auto"/>
        <w:jc w:val="both"/>
        <w:rPr>
          <w:rFonts w:ascii="Calibri" w:hAnsi="Calibri" w:cs="Calibri"/>
          <w:color w:val="000000" w:themeColor="text1"/>
        </w:rPr>
      </w:pPr>
      <w:r w:rsidRPr="008E0AA1">
        <w:rPr>
          <w:rFonts w:ascii="Calibri" w:hAnsi="Calibri" w:cs="Calibri"/>
          <w:color w:val="000000" w:themeColor="text1"/>
        </w:rPr>
        <w:t>A major draw for using c</w:t>
      </w:r>
      <w:r w:rsidR="00645474" w:rsidRPr="008E0AA1">
        <w:rPr>
          <w:rFonts w:ascii="Calibri" w:hAnsi="Calibri" w:cs="Calibri"/>
          <w:color w:val="000000" w:themeColor="text1"/>
        </w:rPr>
        <w:t>ase studies</w:t>
      </w:r>
      <w:r w:rsidRPr="008E0AA1">
        <w:rPr>
          <w:rFonts w:ascii="Calibri" w:hAnsi="Calibri" w:cs="Calibri"/>
          <w:color w:val="000000" w:themeColor="text1"/>
        </w:rPr>
        <w:t xml:space="preserve"> in research is that they</w:t>
      </w:r>
      <w:r w:rsidR="00645474" w:rsidRPr="008E0AA1">
        <w:rPr>
          <w:rFonts w:ascii="Calibri" w:hAnsi="Calibri" w:cs="Calibri"/>
          <w:color w:val="000000" w:themeColor="text1"/>
        </w:rPr>
        <w:t xml:space="preserve"> allow for a deeper insight into a specific situation</w:t>
      </w:r>
      <w:r w:rsidRPr="008E0AA1">
        <w:rPr>
          <w:rFonts w:ascii="Calibri" w:hAnsi="Calibri" w:cs="Calibri"/>
          <w:color w:val="000000" w:themeColor="text1"/>
        </w:rPr>
        <w:t>, give a clear outline of the research and are easily interpreted</w:t>
      </w:r>
      <w:r w:rsidR="00645474" w:rsidRPr="00BB66AE">
        <w:rPr>
          <w:rFonts w:ascii="Calibri" w:hAnsi="Calibri" w:cs="Calibri"/>
          <w:color w:val="000000" w:themeColor="text1"/>
        </w:rPr>
        <w:t xml:space="preserve">. Taber (2013) </w:t>
      </w:r>
      <w:r w:rsidR="00645474" w:rsidRPr="008E0AA1">
        <w:rPr>
          <w:rFonts w:ascii="Calibri" w:hAnsi="Calibri" w:cs="Calibri"/>
          <w:color w:val="000000" w:themeColor="text1"/>
        </w:rPr>
        <w:t xml:space="preserve">highlights the usefulness of case studies in education, particularly for complex situations where numerous variables are at play, even if the number of studied cases is limited. </w:t>
      </w:r>
      <w:r w:rsidR="00645474" w:rsidRPr="00BB66AE">
        <w:rPr>
          <w:rFonts w:ascii="Calibri" w:hAnsi="Calibri" w:cs="Calibri"/>
          <w:color w:val="000000" w:themeColor="text1"/>
        </w:rPr>
        <w:t>Demetriou (2013, pp.</w:t>
      </w:r>
      <w:r w:rsidR="00B051B2" w:rsidRPr="00BB66AE">
        <w:rPr>
          <w:rFonts w:ascii="Calibri" w:hAnsi="Calibri" w:cs="Calibri"/>
          <w:color w:val="000000" w:themeColor="text1"/>
        </w:rPr>
        <w:t>257</w:t>
      </w:r>
      <w:r w:rsidR="00645474" w:rsidRPr="00BB66AE">
        <w:rPr>
          <w:rFonts w:ascii="Calibri" w:hAnsi="Calibri" w:cs="Calibri"/>
          <w:color w:val="000000" w:themeColor="text1"/>
        </w:rPr>
        <w:t xml:space="preserve">) </w:t>
      </w:r>
      <w:r w:rsidR="00645474" w:rsidRPr="008E0AA1">
        <w:rPr>
          <w:rFonts w:ascii="Calibri" w:hAnsi="Calibri" w:cs="Calibri"/>
          <w:color w:val="000000" w:themeColor="text1"/>
        </w:rPr>
        <w:t xml:space="preserve">also vouches that case studies </w:t>
      </w:r>
      <w:r w:rsidR="00B051B2" w:rsidRPr="008E0AA1">
        <w:rPr>
          <w:rFonts w:ascii="Calibri" w:hAnsi="Calibri" w:cs="Calibri"/>
          <w:color w:val="000000" w:themeColor="text1"/>
        </w:rPr>
        <w:t xml:space="preserve">are “an attractive research method” because </w:t>
      </w:r>
      <w:r w:rsidR="00845730" w:rsidRPr="008E0AA1">
        <w:rPr>
          <w:rFonts w:ascii="Calibri" w:hAnsi="Calibri" w:cs="Calibri"/>
          <w:color w:val="000000" w:themeColor="text1"/>
        </w:rPr>
        <w:t>they</w:t>
      </w:r>
      <w:r w:rsidR="00B051B2" w:rsidRPr="008E0AA1">
        <w:rPr>
          <w:rFonts w:ascii="Calibri" w:hAnsi="Calibri" w:cs="Calibri"/>
          <w:color w:val="000000" w:themeColor="text1"/>
        </w:rPr>
        <w:t xml:space="preserve"> create a clear evidence base for identification</w:t>
      </w:r>
      <w:r w:rsidR="00F55050" w:rsidRPr="008E0AA1">
        <w:rPr>
          <w:rFonts w:ascii="Calibri" w:hAnsi="Calibri" w:cs="Calibri"/>
          <w:color w:val="000000" w:themeColor="text1"/>
        </w:rPr>
        <w:t xml:space="preserve">, </w:t>
      </w:r>
      <w:r w:rsidR="00B051B2" w:rsidRPr="008E0AA1">
        <w:rPr>
          <w:rFonts w:ascii="Calibri" w:hAnsi="Calibri" w:cs="Calibri"/>
          <w:color w:val="000000" w:themeColor="text1"/>
        </w:rPr>
        <w:t>capturing a detailed picture of an individual or situation within a specific time period, leading to a more meaningful understanding.</w:t>
      </w:r>
      <w:r w:rsidRPr="008E0AA1">
        <w:rPr>
          <w:rFonts w:ascii="Calibri" w:hAnsi="Calibri" w:cs="Calibri"/>
          <w:color w:val="000000" w:themeColor="text1"/>
        </w:rPr>
        <w:t xml:space="preserve"> According to </w:t>
      </w:r>
      <w:proofErr w:type="spellStart"/>
      <w:r w:rsidR="000539A1">
        <w:rPr>
          <w:rFonts w:ascii="Calibri" w:hAnsi="Calibri" w:cs="Calibri"/>
          <w:color w:val="000000" w:themeColor="text1"/>
        </w:rPr>
        <w:t>Mac</w:t>
      </w:r>
      <w:r w:rsidRPr="00BB66AE">
        <w:rPr>
          <w:rFonts w:ascii="Calibri" w:hAnsi="Calibri" w:cs="Calibri"/>
          <w:color w:val="000000" w:themeColor="text1"/>
        </w:rPr>
        <w:t>Naughton</w:t>
      </w:r>
      <w:proofErr w:type="spellEnd"/>
      <w:r w:rsidRPr="00BB66AE">
        <w:rPr>
          <w:rFonts w:ascii="Calibri" w:hAnsi="Calibri" w:cs="Calibri"/>
          <w:color w:val="000000" w:themeColor="text1"/>
        </w:rPr>
        <w:t xml:space="preserve"> et al. (2010), </w:t>
      </w:r>
      <w:r w:rsidRPr="008E0AA1">
        <w:rPr>
          <w:rFonts w:ascii="Calibri" w:hAnsi="Calibri" w:cs="Calibri"/>
          <w:color w:val="000000" w:themeColor="text1"/>
        </w:rPr>
        <w:t xml:space="preserve">case studies offer a valuable </w:t>
      </w:r>
      <w:r w:rsidRPr="008E0AA1">
        <w:rPr>
          <w:rFonts w:ascii="Calibri" w:hAnsi="Calibri" w:cs="Calibri"/>
          <w:color w:val="000000" w:themeColor="text1"/>
        </w:rPr>
        <w:lastRenderedPageBreak/>
        <w:t>strength: they are not merely descriptive accounts but rather systematic inquiries that prioritise factual data and a literal interpretation of the evidence.</w:t>
      </w:r>
    </w:p>
    <w:p w14:paraId="1187B990" w14:textId="77777777" w:rsidR="00D85970" w:rsidRPr="008E0AA1" w:rsidRDefault="00D85970" w:rsidP="00433E99">
      <w:pPr>
        <w:spacing w:line="360" w:lineRule="auto"/>
        <w:jc w:val="both"/>
        <w:rPr>
          <w:rFonts w:ascii="Calibri" w:hAnsi="Calibri" w:cs="Calibri"/>
          <w:color w:val="000000" w:themeColor="text1"/>
        </w:rPr>
      </w:pPr>
    </w:p>
    <w:p w14:paraId="53EF94A1" w14:textId="21198F68" w:rsidR="00A073DC" w:rsidRPr="005F6BED" w:rsidRDefault="00A073DC" w:rsidP="00A073DC">
      <w:pPr>
        <w:spacing w:line="360" w:lineRule="auto"/>
        <w:jc w:val="both"/>
        <w:rPr>
          <w:rFonts w:ascii="Calibri" w:hAnsi="Calibri" w:cs="Calibri"/>
          <w:color w:val="FF0000"/>
        </w:rPr>
      </w:pPr>
      <w:r w:rsidRPr="008E0AA1">
        <w:rPr>
          <w:rFonts w:ascii="Calibri" w:hAnsi="Calibri" w:cs="Calibri"/>
          <w:color w:val="000000" w:themeColor="text1"/>
        </w:rPr>
        <w:t xml:space="preserve">While case studies offer valuable strengths, they also possess inherent limitations that researchers must acknowledge. A key concern is the potential for subjectivity to influence the findings </w:t>
      </w:r>
      <w:r w:rsidRPr="00BB66AE">
        <w:rPr>
          <w:rFonts w:ascii="Calibri" w:hAnsi="Calibri" w:cs="Calibri"/>
          <w:color w:val="000000" w:themeColor="text1"/>
        </w:rPr>
        <w:t xml:space="preserve">(Demetriou, 2013). </w:t>
      </w:r>
      <w:r w:rsidRPr="008E0AA1">
        <w:rPr>
          <w:rFonts w:ascii="Calibri" w:hAnsi="Calibri" w:cs="Calibri"/>
          <w:color w:val="000000" w:themeColor="text1"/>
        </w:rPr>
        <w:t xml:space="preserve">The in-depth nature of case studies can lead researchers to focus on specific aspects that resonate with their own experiences or theoretical viewpoints, potentially overlooking or underemphasising other elements crucial to the case. This inherent subjectivity can make it challenging to establish the generalisability of findings from a single case study to a broader </w:t>
      </w:r>
      <w:r w:rsidRPr="00BB66AE">
        <w:rPr>
          <w:rFonts w:ascii="Calibri" w:hAnsi="Calibri" w:cs="Calibri"/>
          <w:color w:val="000000" w:themeColor="text1"/>
        </w:rPr>
        <w:t>population</w:t>
      </w:r>
      <w:r w:rsidR="001C3962" w:rsidRPr="00BB66AE">
        <w:rPr>
          <w:rFonts w:ascii="Calibri" w:hAnsi="Calibri" w:cs="Calibri"/>
          <w:color w:val="000000" w:themeColor="text1"/>
        </w:rPr>
        <w:t xml:space="preserve"> (Wellington, 2015)</w:t>
      </w:r>
      <w:r w:rsidRPr="00BB66AE">
        <w:rPr>
          <w:rFonts w:ascii="Calibri" w:hAnsi="Calibri" w:cs="Calibri"/>
          <w:color w:val="000000" w:themeColor="text1"/>
        </w:rPr>
        <w:t>.</w:t>
      </w:r>
    </w:p>
    <w:p w14:paraId="65B181A9" w14:textId="77777777" w:rsidR="00A073DC" w:rsidRPr="005F6BED" w:rsidRDefault="00A073DC" w:rsidP="00A073DC">
      <w:pPr>
        <w:spacing w:line="360" w:lineRule="auto"/>
        <w:jc w:val="both"/>
        <w:rPr>
          <w:rFonts w:ascii="Calibri" w:hAnsi="Calibri" w:cs="Calibri"/>
          <w:color w:val="FF0000"/>
        </w:rPr>
      </w:pPr>
    </w:p>
    <w:p w14:paraId="2023845D" w14:textId="5538A450" w:rsidR="00F55050" w:rsidRPr="008E0AA1" w:rsidRDefault="00F55050" w:rsidP="00A073DC">
      <w:pPr>
        <w:spacing w:line="360" w:lineRule="auto"/>
        <w:jc w:val="both"/>
        <w:rPr>
          <w:rFonts w:ascii="Calibri" w:hAnsi="Calibri" w:cs="Calibri"/>
          <w:color w:val="000000" w:themeColor="text1"/>
        </w:rPr>
      </w:pPr>
      <w:r w:rsidRPr="008E0AA1">
        <w:rPr>
          <w:rFonts w:ascii="Calibri" w:hAnsi="Calibri" w:cs="Calibri"/>
          <w:color w:val="000000" w:themeColor="text1"/>
        </w:rPr>
        <w:t xml:space="preserve">One approach to mitigate the limitations of subjectivity in case studies is through triangulation </w:t>
      </w:r>
      <w:r w:rsidRPr="00BB66AE">
        <w:rPr>
          <w:rFonts w:ascii="Calibri" w:hAnsi="Calibri" w:cs="Calibri"/>
          <w:color w:val="000000" w:themeColor="text1"/>
        </w:rPr>
        <w:t xml:space="preserve">(Taber, 2013). </w:t>
      </w:r>
      <w:r w:rsidRPr="008E0AA1">
        <w:rPr>
          <w:rFonts w:ascii="Calibri" w:hAnsi="Calibri" w:cs="Calibri"/>
          <w:color w:val="000000" w:themeColor="text1"/>
        </w:rPr>
        <w:t>Triangulation involves using a wider range of data sources, forms, and collection methods within a single study. This can include incorporating quantitative data, such as surveys or statistics, alongside the qualitative data obtained through the case study. By employing multiple perspectives and methodologies, researchers can enhance the validity of their research and build a more comprehensive picture of the research outcomes.</w:t>
      </w:r>
    </w:p>
    <w:p w14:paraId="5D153FEB" w14:textId="77777777" w:rsidR="00F55050" w:rsidRPr="008E0AA1" w:rsidRDefault="00F55050" w:rsidP="00A073DC">
      <w:pPr>
        <w:spacing w:line="360" w:lineRule="auto"/>
        <w:jc w:val="both"/>
        <w:rPr>
          <w:rFonts w:ascii="Calibri" w:hAnsi="Calibri" w:cs="Calibri"/>
          <w:color w:val="000000" w:themeColor="text1"/>
        </w:rPr>
      </w:pPr>
    </w:p>
    <w:p w14:paraId="0C57882E" w14:textId="31064B28" w:rsidR="00F55050" w:rsidRPr="008E0AA1" w:rsidRDefault="00F55050" w:rsidP="00A073DC">
      <w:pPr>
        <w:spacing w:line="360" w:lineRule="auto"/>
        <w:jc w:val="both"/>
        <w:rPr>
          <w:rFonts w:ascii="Calibri" w:hAnsi="Calibri" w:cs="Calibri"/>
          <w:color w:val="000000" w:themeColor="text1"/>
        </w:rPr>
      </w:pPr>
      <w:r w:rsidRPr="00BB66AE">
        <w:rPr>
          <w:rFonts w:ascii="Calibri" w:hAnsi="Calibri" w:cs="Calibri"/>
          <w:color w:val="000000" w:themeColor="text1"/>
        </w:rPr>
        <w:t>Yin (20</w:t>
      </w:r>
      <w:r w:rsidR="00B536B7">
        <w:rPr>
          <w:rFonts w:ascii="Calibri" w:hAnsi="Calibri" w:cs="Calibri"/>
          <w:color w:val="000000" w:themeColor="text1"/>
        </w:rPr>
        <w:t>14</w:t>
      </w:r>
      <w:r w:rsidRPr="00BB66AE">
        <w:rPr>
          <w:rFonts w:ascii="Calibri" w:hAnsi="Calibri" w:cs="Calibri"/>
          <w:color w:val="000000" w:themeColor="text1"/>
        </w:rPr>
        <w:t xml:space="preserve">) </w:t>
      </w:r>
      <w:r w:rsidRPr="008E0AA1">
        <w:rPr>
          <w:rFonts w:ascii="Calibri" w:hAnsi="Calibri" w:cs="Calibri"/>
          <w:color w:val="000000" w:themeColor="text1"/>
        </w:rPr>
        <w:t xml:space="preserve">further strengthens the case for robust case study research by proposing three additional solutions to improve validity. These solutions emphasise the importance of using multiple sources of evidence, establishing a sequence of </w:t>
      </w:r>
      <w:r w:rsidR="000B0918" w:rsidRPr="008E0AA1">
        <w:rPr>
          <w:rFonts w:ascii="Calibri" w:hAnsi="Calibri" w:cs="Calibri"/>
          <w:color w:val="000000" w:themeColor="text1"/>
        </w:rPr>
        <w:t>evidence,</w:t>
      </w:r>
      <w:r w:rsidRPr="008E0AA1">
        <w:rPr>
          <w:rFonts w:ascii="Calibri" w:hAnsi="Calibri" w:cs="Calibri"/>
          <w:color w:val="000000" w:themeColor="text1"/>
        </w:rPr>
        <w:t xml:space="preserve"> and ensuring cross-examination to </w:t>
      </w:r>
      <w:r w:rsidR="000B0918" w:rsidRPr="008E0AA1">
        <w:rPr>
          <w:rFonts w:ascii="Calibri" w:hAnsi="Calibri" w:cs="Calibri"/>
          <w:color w:val="000000" w:themeColor="text1"/>
        </w:rPr>
        <w:t>verify findings further</w:t>
      </w:r>
      <w:r w:rsidRPr="008E0AA1">
        <w:rPr>
          <w:rFonts w:ascii="Calibri" w:hAnsi="Calibri" w:cs="Calibri"/>
          <w:color w:val="000000" w:themeColor="text1"/>
        </w:rPr>
        <w:t>.</w:t>
      </w:r>
    </w:p>
    <w:p w14:paraId="3C208E5E" w14:textId="77777777" w:rsidR="00F55050" w:rsidRPr="008E0AA1" w:rsidRDefault="00F55050" w:rsidP="00A073DC">
      <w:pPr>
        <w:spacing w:line="360" w:lineRule="auto"/>
        <w:jc w:val="both"/>
        <w:rPr>
          <w:rFonts w:ascii="Calibri" w:hAnsi="Calibri" w:cs="Calibri"/>
          <w:color w:val="000000" w:themeColor="text1"/>
        </w:rPr>
      </w:pPr>
    </w:p>
    <w:p w14:paraId="5C940165" w14:textId="6911742C" w:rsidR="00433E99" w:rsidRPr="008E0AA1" w:rsidRDefault="005E32CD" w:rsidP="00433E99">
      <w:pPr>
        <w:spacing w:line="360" w:lineRule="auto"/>
        <w:jc w:val="both"/>
        <w:rPr>
          <w:rFonts w:ascii="Calibri" w:hAnsi="Calibri" w:cs="Calibri"/>
          <w:color w:val="000000" w:themeColor="text1"/>
        </w:rPr>
      </w:pPr>
      <w:r w:rsidRPr="008E0AA1">
        <w:rPr>
          <w:rFonts w:ascii="Calibri" w:hAnsi="Calibri" w:cs="Calibri"/>
          <w:color w:val="000000" w:themeColor="text1"/>
        </w:rPr>
        <w:t>Stratified random sampling was employed t</w:t>
      </w:r>
      <w:r w:rsidR="005A7D20" w:rsidRPr="008E0AA1">
        <w:rPr>
          <w:rFonts w:ascii="Calibri" w:hAnsi="Calibri" w:cs="Calibri"/>
          <w:color w:val="000000" w:themeColor="text1"/>
        </w:rPr>
        <w:t xml:space="preserve">o ensure a balanced representation of genders in this study. This technique involves dividing the population of interest into subgroups based on a specific characteristic, </w:t>
      </w:r>
      <w:r w:rsidRPr="008E0AA1">
        <w:rPr>
          <w:rFonts w:ascii="Calibri" w:hAnsi="Calibri" w:cs="Calibri"/>
          <w:color w:val="000000" w:themeColor="text1"/>
        </w:rPr>
        <w:t>such</w:t>
      </w:r>
      <w:r w:rsidR="005A7D20" w:rsidRPr="008E0AA1">
        <w:rPr>
          <w:rFonts w:ascii="Calibri" w:hAnsi="Calibri" w:cs="Calibri"/>
          <w:color w:val="000000" w:themeColor="text1"/>
        </w:rPr>
        <w:t xml:space="preserve"> </w:t>
      </w:r>
      <w:r w:rsidRPr="008E0AA1">
        <w:rPr>
          <w:rFonts w:ascii="Calibri" w:hAnsi="Calibri" w:cs="Calibri"/>
          <w:color w:val="000000" w:themeColor="text1"/>
        </w:rPr>
        <w:t>as</w:t>
      </w:r>
      <w:r w:rsidR="005A7D20" w:rsidRPr="008E0AA1">
        <w:rPr>
          <w:rFonts w:ascii="Calibri" w:hAnsi="Calibri" w:cs="Calibri"/>
          <w:color w:val="000000" w:themeColor="text1"/>
        </w:rPr>
        <w:t xml:space="preserve"> gender (boys and girls) within a year one class </w:t>
      </w:r>
      <w:r w:rsidR="005A7D20" w:rsidRPr="00BB66AE">
        <w:rPr>
          <w:rFonts w:ascii="Calibri" w:hAnsi="Calibri" w:cs="Calibri"/>
          <w:color w:val="000000" w:themeColor="text1"/>
        </w:rPr>
        <w:t>(Taber, 2013).</w:t>
      </w:r>
      <w:r w:rsidR="005A7D20" w:rsidRPr="00BB66AE">
        <w:rPr>
          <w:rFonts w:ascii="Calibri" w:hAnsi="Calibri" w:cs="Calibri"/>
          <w:b/>
          <w:bCs/>
          <w:color w:val="000000" w:themeColor="text1"/>
        </w:rPr>
        <w:t xml:space="preserve"> </w:t>
      </w:r>
      <w:r w:rsidR="000B0918" w:rsidRPr="008E0AA1">
        <w:rPr>
          <w:rFonts w:ascii="Calibri" w:hAnsi="Calibri" w:cs="Calibri"/>
          <w:color w:val="000000" w:themeColor="text1"/>
        </w:rPr>
        <w:t>Since the class was already divided into two separate groups for indoor and outdoor learning, we strategically selected four children from each group</w:t>
      </w:r>
      <w:r w:rsidR="00D10F02" w:rsidRPr="008E0AA1">
        <w:rPr>
          <w:rFonts w:ascii="Calibri" w:hAnsi="Calibri" w:cs="Calibri"/>
          <w:color w:val="000000" w:themeColor="text1"/>
        </w:rPr>
        <w:t>,</w:t>
      </w:r>
      <w:r w:rsidR="005A7D20" w:rsidRPr="008E0AA1">
        <w:rPr>
          <w:rFonts w:ascii="Calibri" w:hAnsi="Calibri" w:cs="Calibri"/>
          <w:color w:val="000000" w:themeColor="text1"/>
        </w:rPr>
        <w:t xml:space="preserve"> guaranteeing</w:t>
      </w:r>
      <w:r w:rsidR="000B0918" w:rsidRPr="008E0AA1">
        <w:rPr>
          <w:rFonts w:ascii="Calibri" w:hAnsi="Calibri" w:cs="Calibri"/>
          <w:color w:val="000000" w:themeColor="text1"/>
        </w:rPr>
        <w:t xml:space="preserve"> an even split of girls and boys from both groups.</w:t>
      </w:r>
    </w:p>
    <w:p w14:paraId="790A72D4" w14:textId="77777777" w:rsidR="00C90213" w:rsidRPr="008E0AA1" w:rsidRDefault="00C90213" w:rsidP="00AD4A56">
      <w:pPr>
        <w:rPr>
          <w:rFonts w:ascii="Calibri" w:hAnsi="Calibri" w:cs="Calibri"/>
          <w:color w:val="000000" w:themeColor="text1"/>
        </w:rPr>
      </w:pPr>
    </w:p>
    <w:p w14:paraId="4B8758B6" w14:textId="77777777" w:rsidR="00197A0B" w:rsidRDefault="00197A0B" w:rsidP="00BA3108">
      <w:pPr>
        <w:jc w:val="center"/>
        <w:rPr>
          <w:rFonts w:ascii="Calibri" w:hAnsi="Calibri" w:cs="Calibri"/>
          <w:b/>
          <w:bCs/>
          <w:color w:val="000000" w:themeColor="text1"/>
          <w:u w:val="single"/>
        </w:rPr>
      </w:pPr>
    </w:p>
    <w:p w14:paraId="518B5718" w14:textId="77777777" w:rsidR="00197A0B" w:rsidRDefault="00197A0B" w:rsidP="00BA3108">
      <w:pPr>
        <w:jc w:val="center"/>
        <w:rPr>
          <w:rFonts w:ascii="Calibri" w:hAnsi="Calibri" w:cs="Calibri"/>
          <w:b/>
          <w:bCs/>
          <w:color w:val="000000" w:themeColor="text1"/>
          <w:u w:val="single"/>
        </w:rPr>
      </w:pPr>
    </w:p>
    <w:p w14:paraId="2E0EEB1E" w14:textId="77777777" w:rsidR="00197A0B" w:rsidRDefault="00197A0B" w:rsidP="00BA3108">
      <w:pPr>
        <w:jc w:val="center"/>
        <w:rPr>
          <w:rFonts w:ascii="Calibri" w:hAnsi="Calibri" w:cs="Calibri"/>
          <w:b/>
          <w:bCs/>
          <w:color w:val="000000" w:themeColor="text1"/>
          <w:u w:val="single"/>
        </w:rPr>
      </w:pPr>
    </w:p>
    <w:p w14:paraId="3FA53CB2" w14:textId="699902D7" w:rsidR="00E408A9" w:rsidRPr="008E0AA1" w:rsidRDefault="00E408A9" w:rsidP="00BA3108">
      <w:pPr>
        <w:jc w:val="center"/>
        <w:rPr>
          <w:rFonts w:ascii="Calibri" w:eastAsia="Times New Roman" w:hAnsi="Calibri" w:cs="Calibri"/>
          <w:b/>
          <w:bCs/>
          <w:color w:val="000000" w:themeColor="text1"/>
          <w:kern w:val="0"/>
          <w:u w:val="single"/>
          <w:lang w:eastAsia="en-GB"/>
          <w14:ligatures w14:val="none"/>
        </w:rPr>
      </w:pPr>
      <w:r w:rsidRPr="008E0AA1">
        <w:rPr>
          <w:rFonts w:ascii="Calibri" w:hAnsi="Calibri" w:cs="Calibri"/>
          <w:b/>
          <w:bCs/>
          <w:color w:val="000000" w:themeColor="text1"/>
          <w:u w:val="single"/>
        </w:rPr>
        <w:lastRenderedPageBreak/>
        <w:t xml:space="preserve">Research </w:t>
      </w:r>
      <w:r w:rsidR="00AD4A56" w:rsidRPr="008E0AA1">
        <w:rPr>
          <w:rFonts w:ascii="Calibri" w:hAnsi="Calibri" w:cs="Calibri"/>
          <w:b/>
          <w:bCs/>
          <w:color w:val="000000" w:themeColor="text1"/>
          <w:u w:val="single"/>
        </w:rPr>
        <w:t>Methods</w:t>
      </w:r>
    </w:p>
    <w:p w14:paraId="4ECBBB00" w14:textId="77777777" w:rsidR="00AD4A56" w:rsidRPr="008E0AA1" w:rsidRDefault="00AD4A56" w:rsidP="00E11B55">
      <w:pPr>
        <w:spacing w:line="360" w:lineRule="auto"/>
        <w:jc w:val="both"/>
        <w:rPr>
          <w:color w:val="000000" w:themeColor="text1"/>
        </w:rPr>
      </w:pPr>
    </w:p>
    <w:p w14:paraId="1EFA842D" w14:textId="516E24A2" w:rsidR="00D66594" w:rsidRPr="008E0AA1" w:rsidRDefault="007468B1" w:rsidP="00E11B55">
      <w:pPr>
        <w:spacing w:line="360" w:lineRule="auto"/>
        <w:jc w:val="both"/>
        <w:rPr>
          <w:color w:val="000000" w:themeColor="text1"/>
        </w:rPr>
      </w:pPr>
      <w:r w:rsidRPr="008E0AA1">
        <w:rPr>
          <w:color w:val="000000" w:themeColor="text1"/>
        </w:rPr>
        <w:t xml:space="preserve">Educational research </w:t>
      </w:r>
      <w:r w:rsidR="00CD01A2" w:rsidRPr="008E0AA1">
        <w:rPr>
          <w:color w:val="000000" w:themeColor="text1"/>
        </w:rPr>
        <w:t>plays a vital role in</w:t>
      </w:r>
      <w:r w:rsidRPr="008E0AA1">
        <w:rPr>
          <w:color w:val="000000" w:themeColor="text1"/>
        </w:rPr>
        <w:t xml:space="preserve"> improving teaching practice,</w:t>
      </w:r>
      <w:r w:rsidR="00F50FDC" w:rsidRPr="008E0AA1">
        <w:rPr>
          <w:color w:val="000000" w:themeColor="text1"/>
        </w:rPr>
        <w:t xml:space="preserve"> refining</w:t>
      </w:r>
      <w:r w:rsidRPr="008E0AA1">
        <w:rPr>
          <w:rStyle w:val="apple-converted-space"/>
          <w:color w:val="000000" w:themeColor="text1"/>
        </w:rPr>
        <w:t> </w:t>
      </w:r>
      <w:r w:rsidRPr="008E0AA1">
        <w:rPr>
          <w:color w:val="000000" w:themeColor="text1"/>
        </w:rPr>
        <w:t>learning environments,</w:t>
      </w:r>
      <w:r w:rsidRPr="008E0AA1">
        <w:rPr>
          <w:rStyle w:val="apple-converted-space"/>
          <w:color w:val="000000" w:themeColor="text1"/>
        </w:rPr>
        <w:t> </w:t>
      </w:r>
      <w:r w:rsidRPr="008E0AA1">
        <w:rPr>
          <w:color w:val="000000" w:themeColor="text1"/>
        </w:rPr>
        <w:t>and</w:t>
      </w:r>
      <w:r w:rsidR="00F50FDC" w:rsidRPr="008E0AA1">
        <w:rPr>
          <w:color w:val="000000" w:themeColor="text1"/>
        </w:rPr>
        <w:t xml:space="preserve"> optimising</w:t>
      </w:r>
      <w:r w:rsidRPr="008E0AA1">
        <w:rPr>
          <w:rStyle w:val="apple-converted-space"/>
          <w:color w:val="000000" w:themeColor="text1"/>
        </w:rPr>
        <w:t> </w:t>
      </w:r>
      <w:r w:rsidR="00CD01A2" w:rsidRPr="008E0AA1">
        <w:rPr>
          <w:color w:val="000000" w:themeColor="text1"/>
        </w:rPr>
        <w:t>learner</w:t>
      </w:r>
      <w:r w:rsidRPr="008E0AA1">
        <w:rPr>
          <w:color w:val="000000" w:themeColor="text1"/>
        </w:rPr>
        <w:t xml:space="preserve"> outcomes.</w:t>
      </w:r>
      <w:r w:rsidR="00857AAD" w:rsidRPr="008E0AA1">
        <w:rPr>
          <w:color w:val="000000" w:themeColor="text1"/>
        </w:rPr>
        <w:t xml:space="preserve"> This aligns with the professional standards for teaching and leadership </w:t>
      </w:r>
      <w:r w:rsidR="00857AAD" w:rsidRPr="00BB66AE">
        <w:rPr>
          <w:color w:val="000000" w:themeColor="text1"/>
        </w:rPr>
        <w:t>(Welsh Government, 2019)</w:t>
      </w:r>
      <w:r w:rsidR="00BC1CD1" w:rsidRPr="00BB66AE">
        <w:rPr>
          <w:color w:val="000000" w:themeColor="text1"/>
        </w:rPr>
        <w:t>,</w:t>
      </w:r>
      <w:r w:rsidR="00857AAD" w:rsidRPr="00BB66AE">
        <w:rPr>
          <w:color w:val="000000" w:themeColor="text1"/>
        </w:rPr>
        <w:t xml:space="preserve"> </w:t>
      </w:r>
      <w:r w:rsidR="00857AAD" w:rsidRPr="008E0AA1">
        <w:rPr>
          <w:color w:val="000000" w:themeColor="text1"/>
        </w:rPr>
        <w:t xml:space="preserve">which </w:t>
      </w:r>
      <w:r w:rsidR="00F50FDC" w:rsidRPr="008E0AA1">
        <w:rPr>
          <w:color w:val="000000" w:themeColor="text1"/>
        </w:rPr>
        <w:t xml:space="preserve">highlight </w:t>
      </w:r>
      <w:r w:rsidR="00857AAD" w:rsidRPr="008E0AA1">
        <w:rPr>
          <w:color w:val="000000" w:themeColor="text1"/>
        </w:rPr>
        <w:t xml:space="preserve">the </w:t>
      </w:r>
      <w:r w:rsidR="00BC1CD1" w:rsidRPr="008E0AA1">
        <w:rPr>
          <w:color w:val="000000" w:themeColor="text1"/>
        </w:rPr>
        <w:t xml:space="preserve">importance of </w:t>
      </w:r>
      <w:r w:rsidR="00857AAD" w:rsidRPr="008E0AA1">
        <w:rPr>
          <w:color w:val="000000" w:themeColor="text1"/>
        </w:rPr>
        <w:t xml:space="preserve">reflective practice </w:t>
      </w:r>
      <w:r w:rsidR="00F50FDC" w:rsidRPr="008E0AA1">
        <w:rPr>
          <w:color w:val="000000" w:themeColor="text1"/>
        </w:rPr>
        <w:t>in</w:t>
      </w:r>
      <w:r w:rsidR="00393FDA" w:rsidRPr="008E0AA1">
        <w:rPr>
          <w:color w:val="000000" w:themeColor="text1"/>
        </w:rPr>
        <w:t xml:space="preserve"> professional learning and innovation strands</w:t>
      </w:r>
      <w:r w:rsidR="00857AAD" w:rsidRPr="008E0AA1">
        <w:rPr>
          <w:rStyle w:val="apple-converted-space"/>
          <w:color w:val="000000" w:themeColor="text1"/>
        </w:rPr>
        <w:t xml:space="preserve">. </w:t>
      </w:r>
      <w:r w:rsidR="00F53DE6" w:rsidRPr="008E0AA1">
        <w:rPr>
          <w:rStyle w:val="apple-converted-space"/>
          <w:color w:val="000000" w:themeColor="text1"/>
        </w:rPr>
        <w:t>Researchers use various methodologies t</w:t>
      </w:r>
      <w:r w:rsidRPr="008E0AA1">
        <w:rPr>
          <w:color w:val="000000" w:themeColor="text1"/>
        </w:rPr>
        <w:t xml:space="preserve">o </w:t>
      </w:r>
      <w:r w:rsidR="00CD01A2" w:rsidRPr="008E0AA1">
        <w:rPr>
          <w:color w:val="000000" w:themeColor="text1"/>
        </w:rPr>
        <w:t>ensure the acquisition of reliable and insightful data. This review focuses on two commonly used approaches: semi-structured interviews and observations.</w:t>
      </w:r>
    </w:p>
    <w:p w14:paraId="17E88D27" w14:textId="77777777" w:rsidR="00D66594" w:rsidRPr="008E0AA1" w:rsidRDefault="00D66594" w:rsidP="00E11B55">
      <w:pPr>
        <w:spacing w:line="360" w:lineRule="auto"/>
        <w:jc w:val="both"/>
        <w:rPr>
          <w:rFonts w:ascii="Calibri" w:hAnsi="Calibri" w:cs="Calibri"/>
          <w:color w:val="000000" w:themeColor="text1"/>
        </w:rPr>
      </w:pPr>
    </w:p>
    <w:p w14:paraId="3FF28664" w14:textId="0AECB06A" w:rsidR="00E11B55" w:rsidRPr="008E0AA1" w:rsidRDefault="001C0B33" w:rsidP="00E11B55">
      <w:pPr>
        <w:spacing w:line="360" w:lineRule="auto"/>
        <w:jc w:val="both"/>
        <w:rPr>
          <w:rFonts w:ascii="Calibri" w:hAnsi="Calibri" w:cs="Calibri"/>
          <w:color w:val="000000" w:themeColor="text1"/>
        </w:rPr>
      </w:pPr>
      <w:r w:rsidRPr="008E0AA1">
        <w:rPr>
          <w:rFonts w:ascii="Calibri" w:hAnsi="Calibri" w:cs="Calibri"/>
          <w:color w:val="000000" w:themeColor="text1"/>
        </w:rPr>
        <w:t>Due to the nature of this research project</w:t>
      </w:r>
      <w:r w:rsidR="00021377" w:rsidRPr="008E0AA1">
        <w:rPr>
          <w:rFonts w:ascii="Calibri" w:hAnsi="Calibri" w:cs="Calibri"/>
          <w:color w:val="000000" w:themeColor="text1"/>
        </w:rPr>
        <w:t>, which</w:t>
      </w:r>
      <w:r w:rsidRPr="008E0AA1">
        <w:rPr>
          <w:rFonts w:ascii="Calibri" w:hAnsi="Calibri" w:cs="Calibri"/>
          <w:color w:val="000000" w:themeColor="text1"/>
        </w:rPr>
        <w:t xml:space="preserve"> </w:t>
      </w:r>
      <w:r w:rsidR="00021377" w:rsidRPr="008E0AA1">
        <w:rPr>
          <w:rFonts w:ascii="Calibri" w:hAnsi="Calibri" w:cs="Calibri"/>
          <w:color w:val="000000" w:themeColor="text1"/>
        </w:rPr>
        <w:t>was</w:t>
      </w:r>
      <w:r w:rsidRPr="008E0AA1">
        <w:rPr>
          <w:rFonts w:ascii="Calibri" w:hAnsi="Calibri" w:cs="Calibri"/>
          <w:color w:val="000000" w:themeColor="text1"/>
        </w:rPr>
        <w:t xml:space="preserve"> conducted with young children, observations were sought as an effective data collection</w:t>
      </w:r>
      <w:r w:rsidR="00F53DE6" w:rsidRPr="008E0AA1">
        <w:rPr>
          <w:rFonts w:ascii="Calibri" w:hAnsi="Calibri" w:cs="Calibri"/>
          <w:color w:val="000000" w:themeColor="text1"/>
        </w:rPr>
        <w:t xml:space="preserve"> method</w:t>
      </w:r>
      <w:r w:rsidRPr="008E0AA1">
        <w:rPr>
          <w:rFonts w:ascii="Calibri" w:hAnsi="Calibri" w:cs="Calibri"/>
          <w:color w:val="000000" w:themeColor="text1"/>
        </w:rPr>
        <w:t xml:space="preserve">. According to </w:t>
      </w:r>
      <w:r w:rsidRPr="00BB66AE">
        <w:rPr>
          <w:rFonts w:ascii="Calibri" w:hAnsi="Calibri" w:cs="Calibri"/>
          <w:color w:val="000000" w:themeColor="text1"/>
        </w:rPr>
        <w:t>Clark (</w:t>
      </w:r>
      <w:r w:rsidR="00021377" w:rsidRPr="00BB66AE">
        <w:rPr>
          <w:rFonts w:ascii="Calibri" w:hAnsi="Calibri" w:cs="Calibri"/>
          <w:color w:val="000000" w:themeColor="text1"/>
        </w:rPr>
        <w:t>2005</w:t>
      </w:r>
      <w:r w:rsidRPr="00BB66AE">
        <w:rPr>
          <w:rFonts w:ascii="Calibri" w:hAnsi="Calibri" w:cs="Calibri"/>
          <w:color w:val="000000" w:themeColor="text1"/>
        </w:rPr>
        <w:t>)</w:t>
      </w:r>
      <w:r w:rsidR="00021377" w:rsidRPr="00BB66AE">
        <w:rPr>
          <w:rFonts w:ascii="Calibri" w:hAnsi="Calibri" w:cs="Calibri"/>
          <w:color w:val="000000" w:themeColor="text1"/>
        </w:rPr>
        <w:t>,</w:t>
      </w:r>
      <w:r w:rsidRPr="00BB66AE">
        <w:rPr>
          <w:rFonts w:ascii="Calibri" w:hAnsi="Calibri" w:cs="Calibri"/>
          <w:color w:val="000000" w:themeColor="text1"/>
        </w:rPr>
        <w:t xml:space="preserve"> </w:t>
      </w:r>
      <w:r w:rsidR="00021377" w:rsidRPr="008E0AA1">
        <w:rPr>
          <w:rFonts w:ascii="Calibri" w:hAnsi="Calibri" w:cs="Calibri"/>
          <w:color w:val="000000" w:themeColor="text1"/>
        </w:rPr>
        <w:t xml:space="preserve">observation is a long-standing research tool in </w:t>
      </w:r>
      <w:r w:rsidR="00F53DE6" w:rsidRPr="008E0AA1">
        <w:rPr>
          <w:rFonts w:ascii="Calibri" w:hAnsi="Calibri" w:cs="Calibri"/>
          <w:color w:val="000000" w:themeColor="text1"/>
        </w:rPr>
        <w:t>education's</w:t>
      </w:r>
      <w:r w:rsidR="00021377" w:rsidRPr="008E0AA1">
        <w:rPr>
          <w:rFonts w:ascii="Calibri" w:hAnsi="Calibri" w:cs="Calibri"/>
          <w:color w:val="000000" w:themeColor="text1"/>
        </w:rPr>
        <w:t xml:space="preserve"> early years. This</w:t>
      </w:r>
      <w:r w:rsidRPr="008E0AA1">
        <w:rPr>
          <w:rFonts w:ascii="Calibri" w:hAnsi="Calibri" w:cs="Calibri"/>
          <w:color w:val="000000" w:themeColor="text1"/>
        </w:rPr>
        <w:t xml:space="preserve"> qualitative approach enables the researcher to </w:t>
      </w:r>
      <w:r w:rsidR="00021377" w:rsidRPr="008E0AA1">
        <w:rPr>
          <w:rFonts w:ascii="Calibri" w:hAnsi="Calibri" w:cs="Calibri"/>
          <w:color w:val="000000" w:themeColor="text1"/>
        </w:rPr>
        <w:t>ga</w:t>
      </w:r>
      <w:r w:rsidRPr="008E0AA1">
        <w:rPr>
          <w:rFonts w:ascii="Calibri" w:hAnsi="Calibri" w:cs="Calibri"/>
          <w:color w:val="000000" w:themeColor="text1"/>
        </w:rPr>
        <w:t>ther evidence</w:t>
      </w:r>
      <w:r w:rsidR="00021377" w:rsidRPr="008E0AA1">
        <w:rPr>
          <w:rFonts w:ascii="Calibri" w:hAnsi="Calibri" w:cs="Calibri"/>
          <w:color w:val="000000" w:themeColor="text1"/>
        </w:rPr>
        <w:t xml:space="preserve"> from the actions and interactions of participants. </w:t>
      </w:r>
      <w:r w:rsidR="003C7086" w:rsidRPr="008E0AA1">
        <w:rPr>
          <w:rFonts w:ascii="Calibri" w:hAnsi="Calibri" w:cs="Calibri"/>
          <w:color w:val="000000" w:themeColor="text1"/>
        </w:rPr>
        <w:t>In this process, the researcher records the behaviours, content-related elements, processes, or interactions of a subject who is engaged in a particular task or sequence of tasks</w:t>
      </w:r>
      <w:r w:rsidR="00021377" w:rsidRPr="008E0AA1">
        <w:rPr>
          <w:rFonts w:ascii="Calibri" w:hAnsi="Calibri" w:cs="Calibri"/>
          <w:color w:val="000000" w:themeColor="text1"/>
        </w:rPr>
        <w:t xml:space="preserve"> </w:t>
      </w:r>
      <w:r w:rsidR="00021377" w:rsidRPr="00BB66AE">
        <w:rPr>
          <w:rFonts w:ascii="Calibri" w:hAnsi="Calibri" w:cs="Calibri"/>
          <w:color w:val="000000" w:themeColor="text1"/>
        </w:rPr>
        <w:t>(Bell and Waters, 2018)</w:t>
      </w:r>
      <w:r w:rsidR="003C7086" w:rsidRPr="00BB66AE">
        <w:rPr>
          <w:rFonts w:ascii="Calibri" w:hAnsi="Calibri" w:cs="Calibri"/>
          <w:color w:val="000000" w:themeColor="text1"/>
        </w:rPr>
        <w:t>.</w:t>
      </w:r>
      <w:r w:rsidR="00D66594" w:rsidRPr="00BB66AE">
        <w:rPr>
          <w:rFonts w:ascii="Calibri" w:hAnsi="Calibri" w:cs="Calibri"/>
          <w:color w:val="000000" w:themeColor="text1"/>
        </w:rPr>
        <w:t xml:space="preserve"> </w:t>
      </w:r>
      <w:r w:rsidR="00E11B55" w:rsidRPr="008E0AA1">
        <w:rPr>
          <w:rFonts w:ascii="Calibri" w:hAnsi="Calibri" w:cs="Calibri"/>
          <w:color w:val="000000" w:themeColor="text1"/>
        </w:rPr>
        <w:t xml:space="preserve">Observations enable researchers to </w:t>
      </w:r>
      <w:r w:rsidR="006A403A" w:rsidRPr="008E0AA1">
        <w:rPr>
          <w:rFonts w:ascii="Calibri" w:hAnsi="Calibri" w:cs="Calibri"/>
          <w:color w:val="000000" w:themeColor="text1"/>
        </w:rPr>
        <w:t>generate a picture of the case study using</w:t>
      </w:r>
      <w:r w:rsidR="00E11B55" w:rsidRPr="008E0AA1">
        <w:rPr>
          <w:rFonts w:ascii="Calibri" w:hAnsi="Calibri" w:cs="Calibri"/>
          <w:color w:val="000000" w:themeColor="text1"/>
        </w:rPr>
        <w:t xml:space="preserve"> first-hand evidence and provide a strong foundation for understanding the studied people, events, and </w:t>
      </w:r>
      <w:r w:rsidR="00E11B55" w:rsidRPr="00BB66AE">
        <w:rPr>
          <w:rFonts w:ascii="Calibri" w:hAnsi="Calibri" w:cs="Calibri"/>
          <w:color w:val="000000" w:themeColor="text1"/>
        </w:rPr>
        <w:t>behaviours (</w:t>
      </w:r>
      <w:r w:rsidR="006A403A" w:rsidRPr="00BB66AE">
        <w:rPr>
          <w:rFonts w:ascii="Calibri" w:hAnsi="Calibri" w:cs="Calibri"/>
          <w:color w:val="000000" w:themeColor="text1"/>
        </w:rPr>
        <w:t xml:space="preserve">Wellington, 2015; </w:t>
      </w:r>
      <w:r w:rsidR="00E11B55" w:rsidRPr="00BB66AE">
        <w:rPr>
          <w:rFonts w:ascii="Calibri" w:hAnsi="Calibri" w:cs="Calibri"/>
          <w:color w:val="000000" w:themeColor="text1"/>
        </w:rPr>
        <w:t xml:space="preserve">Cohen, 2017; Palaiologou, 2014). </w:t>
      </w:r>
      <w:r w:rsidR="00E11B55" w:rsidRPr="00222B3F">
        <w:rPr>
          <w:rFonts w:ascii="Calibri" w:hAnsi="Calibri" w:cs="Calibri"/>
          <w:color w:val="000000" w:themeColor="text1"/>
        </w:rPr>
        <w:t xml:space="preserve">Cohen </w:t>
      </w:r>
      <w:r w:rsidR="00222B3F" w:rsidRPr="00222B3F">
        <w:rPr>
          <w:rFonts w:ascii="Calibri" w:hAnsi="Calibri" w:cs="Calibri"/>
          <w:color w:val="000000" w:themeColor="text1"/>
        </w:rPr>
        <w:t xml:space="preserve">et al. </w:t>
      </w:r>
      <w:r w:rsidR="00E11B55" w:rsidRPr="00222B3F">
        <w:rPr>
          <w:rFonts w:ascii="Calibri" w:hAnsi="Calibri" w:cs="Calibri"/>
          <w:color w:val="000000" w:themeColor="text1"/>
        </w:rPr>
        <w:t>(201</w:t>
      </w:r>
      <w:r w:rsidR="00BB66AE" w:rsidRPr="00222B3F">
        <w:rPr>
          <w:rFonts w:ascii="Calibri" w:hAnsi="Calibri" w:cs="Calibri"/>
          <w:color w:val="000000" w:themeColor="text1"/>
        </w:rPr>
        <w:t>8</w:t>
      </w:r>
      <w:r w:rsidR="007B0D38" w:rsidRPr="00222B3F">
        <w:rPr>
          <w:rFonts w:ascii="Calibri" w:hAnsi="Calibri" w:cs="Calibri"/>
          <w:color w:val="000000" w:themeColor="text1"/>
        </w:rPr>
        <w:t>,</w:t>
      </w:r>
      <w:r w:rsidR="00E11B55" w:rsidRPr="00222B3F">
        <w:rPr>
          <w:rFonts w:ascii="Calibri" w:hAnsi="Calibri" w:cs="Calibri"/>
          <w:color w:val="000000" w:themeColor="text1"/>
        </w:rPr>
        <w:t xml:space="preserve"> pp.</w:t>
      </w:r>
      <w:r w:rsidR="00222B3F" w:rsidRPr="00222B3F">
        <w:rPr>
          <w:rFonts w:ascii="Calibri" w:hAnsi="Calibri" w:cs="Calibri"/>
          <w:color w:val="000000" w:themeColor="text1"/>
        </w:rPr>
        <w:t>99</w:t>
      </w:r>
      <w:r w:rsidR="00E11B55" w:rsidRPr="00222B3F">
        <w:rPr>
          <w:rFonts w:ascii="Calibri" w:hAnsi="Calibri" w:cs="Calibri"/>
          <w:color w:val="000000" w:themeColor="text1"/>
        </w:rPr>
        <w:t xml:space="preserve">7) </w:t>
      </w:r>
      <w:r w:rsidR="00E11B55" w:rsidRPr="008E0AA1">
        <w:rPr>
          <w:rFonts w:ascii="Calibri" w:hAnsi="Calibri" w:cs="Calibri"/>
          <w:color w:val="000000" w:themeColor="text1"/>
        </w:rPr>
        <w:t xml:space="preserve">further argue that utilising observation as a primary research method can produce more accurate and genuine data </w:t>
      </w:r>
      <w:r w:rsidR="006A403A" w:rsidRPr="008E0AA1">
        <w:rPr>
          <w:rFonts w:ascii="Calibri" w:hAnsi="Calibri" w:cs="Calibri"/>
          <w:color w:val="000000" w:themeColor="text1"/>
        </w:rPr>
        <w:t>than</w:t>
      </w:r>
      <w:r w:rsidR="00E11B55" w:rsidRPr="008E0AA1">
        <w:rPr>
          <w:rFonts w:ascii="Calibri" w:hAnsi="Calibri" w:cs="Calibri"/>
          <w:color w:val="000000" w:themeColor="text1"/>
        </w:rPr>
        <w:t xml:space="preserve"> indirect approaches, increasing validity and offering “rich contextual information”. </w:t>
      </w:r>
      <w:r w:rsidR="006A403A" w:rsidRPr="00222B3F">
        <w:rPr>
          <w:rFonts w:ascii="Calibri" w:hAnsi="Calibri" w:cs="Calibri"/>
          <w:color w:val="000000" w:themeColor="text1"/>
        </w:rPr>
        <w:t xml:space="preserve">Wilson and Fox (2013) </w:t>
      </w:r>
      <w:r w:rsidR="006A403A" w:rsidRPr="008E0AA1">
        <w:rPr>
          <w:rFonts w:ascii="Calibri" w:hAnsi="Calibri" w:cs="Calibri"/>
          <w:color w:val="000000" w:themeColor="text1"/>
        </w:rPr>
        <w:t xml:space="preserve">recognise the importance of careful planning and preparation </w:t>
      </w:r>
      <w:r w:rsidR="001C0B95" w:rsidRPr="008E0AA1">
        <w:rPr>
          <w:rFonts w:ascii="Calibri" w:hAnsi="Calibri" w:cs="Calibri"/>
          <w:color w:val="000000" w:themeColor="text1"/>
        </w:rPr>
        <w:t>in deciding the focus and approach to recording the data generated within observations</w:t>
      </w:r>
      <w:r w:rsidR="003C7086" w:rsidRPr="008E0AA1">
        <w:rPr>
          <w:rFonts w:ascii="Calibri" w:hAnsi="Calibri" w:cs="Calibri"/>
          <w:color w:val="000000" w:themeColor="text1"/>
        </w:rPr>
        <w:t>. Therefore, an observation schedule was developed to support this case study</w:t>
      </w:r>
      <w:r w:rsidR="00D66594" w:rsidRPr="008E0AA1">
        <w:rPr>
          <w:rFonts w:ascii="Calibri" w:hAnsi="Calibri" w:cs="Calibri"/>
          <w:color w:val="000000" w:themeColor="text1"/>
        </w:rPr>
        <w:t xml:space="preserve"> (Appendix</w:t>
      </w:r>
      <w:r w:rsidR="001C0B95" w:rsidRPr="008E0AA1">
        <w:rPr>
          <w:rFonts w:ascii="Calibri" w:hAnsi="Calibri" w:cs="Calibri"/>
          <w:color w:val="000000" w:themeColor="text1"/>
        </w:rPr>
        <w:t xml:space="preserve"> </w:t>
      </w:r>
      <w:r w:rsidR="00996CF9" w:rsidRPr="008E0AA1">
        <w:rPr>
          <w:rFonts w:ascii="Calibri" w:hAnsi="Calibri" w:cs="Calibri"/>
          <w:color w:val="000000" w:themeColor="text1"/>
        </w:rPr>
        <w:t>C).</w:t>
      </w:r>
    </w:p>
    <w:p w14:paraId="374CCCF0" w14:textId="77777777" w:rsidR="00E11B55" w:rsidRPr="008E0AA1" w:rsidRDefault="00E11B55" w:rsidP="00E11B55">
      <w:pPr>
        <w:spacing w:line="360" w:lineRule="auto"/>
        <w:jc w:val="both"/>
        <w:rPr>
          <w:rFonts w:ascii="Calibri" w:hAnsi="Calibri" w:cs="Calibri"/>
          <w:color w:val="000000" w:themeColor="text1"/>
        </w:rPr>
      </w:pPr>
    </w:p>
    <w:p w14:paraId="005AD298" w14:textId="77777777" w:rsidR="00B21356" w:rsidRPr="008E0AA1" w:rsidRDefault="00E11B55" w:rsidP="00D75833">
      <w:pPr>
        <w:spacing w:line="360" w:lineRule="auto"/>
        <w:jc w:val="both"/>
        <w:rPr>
          <w:rFonts w:ascii="Calibri" w:hAnsi="Calibri" w:cs="Calibri"/>
          <w:color w:val="000000" w:themeColor="text1"/>
        </w:rPr>
      </w:pPr>
      <w:r w:rsidRPr="008E0AA1">
        <w:rPr>
          <w:rFonts w:ascii="Calibri" w:hAnsi="Calibri" w:cs="Calibri"/>
          <w:color w:val="000000" w:themeColor="text1"/>
        </w:rPr>
        <w:t>Whilst</w:t>
      </w:r>
      <w:r w:rsidR="003C7086" w:rsidRPr="008E0AA1">
        <w:rPr>
          <w:rFonts w:ascii="Calibri" w:hAnsi="Calibri" w:cs="Calibri"/>
          <w:color w:val="000000" w:themeColor="text1"/>
        </w:rPr>
        <w:t xml:space="preserve"> observations serve to provide valid data, </w:t>
      </w:r>
      <w:r w:rsidR="009F136C" w:rsidRPr="008E0AA1">
        <w:rPr>
          <w:rFonts w:ascii="Calibri" w:hAnsi="Calibri" w:cs="Calibri"/>
          <w:color w:val="000000" w:themeColor="text1"/>
        </w:rPr>
        <w:t>written</w:t>
      </w:r>
      <w:r w:rsidR="003C7086" w:rsidRPr="008E0AA1">
        <w:rPr>
          <w:rFonts w:ascii="Calibri" w:hAnsi="Calibri" w:cs="Calibri"/>
          <w:color w:val="000000" w:themeColor="text1"/>
        </w:rPr>
        <w:t xml:space="preserve"> </w:t>
      </w:r>
      <w:r w:rsidR="009F136C" w:rsidRPr="008E0AA1">
        <w:rPr>
          <w:rFonts w:ascii="Calibri" w:hAnsi="Calibri" w:cs="Calibri"/>
          <w:color w:val="000000" w:themeColor="text1"/>
        </w:rPr>
        <w:t>observations</w:t>
      </w:r>
      <w:r w:rsidR="003C7086" w:rsidRPr="008E0AA1">
        <w:rPr>
          <w:rFonts w:ascii="Calibri" w:hAnsi="Calibri" w:cs="Calibri"/>
          <w:color w:val="000000" w:themeColor="text1"/>
        </w:rPr>
        <w:t xml:space="preserve"> also </w:t>
      </w:r>
      <w:r w:rsidR="009F136C" w:rsidRPr="008E0AA1">
        <w:rPr>
          <w:rFonts w:ascii="Calibri" w:hAnsi="Calibri" w:cs="Calibri"/>
          <w:color w:val="000000" w:themeColor="text1"/>
        </w:rPr>
        <w:t>have</w:t>
      </w:r>
      <w:r w:rsidR="003C7086" w:rsidRPr="008E0AA1">
        <w:rPr>
          <w:rFonts w:ascii="Calibri" w:hAnsi="Calibri" w:cs="Calibri"/>
          <w:color w:val="000000" w:themeColor="text1"/>
        </w:rPr>
        <w:t xml:space="preserve"> </w:t>
      </w:r>
      <w:r w:rsidR="009F136C" w:rsidRPr="008E0AA1">
        <w:rPr>
          <w:rFonts w:ascii="Calibri" w:hAnsi="Calibri" w:cs="Calibri"/>
          <w:color w:val="000000" w:themeColor="text1"/>
        </w:rPr>
        <w:t>shortcoming</w:t>
      </w:r>
      <w:r w:rsidR="003C7086" w:rsidRPr="008E0AA1">
        <w:rPr>
          <w:rFonts w:ascii="Calibri" w:hAnsi="Calibri" w:cs="Calibri"/>
          <w:color w:val="000000" w:themeColor="text1"/>
        </w:rPr>
        <w:t>s</w:t>
      </w:r>
      <w:r w:rsidR="007B0D38" w:rsidRPr="008E0AA1">
        <w:rPr>
          <w:rFonts w:ascii="Calibri" w:hAnsi="Calibri" w:cs="Calibri"/>
          <w:color w:val="000000" w:themeColor="text1"/>
        </w:rPr>
        <w:t xml:space="preserve">. </w:t>
      </w:r>
      <w:r w:rsidR="007B0D38" w:rsidRPr="00222B3F">
        <w:rPr>
          <w:rFonts w:ascii="Calibri" w:hAnsi="Calibri" w:cs="Calibri"/>
          <w:color w:val="000000" w:themeColor="text1"/>
        </w:rPr>
        <w:t xml:space="preserve">Wilson and Fox (2013) </w:t>
      </w:r>
      <w:r w:rsidR="007B0D38" w:rsidRPr="008E0AA1">
        <w:rPr>
          <w:rFonts w:ascii="Calibri" w:hAnsi="Calibri" w:cs="Calibri"/>
          <w:color w:val="000000" w:themeColor="text1"/>
        </w:rPr>
        <w:t>recognise the possibility of changes in participant behaviour due to the observer's presence and that the immediate nature of written observations could cause the data collected to be somewhat superficial.</w:t>
      </w:r>
      <w:r w:rsidR="005E32CD" w:rsidRPr="008E0AA1">
        <w:rPr>
          <w:rFonts w:ascii="Calibri" w:hAnsi="Calibri" w:cs="Calibri"/>
          <w:color w:val="000000" w:themeColor="text1"/>
        </w:rPr>
        <w:t xml:space="preserve"> </w:t>
      </w:r>
      <w:r w:rsidR="009F136C" w:rsidRPr="008E0AA1">
        <w:rPr>
          <w:rFonts w:ascii="Calibri" w:hAnsi="Calibri" w:cs="Calibri"/>
          <w:color w:val="000000" w:themeColor="text1"/>
        </w:rPr>
        <w:t>Furthermore</w:t>
      </w:r>
      <w:r w:rsidR="009F136C" w:rsidRPr="00222B3F">
        <w:rPr>
          <w:rFonts w:ascii="Calibri" w:hAnsi="Calibri" w:cs="Calibri"/>
          <w:color w:val="000000" w:themeColor="text1"/>
        </w:rPr>
        <w:t xml:space="preserve">, Denscombe (2007) </w:t>
      </w:r>
      <w:r w:rsidR="009F136C" w:rsidRPr="008E0AA1">
        <w:rPr>
          <w:rFonts w:ascii="Calibri" w:hAnsi="Calibri" w:cs="Calibri"/>
          <w:color w:val="000000" w:themeColor="text1"/>
        </w:rPr>
        <w:t xml:space="preserve">acknowledges </w:t>
      </w:r>
      <w:r w:rsidR="00040973" w:rsidRPr="008E0AA1">
        <w:rPr>
          <w:rFonts w:ascii="Calibri" w:hAnsi="Calibri" w:cs="Calibri"/>
          <w:color w:val="000000" w:themeColor="text1"/>
        </w:rPr>
        <w:t xml:space="preserve">that the </w:t>
      </w:r>
      <w:r w:rsidR="001A1816" w:rsidRPr="008E0AA1">
        <w:rPr>
          <w:rFonts w:ascii="Calibri" w:hAnsi="Calibri" w:cs="Calibri"/>
          <w:color w:val="000000" w:themeColor="text1"/>
        </w:rPr>
        <w:t xml:space="preserve">research method of participant observation </w:t>
      </w:r>
      <w:r w:rsidR="00040973" w:rsidRPr="008E0AA1">
        <w:rPr>
          <w:rFonts w:ascii="Calibri" w:hAnsi="Calibri" w:cs="Calibri"/>
          <w:color w:val="000000" w:themeColor="text1"/>
        </w:rPr>
        <w:t>depends</w:t>
      </w:r>
      <w:r w:rsidR="001A1816" w:rsidRPr="008E0AA1">
        <w:rPr>
          <w:rFonts w:ascii="Calibri" w:hAnsi="Calibri" w:cs="Calibri"/>
          <w:color w:val="000000" w:themeColor="text1"/>
        </w:rPr>
        <w:t xml:space="preserve"> on the researcher's accounts and field notes, which results in a lack of verifiable data. This, in turn, makes it challenging to replicate a study and verify its reliability.</w:t>
      </w:r>
      <w:r w:rsidR="00040973" w:rsidRPr="008E0AA1">
        <w:rPr>
          <w:rFonts w:ascii="Calibri" w:hAnsi="Calibri" w:cs="Calibri"/>
          <w:color w:val="000000" w:themeColor="text1"/>
        </w:rPr>
        <w:t xml:space="preserve"> </w:t>
      </w:r>
      <w:r w:rsidRPr="008E0AA1">
        <w:rPr>
          <w:rFonts w:ascii="Calibri" w:hAnsi="Calibri" w:cs="Calibri"/>
          <w:color w:val="000000" w:themeColor="text1"/>
        </w:rPr>
        <w:t xml:space="preserve">Using an observation method for this research case </w:t>
      </w:r>
      <w:r w:rsidRPr="008E0AA1">
        <w:rPr>
          <w:rFonts w:ascii="Calibri" w:hAnsi="Calibri" w:cs="Calibri"/>
          <w:color w:val="000000" w:themeColor="text1"/>
        </w:rPr>
        <w:lastRenderedPageBreak/>
        <w:t xml:space="preserve">study, a picture was built of how each participant interacted with the environment, with others socially, and with their play preferences. </w:t>
      </w:r>
    </w:p>
    <w:p w14:paraId="3BBC66A4" w14:textId="77777777" w:rsidR="00B21356" w:rsidRPr="008E0AA1" w:rsidRDefault="00B21356" w:rsidP="00D75833">
      <w:pPr>
        <w:spacing w:line="360" w:lineRule="auto"/>
        <w:jc w:val="both"/>
        <w:rPr>
          <w:rFonts w:ascii="Calibri" w:hAnsi="Calibri" w:cs="Calibri"/>
          <w:color w:val="000000" w:themeColor="text1"/>
        </w:rPr>
      </w:pPr>
    </w:p>
    <w:p w14:paraId="69544157" w14:textId="3D05C00D" w:rsidR="007B0D38" w:rsidRPr="008E0AA1" w:rsidRDefault="007B0D38" w:rsidP="00D75833">
      <w:pPr>
        <w:spacing w:line="360" w:lineRule="auto"/>
        <w:jc w:val="both"/>
        <w:rPr>
          <w:rFonts w:ascii="Calibri" w:hAnsi="Calibri" w:cs="Calibri"/>
          <w:color w:val="000000" w:themeColor="text1"/>
        </w:rPr>
      </w:pPr>
      <w:r w:rsidRPr="008E0AA1">
        <w:rPr>
          <w:rFonts w:ascii="Calibri" w:hAnsi="Calibri" w:cs="Calibri"/>
          <w:color w:val="000000" w:themeColor="text1"/>
        </w:rPr>
        <w:t>An observation schedule was developed to alleviate some of the limitations of observations as a research method</w:t>
      </w:r>
      <w:r w:rsidR="00040973" w:rsidRPr="008E0AA1">
        <w:rPr>
          <w:rFonts w:ascii="Calibri" w:hAnsi="Calibri" w:cs="Calibri"/>
          <w:color w:val="000000" w:themeColor="text1"/>
        </w:rPr>
        <w:t xml:space="preserve"> (Appendix C)</w:t>
      </w:r>
      <w:r w:rsidRPr="008E0AA1">
        <w:rPr>
          <w:rFonts w:ascii="Calibri" w:hAnsi="Calibri" w:cs="Calibri"/>
          <w:color w:val="000000" w:themeColor="text1"/>
        </w:rPr>
        <w:t xml:space="preserve">. </w:t>
      </w:r>
      <w:r w:rsidR="001C0B33" w:rsidRPr="008E0AA1">
        <w:rPr>
          <w:rFonts w:ascii="Calibri" w:hAnsi="Calibri" w:cs="Calibri"/>
          <w:color w:val="000000" w:themeColor="text1"/>
        </w:rPr>
        <w:t xml:space="preserve">The schedule ensured the </w:t>
      </w:r>
      <w:r w:rsidRPr="008E0AA1">
        <w:rPr>
          <w:rFonts w:ascii="Calibri" w:hAnsi="Calibri" w:cs="Calibri"/>
          <w:color w:val="000000" w:themeColor="text1"/>
        </w:rPr>
        <w:t xml:space="preserve">research </w:t>
      </w:r>
      <w:r w:rsidR="001C0B33" w:rsidRPr="008E0AA1">
        <w:rPr>
          <w:rFonts w:ascii="Calibri" w:hAnsi="Calibri" w:cs="Calibri"/>
          <w:color w:val="000000" w:themeColor="text1"/>
        </w:rPr>
        <w:t>observations were</w:t>
      </w:r>
      <w:r w:rsidRPr="008E0AA1">
        <w:rPr>
          <w:rFonts w:ascii="Calibri" w:hAnsi="Calibri" w:cs="Calibri"/>
          <w:color w:val="000000" w:themeColor="text1"/>
        </w:rPr>
        <w:t xml:space="preserve"> focused</w:t>
      </w:r>
      <w:r w:rsidR="001C0B33" w:rsidRPr="008E0AA1">
        <w:rPr>
          <w:rFonts w:ascii="Calibri" w:hAnsi="Calibri" w:cs="Calibri"/>
          <w:color w:val="000000" w:themeColor="text1"/>
        </w:rPr>
        <w:t xml:space="preserve"> and consistent</w:t>
      </w:r>
      <w:r w:rsidRPr="008E0AA1">
        <w:rPr>
          <w:rFonts w:ascii="Calibri" w:hAnsi="Calibri" w:cs="Calibri"/>
          <w:color w:val="000000" w:themeColor="text1"/>
        </w:rPr>
        <w:t>, with clear guidelines for the types of data, interactions, and behaviours to be recorded.</w:t>
      </w:r>
      <w:r w:rsidR="001C0B33" w:rsidRPr="008E0AA1">
        <w:rPr>
          <w:rFonts w:ascii="Calibri" w:hAnsi="Calibri" w:cs="Calibri"/>
          <w:color w:val="000000" w:themeColor="text1"/>
        </w:rPr>
        <w:t xml:space="preserve"> This ensured that enough observational data was collected for future analysis.</w:t>
      </w:r>
      <w:r w:rsidR="003B74B8" w:rsidRPr="008E0AA1">
        <w:rPr>
          <w:rFonts w:ascii="Calibri" w:hAnsi="Calibri" w:cs="Calibri"/>
          <w:color w:val="000000" w:themeColor="text1"/>
        </w:rPr>
        <w:t xml:space="preserve"> All participants were consulted for their assent, informed of the nature of the </w:t>
      </w:r>
      <w:r w:rsidR="00DD67CD" w:rsidRPr="008E0AA1">
        <w:rPr>
          <w:rFonts w:ascii="Calibri" w:hAnsi="Calibri" w:cs="Calibri"/>
          <w:color w:val="000000" w:themeColor="text1"/>
        </w:rPr>
        <w:t>observations,</w:t>
      </w:r>
      <w:r w:rsidR="003B74B8" w:rsidRPr="008E0AA1">
        <w:rPr>
          <w:rFonts w:ascii="Calibri" w:hAnsi="Calibri" w:cs="Calibri"/>
          <w:color w:val="000000" w:themeColor="text1"/>
        </w:rPr>
        <w:t xml:space="preserve"> and informed of their right to withdraw at any time. </w:t>
      </w:r>
    </w:p>
    <w:p w14:paraId="40CAE3AD" w14:textId="77777777" w:rsidR="007B0D38" w:rsidRPr="008E0AA1" w:rsidRDefault="007B0D38" w:rsidP="00D75833">
      <w:pPr>
        <w:spacing w:line="360" w:lineRule="auto"/>
        <w:jc w:val="both"/>
        <w:rPr>
          <w:rFonts w:ascii="Calibri" w:hAnsi="Calibri" w:cs="Calibri"/>
          <w:color w:val="000000" w:themeColor="text1"/>
        </w:rPr>
      </w:pPr>
    </w:p>
    <w:p w14:paraId="4ABAE5F1" w14:textId="6B982D90" w:rsidR="00857AAD" w:rsidRPr="008E0AA1" w:rsidRDefault="005372FF" w:rsidP="00D75833">
      <w:pPr>
        <w:spacing w:line="360" w:lineRule="auto"/>
        <w:jc w:val="both"/>
        <w:rPr>
          <w:color w:val="000000" w:themeColor="text1"/>
        </w:rPr>
      </w:pPr>
      <w:r w:rsidRPr="008E0AA1">
        <w:rPr>
          <w:color w:val="000000" w:themeColor="text1"/>
        </w:rPr>
        <w:t>Complementing the observation method, s</w:t>
      </w:r>
      <w:r w:rsidR="00857AAD" w:rsidRPr="008E0AA1">
        <w:rPr>
          <w:color w:val="000000" w:themeColor="text1"/>
        </w:rPr>
        <w:t>emi-structured interviews offer a flexible approach to data collection,</w:t>
      </w:r>
      <w:r w:rsidR="00857AAD" w:rsidRPr="008E0AA1">
        <w:rPr>
          <w:rStyle w:val="apple-converted-space"/>
          <w:color w:val="000000" w:themeColor="text1"/>
        </w:rPr>
        <w:t> </w:t>
      </w:r>
      <w:r w:rsidR="00857AAD" w:rsidRPr="008E0AA1">
        <w:rPr>
          <w:color w:val="000000" w:themeColor="text1"/>
        </w:rPr>
        <w:t xml:space="preserve">allowing researchers to delve deeper into participants' experiences and </w:t>
      </w:r>
      <w:r w:rsidR="00857AAD" w:rsidRPr="00222B3F">
        <w:rPr>
          <w:color w:val="000000" w:themeColor="text1"/>
        </w:rPr>
        <w:t>perspectives (Denscombe,</w:t>
      </w:r>
      <w:r w:rsidR="00857AAD" w:rsidRPr="00222B3F">
        <w:rPr>
          <w:rStyle w:val="apple-converted-space"/>
          <w:color w:val="000000" w:themeColor="text1"/>
        </w:rPr>
        <w:t> </w:t>
      </w:r>
      <w:r w:rsidR="00857AAD" w:rsidRPr="00222B3F">
        <w:rPr>
          <w:color w:val="000000" w:themeColor="text1"/>
        </w:rPr>
        <w:t>2007).</w:t>
      </w:r>
      <w:r w:rsidR="00857AAD" w:rsidRPr="00222B3F">
        <w:rPr>
          <w:rStyle w:val="apple-converted-space"/>
          <w:color w:val="000000" w:themeColor="text1"/>
        </w:rPr>
        <w:t> </w:t>
      </w:r>
      <w:r w:rsidR="00857AAD" w:rsidRPr="008E0AA1">
        <w:rPr>
          <w:color w:val="000000" w:themeColor="text1"/>
        </w:rPr>
        <w:t>Unlike structured interviews</w:t>
      </w:r>
      <w:r w:rsidR="00040973" w:rsidRPr="008E0AA1">
        <w:rPr>
          <w:color w:val="000000" w:themeColor="text1"/>
        </w:rPr>
        <w:t xml:space="preserve"> with</w:t>
      </w:r>
      <w:r w:rsidR="00857AAD" w:rsidRPr="008E0AA1">
        <w:rPr>
          <w:color w:val="000000" w:themeColor="text1"/>
        </w:rPr>
        <w:t xml:space="preserve"> a pre-set list of closed questions,</w:t>
      </w:r>
      <w:r w:rsidR="00857AAD" w:rsidRPr="008E0AA1">
        <w:rPr>
          <w:rStyle w:val="apple-converted-space"/>
          <w:color w:val="000000" w:themeColor="text1"/>
        </w:rPr>
        <w:t> </w:t>
      </w:r>
      <w:r w:rsidR="00857AAD" w:rsidRPr="008E0AA1">
        <w:rPr>
          <w:color w:val="000000" w:themeColor="text1"/>
        </w:rPr>
        <w:t>semi-structured interviews use an interview guide with open-ended prompts.</w:t>
      </w:r>
      <w:r w:rsidR="00857AAD" w:rsidRPr="008E0AA1">
        <w:rPr>
          <w:rStyle w:val="apple-converted-space"/>
          <w:color w:val="000000" w:themeColor="text1"/>
        </w:rPr>
        <w:t> </w:t>
      </w:r>
      <w:r w:rsidR="00857AAD" w:rsidRPr="008E0AA1">
        <w:rPr>
          <w:color w:val="000000" w:themeColor="text1"/>
        </w:rPr>
        <w:t>This enables researchers to follow up on interesting p</w:t>
      </w:r>
      <w:r w:rsidR="00160BCB" w:rsidRPr="008E0AA1">
        <w:rPr>
          <w:color w:val="000000" w:themeColor="text1"/>
        </w:rPr>
        <w:t>articipant</w:t>
      </w:r>
      <w:r w:rsidR="00857AAD" w:rsidRPr="008E0AA1">
        <w:rPr>
          <w:color w:val="000000" w:themeColor="text1"/>
        </w:rPr>
        <w:t xml:space="preserve"> p</w:t>
      </w:r>
      <w:r w:rsidR="00160BCB" w:rsidRPr="008E0AA1">
        <w:rPr>
          <w:color w:val="000000" w:themeColor="text1"/>
        </w:rPr>
        <w:t>oi</w:t>
      </w:r>
      <w:r w:rsidR="00857AAD" w:rsidRPr="008E0AA1">
        <w:rPr>
          <w:color w:val="000000" w:themeColor="text1"/>
        </w:rPr>
        <w:t>nts,</w:t>
      </w:r>
      <w:r w:rsidR="00857AAD" w:rsidRPr="008E0AA1">
        <w:rPr>
          <w:rStyle w:val="apple-converted-space"/>
          <w:color w:val="000000" w:themeColor="text1"/>
        </w:rPr>
        <w:t> </w:t>
      </w:r>
      <w:r w:rsidR="00857AAD" w:rsidRPr="008E0AA1">
        <w:rPr>
          <w:color w:val="000000" w:themeColor="text1"/>
        </w:rPr>
        <w:t xml:space="preserve">leading to richer data </w:t>
      </w:r>
      <w:r w:rsidR="00857AAD" w:rsidRPr="00222B3F">
        <w:rPr>
          <w:color w:val="000000" w:themeColor="text1"/>
        </w:rPr>
        <w:t>(Bryman,</w:t>
      </w:r>
      <w:r w:rsidR="00857AAD" w:rsidRPr="00222B3F">
        <w:rPr>
          <w:rStyle w:val="apple-converted-space"/>
          <w:color w:val="000000" w:themeColor="text1"/>
        </w:rPr>
        <w:t> </w:t>
      </w:r>
      <w:r w:rsidR="00857AAD" w:rsidRPr="00222B3F">
        <w:rPr>
          <w:color w:val="000000" w:themeColor="text1"/>
        </w:rPr>
        <w:t>2016</w:t>
      </w:r>
      <w:r w:rsidR="00E852F2" w:rsidRPr="00222B3F">
        <w:rPr>
          <w:color w:val="000000" w:themeColor="text1"/>
        </w:rPr>
        <w:t>; Dana and Yendol-Hoppey, 2020</w:t>
      </w:r>
      <w:r w:rsidR="00857AAD" w:rsidRPr="00222B3F">
        <w:rPr>
          <w:color w:val="000000" w:themeColor="text1"/>
        </w:rPr>
        <w:t>).</w:t>
      </w:r>
      <w:r w:rsidR="00E852F2" w:rsidRPr="00222B3F">
        <w:rPr>
          <w:color w:val="000000" w:themeColor="text1"/>
        </w:rPr>
        <w:t xml:space="preserve"> </w:t>
      </w:r>
    </w:p>
    <w:p w14:paraId="66E69D1F" w14:textId="77777777" w:rsidR="00857AAD" w:rsidRPr="008E0AA1" w:rsidRDefault="00857AAD" w:rsidP="00D75833">
      <w:pPr>
        <w:spacing w:line="360" w:lineRule="auto"/>
        <w:jc w:val="both"/>
        <w:rPr>
          <w:color w:val="000000" w:themeColor="text1"/>
        </w:rPr>
      </w:pPr>
    </w:p>
    <w:p w14:paraId="073D8A23" w14:textId="7068B85C" w:rsidR="00863081" w:rsidRPr="008E0AA1" w:rsidRDefault="00BC1CD1" w:rsidP="00D75833">
      <w:pPr>
        <w:spacing w:line="360" w:lineRule="auto"/>
        <w:jc w:val="both"/>
        <w:rPr>
          <w:rStyle w:val="apple-converted-space"/>
          <w:color w:val="000000" w:themeColor="text1"/>
        </w:rPr>
      </w:pPr>
      <w:r w:rsidRPr="008E0AA1">
        <w:rPr>
          <w:color w:val="000000" w:themeColor="text1"/>
        </w:rPr>
        <w:t xml:space="preserve">One of the key strengths of semi-structured interviews is their ability to uncover </w:t>
      </w:r>
      <w:r w:rsidR="005372FF" w:rsidRPr="008E0AA1">
        <w:rPr>
          <w:color w:val="000000" w:themeColor="text1"/>
        </w:rPr>
        <w:t xml:space="preserve">participant experiences and opinions </w:t>
      </w:r>
      <w:r w:rsidR="005372FF" w:rsidRPr="00222B3F">
        <w:rPr>
          <w:color w:val="000000" w:themeColor="text1"/>
        </w:rPr>
        <w:t>(</w:t>
      </w:r>
      <w:r w:rsidR="00E34637" w:rsidRPr="00222B3F">
        <w:rPr>
          <w:color w:val="000000" w:themeColor="text1"/>
        </w:rPr>
        <w:t>Winwood</w:t>
      </w:r>
      <w:r w:rsidR="005372FF" w:rsidRPr="00222B3F">
        <w:rPr>
          <w:color w:val="000000" w:themeColor="text1"/>
        </w:rPr>
        <w:t xml:space="preserve"> 2018)</w:t>
      </w:r>
      <w:r w:rsidRPr="00222B3F">
        <w:rPr>
          <w:color w:val="000000" w:themeColor="text1"/>
        </w:rPr>
        <w:t>.</w:t>
      </w:r>
      <w:r w:rsidRPr="00222B3F">
        <w:rPr>
          <w:rStyle w:val="apple-converted-space"/>
          <w:color w:val="000000" w:themeColor="text1"/>
        </w:rPr>
        <w:t> </w:t>
      </w:r>
      <w:r w:rsidRPr="008E0AA1">
        <w:rPr>
          <w:color w:val="000000" w:themeColor="text1"/>
        </w:rPr>
        <w:t>Additionally,</w:t>
      </w:r>
      <w:r w:rsidRPr="008E0AA1">
        <w:rPr>
          <w:rStyle w:val="apple-converted-space"/>
          <w:color w:val="000000" w:themeColor="text1"/>
        </w:rPr>
        <w:t> </w:t>
      </w:r>
      <w:r w:rsidRPr="008E0AA1">
        <w:rPr>
          <w:color w:val="000000" w:themeColor="text1"/>
        </w:rPr>
        <w:t xml:space="preserve">they allow researchers to clarify participant responses and probe for deeper understanding </w:t>
      </w:r>
      <w:r w:rsidRPr="00222B3F">
        <w:rPr>
          <w:color w:val="000000" w:themeColor="text1"/>
        </w:rPr>
        <w:t>(</w:t>
      </w:r>
      <w:r w:rsidR="00863081" w:rsidRPr="00222B3F">
        <w:rPr>
          <w:color w:val="000000" w:themeColor="text1"/>
        </w:rPr>
        <w:t>Buckler and Walliman</w:t>
      </w:r>
      <w:r w:rsidRPr="00222B3F">
        <w:rPr>
          <w:color w:val="000000" w:themeColor="text1"/>
        </w:rPr>
        <w:t>,</w:t>
      </w:r>
      <w:r w:rsidRPr="00222B3F">
        <w:rPr>
          <w:rStyle w:val="apple-converted-space"/>
          <w:color w:val="000000" w:themeColor="text1"/>
        </w:rPr>
        <w:t> </w:t>
      </w:r>
      <w:r w:rsidRPr="00222B3F">
        <w:rPr>
          <w:color w:val="000000" w:themeColor="text1"/>
        </w:rPr>
        <w:t>20</w:t>
      </w:r>
      <w:r w:rsidR="00863081" w:rsidRPr="00222B3F">
        <w:rPr>
          <w:color w:val="000000" w:themeColor="text1"/>
        </w:rPr>
        <w:t>16</w:t>
      </w:r>
      <w:r w:rsidRPr="00222B3F">
        <w:rPr>
          <w:color w:val="000000" w:themeColor="text1"/>
        </w:rPr>
        <w:t>).</w:t>
      </w:r>
      <w:r w:rsidRPr="00222B3F">
        <w:rPr>
          <w:rStyle w:val="apple-converted-space"/>
          <w:color w:val="000000" w:themeColor="text1"/>
        </w:rPr>
        <w:t> </w:t>
      </w:r>
      <w:r w:rsidR="00570BE4" w:rsidRPr="00222B3F">
        <w:rPr>
          <w:rStyle w:val="apple-converted-space"/>
          <w:color w:val="000000" w:themeColor="text1"/>
        </w:rPr>
        <w:t xml:space="preserve">Ponizovsky-Bergelson et al. (2019) </w:t>
      </w:r>
      <w:r w:rsidR="00570BE4" w:rsidRPr="008E0AA1">
        <w:rPr>
          <w:rStyle w:val="apple-converted-space"/>
          <w:color w:val="000000" w:themeColor="text1"/>
        </w:rPr>
        <w:t xml:space="preserve">acknowledge even young children can offer and express insightful opinions and perspectives on educational practice. Therefore, semi-structured interviews provide a useful platform for gathering their thoughts in a more open way where their perceptions can be further clarified. </w:t>
      </w:r>
    </w:p>
    <w:p w14:paraId="2CBE843C" w14:textId="77777777" w:rsidR="00863081" w:rsidRPr="008E0AA1" w:rsidRDefault="00863081" w:rsidP="00D75833">
      <w:pPr>
        <w:spacing w:line="360" w:lineRule="auto"/>
        <w:jc w:val="both"/>
        <w:rPr>
          <w:rStyle w:val="apple-converted-space"/>
          <w:color w:val="000000" w:themeColor="text1"/>
        </w:rPr>
      </w:pPr>
    </w:p>
    <w:p w14:paraId="617347E2" w14:textId="46A3F9D8" w:rsidR="00BC1CD1" w:rsidRPr="008E0AA1" w:rsidRDefault="00BC1CD1" w:rsidP="00D75833">
      <w:pPr>
        <w:spacing w:line="360" w:lineRule="auto"/>
        <w:jc w:val="both"/>
        <w:rPr>
          <w:color w:val="000000" w:themeColor="text1"/>
        </w:rPr>
      </w:pPr>
      <w:r w:rsidRPr="008E0AA1">
        <w:rPr>
          <w:color w:val="000000" w:themeColor="text1"/>
        </w:rPr>
        <w:t>However,</w:t>
      </w:r>
      <w:r w:rsidRPr="008E0AA1">
        <w:rPr>
          <w:rStyle w:val="apple-converted-space"/>
          <w:color w:val="000000" w:themeColor="text1"/>
        </w:rPr>
        <w:t> </w:t>
      </w:r>
      <w:r w:rsidRPr="008E0AA1">
        <w:rPr>
          <w:color w:val="000000" w:themeColor="text1"/>
        </w:rPr>
        <w:t>limitations exi</w:t>
      </w:r>
      <w:r w:rsidRPr="00222B3F">
        <w:rPr>
          <w:color w:val="000000" w:themeColor="text1"/>
        </w:rPr>
        <w:t>st</w:t>
      </w:r>
      <w:r w:rsidR="008F486F" w:rsidRPr="00222B3F">
        <w:rPr>
          <w:color w:val="000000" w:themeColor="text1"/>
        </w:rPr>
        <w:t xml:space="preserve">; </w:t>
      </w:r>
      <w:r w:rsidR="00E34637" w:rsidRPr="00222B3F">
        <w:rPr>
          <w:color w:val="000000" w:themeColor="text1"/>
        </w:rPr>
        <w:t>Cohen et al.</w:t>
      </w:r>
      <w:r w:rsidR="005F6BED" w:rsidRPr="00222B3F">
        <w:rPr>
          <w:color w:val="000000" w:themeColor="text1"/>
        </w:rPr>
        <w:t xml:space="preserve"> (201</w:t>
      </w:r>
      <w:r w:rsidR="00222B3F" w:rsidRPr="00222B3F">
        <w:rPr>
          <w:color w:val="000000" w:themeColor="text1"/>
        </w:rPr>
        <w:t>8</w:t>
      </w:r>
      <w:r w:rsidR="005F6BED" w:rsidRPr="00222B3F">
        <w:rPr>
          <w:color w:val="000000" w:themeColor="text1"/>
        </w:rPr>
        <w:t>)</w:t>
      </w:r>
      <w:r w:rsidR="008F486F" w:rsidRPr="00222B3F">
        <w:rPr>
          <w:color w:val="000000" w:themeColor="text1"/>
        </w:rPr>
        <w:t xml:space="preserve"> </w:t>
      </w:r>
      <w:r w:rsidR="008F486F" w:rsidRPr="008E0AA1">
        <w:rPr>
          <w:color w:val="000000" w:themeColor="text1"/>
        </w:rPr>
        <w:t>argue that interview participants may withhold information to suit the research narrative</w:t>
      </w:r>
      <w:r w:rsidR="00E34637" w:rsidRPr="008E0AA1">
        <w:rPr>
          <w:color w:val="000000" w:themeColor="text1"/>
        </w:rPr>
        <w:t xml:space="preserve">, while the method's flexibility can sabotage the data's validity </w:t>
      </w:r>
      <w:r w:rsidR="00E34637" w:rsidRPr="00222B3F">
        <w:rPr>
          <w:color w:val="000000" w:themeColor="text1"/>
        </w:rPr>
        <w:t>(Winwood, 2018).</w:t>
      </w:r>
      <w:r w:rsidR="008F486F" w:rsidRPr="00222B3F">
        <w:rPr>
          <w:color w:val="000000" w:themeColor="text1"/>
        </w:rPr>
        <w:t xml:space="preserve"> </w:t>
      </w:r>
      <w:r w:rsidR="00021377" w:rsidRPr="00222B3F">
        <w:rPr>
          <w:color w:val="000000" w:themeColor="text1"/>
        </w:rPr>
        <w:t xml:space="preserve">Clark (2005) also </w:t>
      </w:r>
      <w:r w:rsidR="00021377" w:rsidRPr="008E0AA1">
        <w:rPr>
          <w:color w:val="000000" w:themeColor="text1"/>
        </w:rPr>
        <w:t xml:space="preserve">acknowledges </w:t>
      </w:r>
      <w:r w:rsidR="00B90B09" w:rsidRPr="008E0AA1">
        <w:rPr>
          <w:color w:val="000000" w:themeColor="text1"/>
        </w:rPr>
        <w:t>concern about interviewing young children regarding its feasibility for gathering reliable data. C</w:t>
      </w:r>
      <w:r w:rsidR="00021377" w:rsidRPr="008E0AA1">
        <w:rPr>
          <w:color w:val="000000" w:themeColor="text1"/>
        </w:rPr>
        <w:t xml:space="preserve">hild participants may adapt their answers </w:t>
      </w:r>
      <w:r w:rsidR="00B90B09" w:rsidRPr="008E0AA1">
        <w:rPr>
          <w:color w:val="000000" w:themeColor="text1"/>
        </w:rPr>
        <w:t>and look</w:t>
      </w:r>
      <w:r w:rsidR="00021377" w:rsidRPr="008E0AA1">
        <w:rPr>
          <w:color w:val="000000" w:themeColor="text1"/>
        </w:rPr>
        <w:t xml:space="preserve"> for approval from the interviewer. </w:t>
      </w:r>
      <w:r w:rsidR="00E852F2" w:rsidRPr="008E0AA1">
        <w:rPr>
          <w:color w:val="000000" w:themeColor="text1"/>
        </w:rPr>
        <w:t xml:space="preserve">Furthermore, interviews can be considered </w:t>
      </w:r>
      <w:r w:rsidR="00160BCB" w:rsidRPr="008E0AA1">
        <w:rPr>
          <w:color w:val="000000" w:themeColor="text1"/>
        </w:rPr>
        <w:t xml:space="preserve">time-consuming, with the additional potential of the interviewee being interrupted by others and the time for </w:t>
      </w:r>
      <w:r w:rsidR="00160BCB" w:rsidRPr="00222B3F">
        <w:rPr>
          <w:color w:val="000000" w:themeColor="text1"/>
        </w:rPr>
        <w:t xml:space="preserve">transcription (Bell and Waters, 2018). </w:t>
      </w:r>
    </w:p>
    <w:p w14:paraId="328D64E2" w14:textId="77777777" w:rsidR="001F0EC2" w:rsidRPr="008E0AA1" w:rsidRDefault="001F0EC2" w:rsidP="00D75833">
      <w:pPr>
        <w:spacing w:line="360" w:lineRule="auto"/>
        <w:jc w:val="both"/>
        <w:rPr>
          <w:color w:val="000000" w:themeColor="text1"/>
        </w:rPr>
      </w:pPr>
    </w:p>
    <w:p w14:paraId="16C1158A" w14:textId="681A69DD" w:rsidR="001F0EC2" w:rsidRPr="008E0AA1" w:rsidRDefault="003B74B8" w:rsidP="00D75833">
      <w:pPr>
        <w:spacing w:line="360" w:lineRule="auto"/>
        <w:jc w:val="both"/>
        <w:rPr>
          <w:color w:val="000000" w:themeColor="text1"/>
        </w:rPr>
      </w:pPr>
      <w:r w:rsidRPr="008E0AA1">
        <w:rPr>
          <w:rFonts w:ascii="Calibri" w:hAnsi="Calibri" w:cs="Calibri"/>
          <w:color w:val="000000" w:themeColor="text1"/>
        </w:rPr>
        <w:t>The research project's interviews were semi-structured, using pre-determined questions (Appendix D) to facilitate follow-up questions or participant clarification.</w:t>
      </w:r>
      <w:r w:rsidRPr="008E0AA1">
        <w:rPr>
          <w:color w:val="000000" w:themeColor="text1"/>
        </w:rPr>
        <w:t xml:space="preserve"> Before interviews, rapport was built with the children by spending time within the class building trust and positive relationships. The interview session was conducted in a familiar, child-friendly and inviting space. This ensured children felt more relaxed and comfortable expressing themselves. All child participants were asked for consent to interview and permission to audio record the interview for reference at a later time. They were also informed of their right to withdraw at any given time. </w:t>
      </w:r>
    </w:p>
    <w:p w14:paraId="2DAF49F0" w14:textId="77777777" w:rsidR="00BC1CD1" w:rsidRPr="008E0AA1" w:rsidRDefault="00BC1CD1" w:rsidP="00D75833">
      <w:pPr>
        <w:spacing w:line="360" w:lineRule="auto"/>
        <w:jc w:val="both"/>
        <w:rPr>
          <w:color w:val="000000" w:themeColor="text1"/>
        </w:rPr>
      </w:pPr>
    </w:p>
    <w:p w14:paraId="21A529EA" w14:textId="266E1290" w:rsidR="00D75833" w:rsidRPr="008E0AA1" w:rsidRDefault="001A5602" w:rsidP="001A5602">
      <w:pPr>
        <w:spacing w:line="360" w:lineRule="auto"/>
        <w:jc w:val="both"/>
        <w:rPr>
          <w:rFonts w:ascii="Calibri" w:hAnsi="Calibri" w:cs="Calibri"/>
          <w:color w:val="000000" w:themeColor="text1"/>
        </w:rPr>
      </w:pPr>
      <w:r w:rsidRPr="008E0AA1">
        <w:rPr>
          <w:rFonts w:ascii="Calibri" w:hAnsi="Calibri" w:cs="Calibri"/>
          <w:color w:val="000000" w:themeColor="text1"/>
        </w:rPr>
        <w:t xml:space="preserve">The age and developmental stage of the participants, who were young children, significantly influenced the research methods chosen. Observations and semi-structured interviews were deemed suitable for capturing this demographic's nuanced behaviours and </w:t>
      </w:r>
      <w:r w:rsidR="003B74B8" w:rsidRPr="008E0AA1">
        <w:rPr>
          <w:rFonts w:ascii="Calibri" w:hAnsi="Calibri" w:cs="Calibri"/>
          <w:color w:val="000000" w:themeColor="text1"/>
        </w:rPr>
        <w:t>perspectives.</w:t>
      </w:r>
      <w:r w:rsidR="00021377" w:rsidRPr="008E0AA1">
        <w:rPr>
          <w:rFonts w:ascii="Calibri" w:hAnsi="Calibri" w:cs="Calibri"/>
          <w:color w:val="000000" w:themeColor="text1"/>
        </w:rPr>
        <w:t xml:space="preserve"> This approach bolstered the validity of the research results by providing additional data while delving into why the participants engaged with the observed environment, social interactions, and play preferences. Both methods yielded findings that could inform practice and learning opportunities following the research.</w:t>
      </w:r>
    </w:p>
    <w:p w14:paraId="7FE23656" w14:textId="77777777" w:rsidR="003C7086" w:rsidRPr="008E0AA1" w:rsidRDefault="003C7086" w:rsidP="00D75833">
      <w:pPr>
        <w:spacing w:line="360" w:lineRule="auto"/>
        <w:jc w:val="both"/>
        <w:rPr>
          <w:rFonts w:ascii="Calibri" w:hAnsi="Calibri" w:cs="Calibri"/>
          <w:color w:val="000000" w:themeColor="text1"/>
        </w:rPr>
      </w:pPr>
    </w:p>
    <w:p w14:paraId="0207DA24" w14:textId="5B10FDF1" w:rsidR="00E408A9" w:rsidRPr="008E0AA1" w:rsidRDefault="00E408A9" w:rsidP="00BA3108">
      <w:pPr>
        <w:jc w:val="center"/>
        <w:rPr>
          <w:rFonts w:ascii="Calibri" w:eastAsia="Times New Roman" w:hAnsi="Calibri" w:cs="Calibri"/>
          <w:color w:val="000000" w:themeColor="text1"/>
          <w:kern w:val="0"/>
          <w:lang w:eastAsia="en-GB"/>
          <w14:ligatures w14:val="none"/>
        </w:rPr>
      </w:pPr>
      <w:r w:rsidRPr="008E0AA1">
        <w:rPr>
          <w:rFonts w:ascii="Calibri" w:hAnsi="Calibri" w:cs="Calibri"/>
          <w:b/>
          <w:bCs/>
          <w:color w:val="000000" w:themeColor="text1"/>
          <w:u w:val="single"/>
        </w:rPr>
        <w:t>Data Presentation and Analysis Method</w:t>
      </w:r>
      <w:r w:rsidR="00AD4A56" w:rsidRPr="008E0AA1">
        <w:rPr>
          <w:rFonts w:ascii="Calibri" w:hAnsi="Calibri" w:cs="Calibri"/>
          <w:b/>
          <w:bCs/>
          <w:color w:val="000000" w:themeColor="text1"/>
          <w:u w:val="single"/>
        </w:rPr>
        <w:t>s</w:t>
      </w:r>
    </w:p>
    <w:p w14:paraId="2BA79C9B" w14:textId="63908A50" w:rsidR="00166FB9" w:rsidRPr="006E40D8" w:rsidRDefault="00166FB9" w:rsidP="00354AB4">
      <w:pPr>
        <w:pStyle w:val="NormalWeb"/>
        <w:spacing w:line="360" w:lineRule="auto"/>
        <w:jc w:val="both"/>
        <w:rPr>
          <w:rFonts w:ascii="Calibri" w:hAnsi="Calibri" w:cs="Calibri"/>
          <w:color w:val="000000" w:themeColor="text1"/>
        </w:rPr>
      </w:pPr>
      <w:r w:rsidRPr="006E40D8">
        <w:rPr>
          <w:rFonts w:ascii="Calibri" w:hAnsi="Calibri" w:cs="Calibri"/>
          <w:color w:val="000000" w:themeColor="text1"/>
        </w:rPr>
        <w:t>This research delved into the impact of gender on social interactions and play behaviours within year one's outdoor continuous provision. A multi-method approach that combined observations and semi-structured interviews was employed to gain a nuanced understanding of children's experiences in the outdoor play environment.</w:t>
      </w:r>
    </w:p>
    <w:p w14:paraId="639064C4" w14:textId="69DEFD17" w:rsidR="004D4997" w:rsidRPr="00166FB9" w:rsidRDefault="00166FB9" w:rsidP="00354AB4">
      <w:pPr>
        <w:pStyle w:val="NormalWeb"/>
        <w:spacing w:line="360" w:lineRule="auto"/>
        <w:jc w:val="both"/>
        <w:rPr>
          <w:rFonts w:ascii="Calibri" w:hAnsi="Calibri" w:cs="Calibri"/>
          <w:color w:val="000000" w:themeColor="text1"/>
        </w:rPr>
      </w:pPr>
      <w:r>
        <w:rPr>
          <w:rFonts w:ascii="Calibri" w:hAnsi="Calibri" w:cs="Calibri"/>
          <w:color w:val="000000" w:themeColor="text1"/>
        </w:rPr>
        <w:t>The observational component of the study relied on detailed field notes as the main data source. These notes documented the setting, date, time, and ongoing activities during the designated outdoor play period. The primary focus was to record specific behaviours exhibited by children during their play experiences, with particular attention given to interactions, play initiation, and instances where gender may have influenced these behaviours.</w:t>
      </w:r>
    </w:p>
    <w:p w14:paraId="38F31FF9" w14:textId="5C91FE9B" w:rsidR="00AB1E98" w:rsidRPr="00166FB9" w:rsidRDefault="00166FB9" w:rsidP="00354AB4">
      <w:pPr>
        <w:pStyle w:val="NormalWeb"/>
        <w:spacing w:line="360" w:lineRule="auto"/>
        <w:jc w:val="both"/>
        <w:rPr>
          <w:rFonts w:ascii="Calibri" w:hAnsi="Calibri" w:cs="Calibri"/>
          <w:color w:val="000000" w:themeColor="text1"/>
        </w:rPr>
      </w:pPr>
      <w:r w:rsidRPr="00166FB9">
        <w:rPr>
          <w:rFonts w:ascii="Calibri" w:hAnsi="Calibri" w:cs="Calibri"/>
          <w:color w:val="000000" w:themeColor="text1"/>
        </w:rPr>
        <w:lastRenderedPageBreak/>
        <w:t xml:space="preserve">Semi-structured interviews were conducted with a purposeful sample of approximately eight children to complement the observational data. This targeted selection ensured diverse perspectives were included while maintaining manageable interview lengths for young participants. The interview </w:t>
      </w:r>
      <w:r>
        <w:rPr>
          <w:rFonts w:ascii="Calibri" w:hAnsi="Calibri" w:cs="Calibri"/>
          <w:color w:val="000000" w:themeColor="text1"/>
        </w:rPr>
        <w:t xml:space="preserve">questions were created </w:t>
      </w:r>
      <w:r w:rsidRPr="00166FB9">
        <w:rPr>
          <w:rFonts w:ascii="Calibri" w:hAnsi="Calibri" w:cs="Calibri"/>
          <w:color w:val="000000" w:themeColor="text1"/>
        </w:rPr>
        <w:t>to include open-ended questions that elicited rich, detailed responses</w:t>
      </w:r>
      <w:r w:rsidR="00AC20EB">
        <w:rPr>
          <w:rFonts w:ascii="Calibri" w:hAnsi="Calibri" w:cs="Calibri"/>
          <w:color w:val="000000" w:themeColor="text1"/>
        </w:rPr>
        <w:t xml:space="preserve"> </w:t>
      </w:r>
      <w:r w:rsidR="00AC20EB" w:rsidRPr="00222B3F">
        <w:rPr>
          <w:rFonts w:ascii="Calibri" w:hAnsi="Calibri" w:cs="Calibri"/>
          <w:color w:val="000000" w:themeColor="text1"/>
        </w:rPr>
        <w:t xml:space="preserve">(Bryman, 2016; Dana and </w:t>
      </w:r>
      <w:proofErr w:type="spellStart"/>
      <w:r w:rsidR="00AC20EB" w:rsidRPr="00222B3F">
        <w:rPr>
          <w:rFonts w:ascii="Calibri" w:hAnsi="Calibri" w:cs="Calibri"/>
          <w:color w:val="000000" w:themeColor="text1"/>
        </w:rPr>
        <w:t>Yendol-Hoppey</w:t>
      </w:r>
      <w:proofErr w:type="spellEnd"/>
      <w:r w:rsidR="00AC20EB" w:rsidRPr="00222B3F">
        <w:rPr>
          <w:rFonts w:ascii="Calibri" w:hAnsi="Calibri" w:cs="Calibri"/>
          <w:color w:val="000000" w:themeColor="text1"/>
        </w:rPr>
        <w:t>, 2020)</w:t>
      </w:r>
      <w:r w:rsidRPr="00222B3F">
        <w:rPr>
          <w:rFonts w:ascii="Calibri" w:hAnsi="Calibri" w:cs="Calibri"/>
          <w:color w:val="000000" w:themeColor="text1"/>
        </w:rPr>
        <w:t xml:space="preserve">. </w:t>
      </w:r>
      <w:r w:rsidRPr="00166FB9">
        <w:rPr>
          <w:rFonts w:ascii="Calibri" w:hAnsi="Calibri" w:cs="Calibri"/>
          <w:color w:val="000000" w:themeColor="text1"/>
        </w:rPr>
        <w:t>Children were invited to share their thoughts on the play, their favourite activities in the outdoor space, and the nature of their peer interactions. Furthermore, the interview guide explored any challenges or opportunities they perceived regarding gender and play. This approach allowed researchers to gain valuable insights directly from the children themselves, enriching the understanding of how gender intersects with play experiences</w:t>
      </w:r>
      <w:r w:rsidR="00AB1E98" w:rsidRPr="00166FB9">
        <w:rPr>
          <w:rFonts w:ascii="Calibri" w:hAnsi="Calibri" w:cs="Calibri"/>
          <w:color w:val="000000" w:themeColor="text1"/>
        </w:rPr>
        <w:t>.</w:t>
      </w:r>
    </w:p>
    <w:p w14:paraId="19868288" w14:textId="77777777" w:rsidR="00BD6D50" w:rsidRPr="00166FB9" w:rsidRDefault="00166FB9" w:rsidP="00BD6D50">
      <w:pPr>
        <w:pStyle w:val="NormalWeb"/>
        <w:spacing w:line="360" w:lineRule="auto"/>
        <w:jc w:val="both"/>
        <w:rPr>
          <w:rFonts w:ascii="Calibri" w:hAnsi="Calibri" w:cs="Calibri"/>
          <w:color w:val="000000" w:themeColor="text1"/>
        </w:rPr>
      </w:pPr>
      <w:r w:rsidRPr="006E40D8">
        <w:rPr>
          <w:rFonts w:ascii="Calibri" w:hAnsi="Calibri" w:cs="Calibri"/>
          <w:color w:val="000000" w:themeColor="text1"/>
        </w:rPr>
        <w:t xml:space="preserve">The data in this case study was </w:t>
      </w:r>
      <w:r w:rsidR="006E40D8" w:rsidRPr="006E40D8">
        <w:rPr>
          <w:rFonts w:ascii="Calibri" w:hAnsi="Calibri" w:cs="Calibri"/>
          <w:color w:val="000000" w:themeColor="text1"/>
        </w:rPr>
        <w:t>analysed</w:t>
      </w:r>
      <w:r w:rsidRPr="006E40D8">
        <w:rPr>
          <w:rFonts w:ascii="Calibri" w:hAnsi="Calibri" w:cs="Calibri"/>
          <w:color w:val="000000" w:themeColor="text1"/>
        </w:rPr>
        <w:t> using a thematic approach</w:t>
      </w:r>
      <w:r w:rsidR="00BD6D50">
        <w:rPr>
          <w:rFonts w:ascii="Calibri" w:hAnsi="Calibri" w:cs="Calibri"/>
          <w:color w:val="000000" w:themeColor="text1"/>
        </w:rPr>
        <w:t xml:space="preserve"> (Appendix E)</w:t>
      </w:r>
      <w:r w:rsidRPr="006E40D8">
        <w:rPr>
          <w:rFonts w:ascii="Calibri" w:hAnsi="Calibri" w:cs="Calibri"/>
          <w:color w:val="000000" w:themeColor="text1"/>
        </w:rPr>
        <w:t>. Field notes and interview transcripts were reviewed, identifying patterns and recurring themes within the data (Braun &amp; Clarke, 2006)</w:t>
      </w:r>
      <w:r w:rsidR="00AC20EB">
        <w:rPr>
          <w:rFonts w:ascii="Calibri" w:hAnsi="Calibri" w:cs="Calibri"/>
          <w:color w:val="000000" w:themeColor="text1"/>
        </w:rPr>
        <w:t>.</w:t>
      </w:r>
      <w:r w:rsidR="00BD6D50">
        <w:rPr>
          <w:rFonts w:ascii="Calibri" w:hAnsi="Calibri" w:cs="Calibri"/>
          <w:color w:val="000000" w:themeColor="text1"/>
        </w:rPr>
        <w:t xml:space="preserve"> </w:t>
      </w:r>
      <w:r w:rsidR="00BD6D50">
        <w:rPr>
          <w:rFonts w:ascii="Calibri" w:hAnsi="Calibri" w:cs="Calibri"/>
          <w:color w:val="000000" w:themeColor="text1"/>
        </w:rPr>
        <w:t>Researchers could gather valuable insights into their perspectives on play and potential gender-related influences b</w:t>
      </w:r>
      <w:r w:rsidR="00BD6D50" w:rsidRPr="00166FB9">
        <w:rPr>
          <w:rFonts w:ascii="Calibri" w:hAnsi="Calibri" w:cs="Calibri"/>
          <w:color w:val="000000" w:themeColor="text1"/>
        </w:rPr>
        <w:t xml:space="preserve">y identifying patterns and recurring ideas within the children's narratives, such as play area preferences and play styles. </w:t>
      </w:r>
    </w:p>
    <w:p w14:paraId="37FB3714" w14:textId="584A5207" w:rsidR="00166FB9" w:rsidRPr="006E40D8" w:rsidRDefault="00AC20EB" w:rsidP="00AB1E98">
      <w:pPr>
        <w:pStyle w:val="NormalWeb"/>
        <w:spacing w:line="360" w:lineRule="auto"/>
        <w:jc w:val="both"/>
        <w:rPr>
          <w:rFonts w:ascii="Calibri" w:hAnsi="Calibri" w:cs="Calibri"/>
          <w:color w:val="000000" w:themeColor="text1"/>
        </w:rPr>
      </w:pPr>
      <w:r>
        <w:rPr>
          <w:rFonts w:ascii="Calibri" w:hAnsi="Calibri" w:cs="Calibri"/>
          <w:color w:val="000000" w:themeColor="text1"/>
        </w:rPr>
        <w:t xml:space="preserve"> This was done using an open coding method, identifying recurring keywords and phrases, building a </w:t>
      </w:r>
      <w:proofErr w:type="gramStart"/>
      <w:r>
        <w:rPr>
          <w:rFonts w:ascii="Calibri" w:hAnsi="Calibri" w:cs="Calibri"/>
          <w:color w:val="000000" w:themeColor="text1"/>
        </w:rPr>
        <w:t>pattern</w:t>
      </w:r>
      <w:proofErr w:type="gramEnd"/>
      <w:r>
        <w:rPr>
          <w:rFonts w:ascii="Calibri" w:hAnsi="Calibri" w:cs="Calibri"/>
          <w:color w:val="000000" w:themeColor="text1"/>
        </w:rPr>
        <w:t xml:space="preserve"> and contributing to themes within</w:t>
      </w:r>
      <w:r w:rsidRPr="00222B3F">
        <w:rPr>
          <w:rFonts w:ascii="Calibri" w:hAnsi="Calibri" w:cs="Calibri"/>
          <w:color w:val="000000" w:themeColor="text1"/>
        </w:rPr>
        <w:t xml:space="preserve"> the data set Burnard et al. (2008)</w:t>
      </w:r>
      <w:r w:rsidR="00166FB9" w:rsidRPr="00222B3F">
        <w:rPr>
          <w:rFonts w:ascii="Calibri" w:hAnsi="Calibri" w:cs="Calibri"/>
          <w:color w:val="000000" w:themeColor="text1"/>
        </w:rPr>
        <w:t xml:space="preserve">. </w:t>
      </w:r>
      <w:r w:rsidR="00166FB9" w:rsidRPr="006E40D8">
        <w:rPr>
          <w:rFonts w:ascii="Calibri" w:hAnsi="Calibri" w:cs="Calibri"/>
          <w:color w:val="000000" w:themeColor="text1"/>
        </w:rPr>
        <w:t>These recurring themes included instances of gendered group play, mentions of gender stereotypes by children, or the types of play initiated by boys and girls, allowing for a deeper understanding of how gender influence</w:t>
      </w:r>
      <w:r w:rsidR="006E40D8">
        <w:rPr>
          <w:rFonts w:ascii="Calibri" w:hAnsi="Calibri" w:cs="Calibri"/>
          <w:color w:val="000000" w:themeColor="text1"/>
        </w:rPr>
        <w:t>s</w:t>
      </w:r>
      <w:r w:rsidR="00166FB9" w:rsidRPr="006E40D8">
        <w:rPr>
          <w:rFonts w:ascii="Calibri" w:hAnsi="Calibri" w:cs="Calibri"/>
          <w:color w:val="000000" w:themeColor="text1"/>
        </w:rPr>
        <w:t xml:space="preserve"> play </w:t>
      </w:r>
      <w:r w:rsidR="006E40D8">
        <w:rPr>
          <w:rFonts w:ascii="Calibri" w:hAnsi="Calibri" w:cs="Calibri"/>
          <w:color w:val="000000" w:themeColor="text1"/>
        </w:rPr>
        <w:t xml:space="preserve">and social interaction in </w:t>
      </w:r>
      <w:r w:rsidR="00166FB9" w:rsidRPr="006E40D8">
        <w:rPr>
          <w:rFonts w:ascii="Calibri" w:hAnsi="Calibri" w:cs="Calibri"/>
          <w:color w:val="000000" w:themeColor="text1"/>
        </w:rPr>
        <w:t xml:space="preserve">the outdoor </w:t>
      </w:r>
      <w:r w:rsidR="006E40D8">
        <w:rPr>
          <w:rFonts w:ascii="Calibri" w:hAnsi="Calibri" w:cs="Calibri"/>
          <w:color w:val="000000" w:themeColor="text1"/>
        </w:rPr>
        <w:t>environment</w:t>
      </w:r>
      <w:r w:rsidR="00166FB9" w:rsidRPr="006E40D8">
        <w:rPr>
          <w:rFonts w:ascii="Calibri" w:hAnsi="Calibri" w:cs="Calibri"/>
          <w:color w:val="000000" w:themeColor="text1"/>
        </w:rPr>
        <w:t>.</w:t>
      </w:r>
    </w:p>
    <w:p w14:paraId="6BB87C76" w14:textId="77777777" w:rsidR="00BD6D50" w:rsidRDefault="006E40D8" w:rsidP="00166FB9">
      <w:pPr>
        <w:spacing w:line="360" w:lineRule="auto"/>
        <w:jc w:val="both"/>
        <w:rPr>
          <w:rFonts w:ascii="Calibri" w:hAnsi="Calibri" w:cs="Calibri"/>
          <w:color w:val="000000" w:themeColor="text1"/>
        </w:rPr>
      </w:pPr>
      <w:r>
        <w:rPr>
          <w:rFonts w:ascii="Calibri" w:hAnsi="Calibri" w:cs="Calibri"/>
          <w:color w:val="000000" w:themeColor="text1"/>
        </w:rPr>
        <w:t>This research ensured the reliability and credibility of its findings b</w:t>
      </w:r>
      <w:r w:rsidRPr="006E40D8">
        <w:rPr>
          <w:rFonts w:ascii="Calibri" w:hAnsi="Calibri" w:cs="Calibri"/>
          <w:color w:val="000000" w:themeColor="text1"/>
        </w:rPr>
        <w:t xml:space="preserve">y using multiple methods and analysing the themes in both data sets. The goal was to provide valuable insights that can help </w:t>
      </w:r>
      <w:r>
        <w:rPr>
          <w:rFonts w:ascii="Calibri" w:hAnsi="Calibri" w:cs="Calibri"/>
          <w:color w:val="000000" w:themeColor="text1"/>
        </w:rPr>
        <w:t>create</w:t>
      </w:r>
      <w:r w:rsidRPr="006E40D8">
        <w:rPr>
          <w:rFonts w:ascii="Calibri" w:hAnsi="Calibri" w:cs="Calibri"/>
          <w:color w:val="000000" w:themeColor="text1"/>
        </w:rPr>
        <w:t xml:space="preserve"> more inclusive play environments where all children, irrespective of their gender, feel empowered to explore, collaborate, and thrive in the dynamic world of outdoor play.</w:t>
      </w:r>
    </w:p>
    <w:p w14:paraId="4B7DF6C6" w14:textId="77777777" w:rsidR="00BD6D50" w:rsidRDefault="00BD6D50" w:rsidP="00166FB9">
      <w:pPr>
        <w:spacing w:line="360" w:lineRule="auto"/>
        <w:jc w:val="both"/>
        <w:rPr>
          <w:rFonts w:ascii="Calibri" w:hAnsi="Calibri" w:cs="Calibri"/>
          <w:color w:val="000000" w:themeColor="text1"/>
        </w:rPr>
      </w:pPr>
    </w:p>
    <w:p w14:paraId="4624921C" w14:textId="1F8BA677" w:rsidR="00AD7947" w:rsidRPr="006E40D8" w:rsidRDefault="00AD7947" w:rsidP="00166FB9">
      <w:pPr>
        <w:spacing w:line="360" w:lineRule="auto"/>
        <w:jc w:val="both"/>
        <w:rPr>
          <w:rFonts w:ascii="Calibri" w:eastAsia="Times New Roman" w:hAnsi="Calibri" w:cs="Calibri"/>
          <w:color w:val="000000" w:themeColor="text1"/>
          <w:kern w:val="0"/>
          <w:lang w:eastAsia="en-GB"/>
          <w14:ligatures w14:val="none"/>
        </w:rPr>
      </w:pPr>
      <w:r w:rsidRPr="006E40D8">
        <w:rPr>
          <w:rFonts w:ascii="Calibri" w:hAnsi="Calibri" w:cs="Calibri"/>
          <w:color w:val="000000" w:themeColor="text1"/>
        </w:rPr>
        <w:br w:type="page"/>
      </w:r>
    </w:p>
    <w:p w14:paraId="29AC6A6A" w14:textId="16A1541D" w:rsidR="00E408A9" w:rsidRPr="008E0AA1" w:rsidRDefault="00E408A9" w:rsidP="00B21356">
      <w:pPr>
        <w:pStyle w:val="NormalWeb"/>
        <w:jc w:val="center"/>
        <w:rPr>
          <w:rFonts w:ascii="Calibri" w:hAnsi="Calibri" w:cs="Calibri"/>
          <w:b/>
          <w:bCs/>
          <w:color w:val="000000" w:themeColor="text1"/>
          <w:u w:val="single"/>
        </w:rPr>
      </w:pPr>
      <w:r w:rsidRPr="008E0AA1">
        <w:rPr>
          <w:rFonts w:ascii="Calibri" w:hAnsi="Calibri" w:cs="Calibri"/>
          <w:b/>
          <w:bCs/>
          <w:color w:val="000000" w:themeColor="text1"/>
          <w:u w:val="single"/>
        </w:rPr>
        <w:lastRenderedPageBreak/>
        <w:t xml:space="preserve">Ethical </w:t>
      </w:r>
      <w:r w:rsidR="00AD4A56" w:rsidRPr="008E0AA1">
        <w:rPr>
          <w:rFonts w:ascii="Calibri" w:hAnsi="Calibri" w:cs="Calibri"/>
          <w:b/>
          <w:bCs/>
          <w:color w:val="000000" w:themeColor="text1"/>
          <w:u w:val="single"/>
        </w:rPr>
        <w:t>C</w:t>
      </w:r>
      <w:r w:rsidRPr="008E0AA1">
        <w:rPr>
          <w:rFonts w:ascii="Calibri" w:hAnsi="Calibri" w:cs="Calibri"/>
          <w:b/>
          <w:bCs/>
          <w:color w:val="000000" w:themeColor="text1"/>
          <w:u w:val="single"/>
        </w:rPr>
        <w:t>onsiderations</w:t>
      </w:r>
    </w:p>
    <w:p w14:paraId="170DD299" w14:textId="458B14E5" w:rsidR="00E728E5" w:rsidRPr="008E0AA1" w:rsidRDefault="00E728E5" w:rsidP="001E7120">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 xml:space="preserve">This research project </w:t>
      </w:r>
      <w:r w:rsidR="00ED5252">
        <w:rPr>
          <w:rFonts w:ascii="Calibri" w:hAnsi="Calibri" w:cs="Calibri"/>
          <w:color w:val="000000" w:themeColor="text1"/>
        </w:rPr>
        <w:t>was commit</w:t>
      </w:r>
      <w:r w:rsidR="00222B3F">
        <w:rPr>
          <w:rFonts w:ascii="Calibri" w:hAnsi="Calibri" w:cs="Calibri"/>
          <w:color w:val="000000" w:themeColor="text1"/>
        </w:rPr>
        <w:t>t</w:t>
      </w:r>
      <w:r w:rsidR="00ED5252">
        <w:rPr>
          <w:rFonts w:ascii="Calibri" w:hAnsi="Calibri" w:cs="Calibri"/>
          <w:color w:val="000000" w:themeColor="text1"/>
        </w:rPr>
        <w:t>ed to ethical treatment and participant well</w:t>
      </w:r>
      <w:r w:rsidR="00222B3F">
        <w:rPr>
          <w:rFonts w:ascii="Calibri" w:hAnsi="Calibri" w:cs="Calibri"/>
          <w:color w:val="000000" w:themeColor="text1"/>
        </w:rPr>
        <w:t>-</w:t>
      </w:r>
      <w:r w:rsidR="00ED5252">
        <w:rPr>
          <w:rFonts w:ascii="Calibri" w:hAnsi="Calibri" w:cs="Calibri"/>
          <w:color w:val="000000" w:themeColor="text1"/>
        </w:rPr>
        <w:t>being</w:t>
      </w:r>
      <w:r w:rsidRPr="008E0AA1">
        <w:rPr>
          <w:rFonts w:ascii="Calibri" w:hAnsi="Calibri" w:cs="Calibri"/>
          <w:color w:val="000000" w:themeColor="text1"/>
        </w:rPr>
        <w:t>, adhering to the guidelines outlined in the attached Ethics Form (see Appendix A</w:t>
      </w:r>
      <w:r w:rsidR="006A725B" w:rsidRPr="008E0AA1">
        <w:rPr>
          <w:rFonts w:ascii="Calibri" w:hAnsi="Calibri" w:cs="Calibri"/>
          <w:color w:val="000000" w:themeColor="text1"/>
        </w:rPr>
        <w:t xml:space="preserve">). </w:t>
      </w:r>
      <w:r w:rsidR="00185E93" w:rsidRPr="008E0AA1">
        <w:rPr>
          <w:rFonts w:ascii="Calibri" w:hAnsi="Calibri" w:cs="Calibri"/>
          <w:color w:val="000000" w:themeColor="text1"/>
        </w:rPr>
        <w:t xml:space="preserve">This study </w:t>
      </w:r>
      <w:r w:rsidR="00ED5252">
        <w:rPr>
          <w:rFonts w:ascii="Calibri" w:hAnsi="Calibri" w:cs="Calibri"/>
          <w:color w:val="000000" w:themeColor="text1"/>
        </w:rPr>
        <w:t xml:space="preserve">also </w:t>
      </w:r>
      <w:r w:rsidR="00185E93" w:rsidRPr="008E0AA1">
        <w:rPr>
          <w:rFonts w:ascii="Calibri" w:hAnsi="Calibri" w:cs="Calibri"/>
          <w:color w:val="000000" w:themeColor="text1"/>
        </w:rPr>
        <w:t xml:space="preserve">adhered to the codes and guidelines outlined in </w:t>
      </w:r>
      <w:r w:rsidR="00185E93" w:rsidRPr="00222B3F">
        <w:rPr>
          <w:rFonts w:ascii="Calibri" w:hAnsi="Calibri" w:cs="Calibri"/>
          <w:color w:val="000000" w:themeColor="text1"/>
        </w:rPr>
        <w:t>the UWTSD Research Ethics and Integrity Code (2022), the UWTSD Research Data Management Policy</w:t>
      </w:r>
      <w:r w:rsidR="001E7120" w:rsidRPr="00222B3F">
        <w:rPr>
          <w:rFonts w:ascii="Calibri" w:hAnsi="Calibri" w:cs="Calibri"/>
          <w:color w:val="000000" w:themeColor="text1"/>
        </w:rPr>
        <w:t xml:space="preserve"> (2022)</w:t>
      </w:r>
      <w:r w:rsidR="00185E93" w:rsidRPr="00222B3F">
        <w:rPr>
          <w:rFonts w:ascii="Calibri" w:hAnsi="Calibri" w:cs="Calibri"/>
          <w:color w:val="000000" w:themeColor="text1"/>
        </w:rPr>
        <w:t xml:space="preserve">, </w:t>
      </w:r>
      <w:r w:rsidR="00185E93" w:rsidRPr="008E0AA1">
        <w:rPr>
          <w:rFonts w:ascii="Calibri" w:hAnsi="Calibri" w:cs="Calibri"/>
          <w:color w:val="000000" w:themeColor="text1"/>
        </w:rPr>
        <w:t xml:space="preserve">and relevant ethical frameworks such as the </w:t>
      </w:r>
      <w:r w:rsidR="00185E93" w:rsidRPr="00222B3F">
        <w:rPr>
          <w:rFonts w:ascii="Calibri" w:hAnsi="Calibri" w:cs="Calibri"/>
          <w:color w:val="000000" w:themeColor="text1"/>
        </w:rPr>
        <w:t>BERA’s Ethical Guidelines for Educational Research (2018).</w:t>
      </w:r>
    </w:p>
    <w:p w14:paraId="4FFEF911" w14:textId="2DFA1C4D" w:rsidR="00E728E5" w:rsidRPr="008E0AA1" w:rsidRDefault="003F7BF3" w:rsidP="001E7120">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Parents or guardians of all participating Year One students received a clear and concise information sheet to ensure informed participation</w:t>
      </w:r>
      <w:r w:rsidR="002A638B" w:rsidRPr="008E0AA1">
        <w:rPr>
          <w:rFonts w:ascii="Calibri" w:hAnsi="Calibri" w:cs="Calibri"/>
          <w:color w:val="000000" w:themeColor="text1"/>
        </w:rPr>
        <w:t xml:space="preserve"> (Appendix B)</w:t>
      </w:r>
      <w:r w:rsidR="00E728E5" w:rsidRPr="008E0AA1">
        <w:rPr>
          <w:rFonts w:ascii="Calibri" w:hAnsi="Calibri" w:cs="Calibri"/>
          <w:color w:val="000000" w:themeColor="text1"/>
        </w:rPr>
        <w:t xml:space="preserve">. This sheet explained the </w:t>
      </w:r>
      <w:r w:rsidRPr="008E0AA1">
        <w:rPr>
          <w:rFonts w:ascii="Calibri" w:hAnsi="Calibri" w:cs="Calibri"/>
          <w:color w:val="000000" w:themeColor="text1"/>
        </w:rPr>
        <w:t>study's nature, purpose, and methodolog</w:t>
      </w:r>
      <w:r w:rsidR="00E728E5" w:rsidRPr="008E0AA1">
        <w:rPr>
          <w:rFonts w:ascii="Calibri" w:hAnsi="Calibri" w:cs="Calibri"/>
          <w:color w:val="000000" w:themeColor="text1"/>
        </w:rPr>
        <w:t>y, including details on data collection methods. Parents were offered the opportunity to ask questions and were informed of their right to withdraw their child's consent at any point during the research process. This opt-out consent approach ensured participants understood their involvement and retained control over their child's participation.</w:t>
      </w:r>
    </w:p>
    <w:p w14:paraId="3C2DD56E" w14:textId="24E46D47" w:rsidR="00ED5252" w:rsidRDefault="00ED5252" w:rsidP="001E7120">
      <w:pPr>
        <w:pStyle w:val="NormalWeb"/>
        <w:spacing w:line="360" w:lineRule="auto"/>
        <w:jc w:val="both"/>
        <w:rPr>
          <w:rFonts w:ascii="Calibri" w:hAnsi="Calibri" w:cs="Calibri"/>
          <w:color w:val="000000" w:themeColor="text1"/>
        </w:rPr>
      </w:pPr>
      <w:r>
        <w:rPr>
          <w:rFonts w:ascii="Calibri" w:hAnsi="Calibri" w:cs="Calibri"/>
          <w:color w:val="000000" w:themeColor="text1"/>
        </w:rPr>
        <w:t>V</w:t>
      </w:r>
      <w:r w:rsidRPr="00ED5252">
        <w:rPr>
          <w:rFonts w:ascii="Calibri" w:hAnsi="Calibri" w:cs="Calibri"/>
          <w:color w:val="000000" w:themeColor="text1"/>
        </w:rPr>
        <w:t>erbal assent was obtained from all pupils before observations and recorded interviews</w:t>
      </w:r>
      <w:r>
        <w:rPr>
          <w:rFonts w:ascii="Calibri" w:hAnsi="Calibri" w:cs="Calibri"/>
          <w:color w:val="000000" w:themeColor="text1"/>
        </w:rPr>
        <w:t xml:space="preserve"> to ensure informed participation</w:t>
      </w:r>
      <w:r w:rsidRPr="00ED5252">
        <w:rPr>
          <w:rFonts w:ascii="Calibri" w:hAnsi="Calibri" w:cs="Calibri"/>
          <w:color w:val="000000" w:themeColor="text1"/>
        </w:rPr>
        <w:t xml:space="preserve">. </w:t>
      </w:r>
      <w:r>
        <w:rPr>
          <w:rFonts w:ascii="Calibri" w:hAnsi="Calibri" w:cs="Calibri"/>
          <w:color w:val="000000" w:themeColor="text1"/>
        </w:rPr>
        <w:t>P</w:t>
      </w:r>
      <w:r w:rsidRPr="00ED5252">
        <w:rPr>
          <w:rFonts w:ascii="Calibri" w:hAnsi="Calibri" w:cs="Calibri"/>
          <w:color w:val="000000" w:themeColor="text1"/>
        </w:rPr>
        <w:t xml:space="preserve">upils </w:t>
      </w:r>
      <w:r>
        <w:rPr>
          <w:rFonts w:ascii="Calibri" w:hAnsi="Calibri" w:cs="Calibri"/>
          <w:color w:val="000000" w:themeColor="text1"/>
        </w:rPr>
        <w:t xml:space="preserve">were also informed and regularly reminded of their </w:t>
      </w:r>
      <w:r w:rsidRPr="00ED5252">
        <w:rPr>
          <w:rFonts w:ascii="Calibri" w:hAnsi="Calibri" w:cs="Calibri"/>
          <w:color w:val="000000" w:themeColor="text1"/>
        </w:rPr>
        <w:t>right to withdraw from the research at any point without consequence. Consistent reminders throughout the study ensured their comfort and voluntary participation.</w:t>
      </w:r>
    </w:p>
    <w:p w14:paraId="6FA7897D" w14:textId="340574BD" w:rsidR="009D3924" w:rsidRPr="008E0AA1" w:rsidRDefault="009D3924" w:rsidP="001E7120">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 xml:space="preserve">Following the ethical guidelines for educational research set by </w:t>
      </w:r>
      <w:r w:rsidRPr="00222B3F">
        <w:rPr>
          <w:rFonts w:ascii="Calibri" w:hAnsi="Calibri" w:cs="Calibri"/>
          <w:color w:val="000000" w:themeColor="text1"/>
        </w:rPr>
        <w:t xml:space="preserve">BERA </w:t>
      </w:r>
      <w:r w:rsidR="002A638B" w:rsidRPr="00222B3F">
        <w:rPr>
          <w:rFonts w:ascii="Calibri" w:hAnsi="Calibri" w:cs="Calibri"/>
          <w:color w:val="000000" w:themeColor="text1"/>
        </w:rPr>
        <w:t>(</w:t>
      </w:r>
      <w:r w:rsidRPr="00222B3F">
        <w:rPr>
          <w:rFonts w:ascii="Calibri" w:hAnsi="Calibri" w:cs="Calibri"/>
          <w:color w:val="000000" w:themeColor="text1"/>
        </w:rPr>
        <w:t>2018</w:t>
      </w:r>
      <w:r w:rsidR="002A638B" w:rsidRPr="00222B3F">
        <w:rPr>
          <w:rFonts w:ascii="Calibri" w:hAnsi="Calibri" w:cs="Calibri"/>
          <w:color w:val="000000" w:themeColor="text1"/>
        </w:rPr>
        <w:t>)</w:t>
      </w:r>
      <w:r w:rsidRPr="00222B3F">
        <w:rPr>
          <w:rFonts w:ascii="Calibri" w:hAnsi="Calibri" w:cs="Calibri"/>
          <w:color w:val="000000" w:themeColor="text1"/>
        </w:rPr>
        <w:t xml:space="preserve">, </w:t>
      </w:r>
      <w:r w:rsidRPr="008E0AA1">
        <w:rPr>
          <w:rFonts w:ascii="Calibri" w:hAnsi="Calibri" w:cs="Calibri"/>
          <w:color w:val="000000" w:themeColor="text1"/>
        </w:rPr>
        <w:t>this case study place</w:t>
      </w:r>
      <w:r w:rsidR="002A638B" w:rsidRPr="008E0AA1">
        <w:rPr>
          <w:rFonts w:ascii="Calibri" w:hAnsi="Calibri" w:cs="Calibri"/>
          <w:color w:val="000000" w:themeColor="text1"/>
        </w:rPr>
        <w:t>d</w:t>
      </w:r>
      <w:r w:rsidRPr="008E0AA1">
        <w:rPr>
          <w:rFonts w:ascii="Calibri" w:hAnsi="Calibri" w:cs="Calibri"/>
          <w:color w:val="000000" w:themeColor="text1"/>
        </w:rPr>
        <w:t xml:space="preserve"> utmost importance on safeguarding the anonymity of the school and its participants. To ensure confidentiality, the </w:t>
      </w:r>
      <w:r w:rsidR="00DD67CD" w:rsidRPr="008E0AA1">
        <w:rPr>
          <w:rFonts w:ascii="Calibri" w:hAnsi="Calibri" w:cs="Calibri"/>
          <w:color w:val="000000" w:themeColor="text1"/>
        </w:rPr>
        <w:t>school has</w:t>
      </w:r>
      <w:r w:rsidR="002A638B" w:rsidRPr="008E0AA1">
        <w:rPr>
          <w:rFonts w:ascii="Calibri" w:hAnsi="Calibri" w:cs="Calibri"/>
          <w:color w:val="000000" w:themeColor="text1"/>
        </w:rPr>
        <w:t xml:space="preserve"> been</w:t>
      </w:r>
      <w:r w:rsidRPr="008E0AA1">
        <w:rPr>
          <w:rFonts w:ascii="Calibri" w:hAnsi="Calibri" w:cs="Calibri"/>
          <w:color w:val="000000" w:themeColor="text1"/>
        </w:rPr>
        <w:t xml:space="preserve"> identified as School A</w:t>
      </w:r>
      <w:r w:rsidR="00ED5252">
        <w:rPr>
          <w:rFonts w:ascii="Calibri" w:hAnsi="Calibri" w:cs="Calibri"/>
          <w:color w:val="000000" w:themeColor="text1"/>
        </w:rPr>
        <w:t>.</w:t>
      </w:r>
    </w:p>
    <w:p w14:paraId="5ABBCDD7" w14:textId="4DD7E371" w:rsidR="009D3924" w:rsidRPr="008E0AA1" w:rsidRDefault="003F7BF3" w:rsidP="001E7120">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 xml:space="preserve">Before undertaking the research, participants were fully informed of </w:t>
      </w:r>
      <w:r w:rsidR="006A725B" w:rsidRPr="008E0AA1">
        <w:rPr>
          <w:rFonts w:ascii="Calibri" w:hAnsi="Calibri" w:cs="Calibri"/>
          <w:color w:val="000000" w:themeColor="text1"/>
        </w:rPr>
        <w:t>the case study</w:t>
      </w:r>
      <w:r w:rsidR="00ED5252">
        <w:rPr>
          <w:rFonts w:ascii="Calibri" w:hAnsi="Calibri" w:cs="Calibri"/>
          <w:color w:val="000000" w:themeColor="text1"/>
        </w:rPr>
        <w:t xml:space="preserve"> and what it would entail</w:t>
      </w:r>
      <w:r w:rsidRPr="008E0AA1">
        <w:rPr>
          <w:rFonts w:ascii="Calibri" w:hAnsi="Calibri" w:cs="Calibri"/>
          <w:color w:val="000000" w:themeColor="text1"/>
        </w:rPr>
        <w:t xml:space="preserve">. </w:t>
      </w:r>
      <w:r w:rsidR="009D3924" w:rsidRPr="008E0AA1">
        <w:rPr>
          <w:rFonts w:ascii="Calibri" w:hAnsi="Calibri" w:cs="Calibri"/>
          <w:color w:val="000000" w:themeColor="text1"/>
        </w:rPr>
        <w:t>Th</w:t>
      </w:r>
      <w:r w:rsidR="006A725B" w:rsidRPr="008E0AA1">
        <w:rPr>
          <w:rFonts w:ascii="Calibri" w:hAnsi="Calibri" w:cs="Calibri"/>
          <w:color w:val="000000" w:themeColor="text1"/>
        </w:rPr>
        <w:t>is study's Ethics Form (Appendix A)</w:t>
      </w:r>
      <w:r w:rsidR="009D3924" w:rsidRPr="008E0AA1">
        <w:rPr>
          <w:rFonts w:ascii="Calibri" w:hAnsi="Calibri" w:cs="Calibri"/>
          <w:color w:val="000000" w:themeColor="text1"/>
        </w:rPr>
        <w:t xml:space="preserve"> carefully documented the acknowledgement of potential risks and discomfort for participants. Specifically, it recogni</w:t>
      </w:r>
      <w:r w:rsidR="006A725B" w:rsidRPr="008E0AA1">
        <w:rPr>
          <w:rFonts w:ascii="Calibri" w:hAnsi="Calibri" w:cs="Calibri"/>
          <w:color w:val="000000" w:themeColor="text1"/>
        </w:rPr>
        <w:t>s</w:t>
      </w:r>
      <w:r w:rsidR="009D3924" w:rsidRPr="008E0AA1">
        <w:rPr>
          <w:rFonts w:ascii="Calibri" w:hAnsi="Calibri" w:cs="Calibri"/>
          <w:color w:val="000000" w:themeColor="text1"/>
        </w:rPr>
        <w:t xml:space="preserve">es the possibility of emotional discomfort that may arise during observation or interviews. However, </w:t>
      </w:r>
      <w:r w:rsidR="001E7120" w:rsidRPr="008E0AA1">
        <w:rPr>
          <w:rFonts w:ascii="Calibri" w:hAnsi="Calibri" w:cs="Calibri"/>
          <w:color w:val="000000" w:themeColor="text1"/>
        </w:rPr>
        <w:t>participants were consistently reminded of their right to withdraw throughout the research process to alleviate these concern</w:t>
      </w:r>
      <w:r w:rsidR="009D3924" w:rsidRPr="008E0AA1">
        <w:rPr>
          <w:rFonts w:ascii="Calibri" w:hAnsi="Calibri" w:cs="Calibri"/>
          <w:color w:val="000000" w:themeColor="text1"/>
        </w:rPr>
        <w:t xml:space="preserve">s. Furthermore, measures have been taken to ensure students are observed in </w:t>
      </w:r>
      <w:r w:rsidRPr="008E0AA1">
        <w:rPr>
          <w:rFonts w:ascii="Calibri" w:hAnsi="Calibri" w:cs="Calibri"/>
          <w:color w:val="000000" w:themeColor="text1"/>
        </w:rPr>
        <w:t>groups</w:t>
      </w:r>
      <w:r w:rsidR="009D3924" w:rsidRPr="008E0AA1">
        <w:rPr>
          <w:rFonts w:ascii="Calibri" w:hAnsi="Calibri" w:cs="Calibri"/>
          <w:color w:val="000000" w:themeColor="text1"/>
        </w:rPr>
        <w:t xml:space="preserve"> and interviewed in pairs.</w:t>
      </w:r>
    </w:p>
    <w:p w14:paraId="091913F7" w14:textId="323298EE" w:rsidR="003F7BF3" w:rsidRPr="008E0AA1" w:rsidRDefault="006A725B" w:rsidP="001E7120">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lastRenderedPageBreak/>
        <w:t>The school</w:t>
      </w:r>
      <w:r w:rsidR="00C86A34" w:rsidRPr="008E0AA1">
        <w:rPr>
          <w:rFonts w:ascii="Calibri" w:hAnsi="Calibri" w:cs="Calibri"/>
          <w:color w:val="000000" w:themeColor="text1"/>
        </w:rPr>
        <w:t>, p</w:t>
      </w:r>
      <w:r w:rsidR="003F7BF3" w:rsidRPr="008E0AA1">
        <w:rPr>
          <w:rFonts w:ascii="Calibri" w:hAnsi="Calibri" w:cs="Calibri"/>
          <w:color w:val="000000" w:themeColor="text1"/>
        </w:rPr>
        <w:t>arents and participants can request access to the</w:t>
      </w:r>
      <w:r w:rsidR="00F20EF8">
        <w:rPr>
          <w:rFonts w:ascii="Calibri" w:hAnsi="Calibri" w:cs="Calibri"/>
          <w:color w:val="000000" w:themeColor="text1"/>
        </w:rPr>
        <w:t xml:space="preserve"> research</w:t>
      </w:r>
      <w:r w:rsidR="003F7BF3" w:rsidRPr="008E0AA1">
        <w:rPr>
          <w:rFonts w:ascii="Calibri" w:hAnsi="Calibri" w:cs="Calibri"/>
          <w:color w:val="000000" w:themeColor="text1"/>
        </w:rPr>
        <w:t xml:space="preserve"> findings. </w:t>
      </w:r>
      <w:r w:rsidR="00F20EF8">
        <w:rPr>
          <w:rFonts w:ascii="Calibri" w:hAnsi="Calibri" w:cs="Calibri"/>
          <w:color w:val="000000" w:themeColor="text1"/>
        </w:rPr>
        <w:t xml:space="preserve">All data collected was solely used for this project, securely stored in cloud storage, and </w:t>
      </w:r>
      <w:r w:rsidR="00222B3F">
        <w:rPr>
          <w:rFonts w:ascii="Calibri" w:hAnsi="Calibri" w:cs="Calibri"/>
          <w:color w:val="000000" w:themeColor="text1"/>
        </w:rPr>
        <w:t>will</w:t>
      </w:r>
      <w:r w:rsidR="00F20EF8">
        <w:rPr>
          <w:rFonts w:ascii="Calibri" w:hAnsi="Calibri" w:cs="Calibri"/>
          <w:color w:val="000000" w:themeColor="text1"/>
        </w:rPr>
        <w:t xml:space="preserve"> be destroyed upon completion of the university module</w:t>
      </w:r>
      <w:r w:rsidR="003F7BF3" w:rsidRPr="008E0AA1">
        <w:rPr>
          <w:rFonts w:ascii="Calibri" w:hAnsi="Calibri" w:cs="Calibri"/>
          <w:color w:val="000000" w:themeColor="text1"/>
        </w:rPr>
        <w:t>.</w:t>
      </w:r>
    </w:p>
    <w:p w14:paraId="509F64AD" w14:textId="3E906D4D" w:rsidR="00C86A34" w:rsidRPr="008E0AA1" w:rsidRDefault="00A004DF" w:rsidP="00C86A34">
      <w:pPr>
        <w:pStyle w:val="Heading2"/>
        <w:jc w:val="center"/>
        <w:rPr>
          <w:rFonts w:ascii="Calibri" w:hAnsi="Calibri" w:cs="Calibri"/>
          <w:b/>
          <w:bCs/>
          <w:color w:val="000000" w:themeColor="text1"/>
          <w:sz w:val="24"/>
          <w:szCs w:val="24"/>
          <w:u w:val="single"/>
        </w:rPr>
      </w:pPr>
      <w:r w:rsidRPr="008E0AA1">
        <w:rPr>
          <w:rFonts w:ascii="Calibri" w:hAnsi="Calibri" w:cs="Calibri"/>
          <w:b/>
          <w:bCs/>
          <w:color w:val="000000" w:themeColor="text1"/>
          <w:sz w:val="24"/>
          <w:szCs w:val="24"/>
          <w:u w:val="single"/>
        </w:rPr>
        <w:t>Results, Analysis and Dis</w:t>
      </w:r>
      <w:r w:rsidR="00F10099" w:rsidRPr="008E0AA1">
        <w:rPr>
          <w:rFonts w:ascii="Calibri" w:hAnsi="Calibri" w:cs="Calibri"/>
          <w:b/>
          <w:bCs/>
          <w:color w:val="000000" w:themeColor="text1"/>
          <w:sz w:val="24"/>
          <w:szCs w:val="24"/>
          <w:u w:val="single"/>
        </w:rPr>
        <w:t>cu</w:t>
      </w:r>
      <w:r w:rsidRPr="008E0AA1">
        <w:rPr>
          <w:rFonts w:ascii="Calibri" w:hAnsi="Calibri" w:cs="Calibri"/>
          <w:b/>
          <w:bCs/>
          <w:color w:val="000000" w:themeColor="text1"/>
          <w:sz w:val="24"/>
          <w:szCs w:val="24"/>
          <w:u w:val="single"/>
        </w:rPr>
        <w:t>ssion</w:t>
      </w:r>
    </w:p>
    <w:p w14:paraId="0DE6160B" w14:textId="1307E011" w:rsidR="00C86A34" w:rsidRPr="008E0AA1" w:rsidRDefault="00C86A34"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Play is a crucial aspect of childhood development,</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fostering social skills,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creativity,</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and problem-solving abilities.</w:t>
      </w:r>
      <w:r w:rsidR="008121B7" w:rsidRPr="008E0AA1">
        <w:rPr>
          <w:rFonts w:ascii="Calibri" w:hAnsi="Calibri" w:cs="Calibri"/>
          <w:color w:val="000000" w:themeColor="text1"/>
        </w:rPr>
        <w:t xml:space="preserve"> </w:t>
      </w:r>
      <w:r w:rsidRPr="008E0AA1">
        <w:rPr>
          <w:rFonts w:ascii="Calibri" w:hAnsi="Calibri" w:cs="Calibri"/>
          <w:color w:val="000000" w:themeColor="text1"/>
        </w:rPr>
        <w:t>However,</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societal gender stereotypes can infiltrate children's play spaces,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potentially limiting their experiences.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 xml:space="preserve">This thematic analysis explores the influence of gender stereotypes on play </w:t>
      </w:r>
      <w:r w:rsidR="008121B7" w:rsidRPr="008E0AA1">
        <w:rPr>
          <w:rFonts w:ascii="Calibri" w:hAnsi="Calibri" w:cs="Calibri"/>
          <w:color w:val="000000" w:themeColor="text1"/>
        </w:rPr>
        <w:t>behaviour</w:t>
      </w:r>
      <w:r w:rsidRPr="008E0AA1">
        <w:rPr>
          <w:rFonts w:ascii="Calibri" w:hAnsi="Calibri" w:cs="Calibri"/>
          <w:color w:val="000000" w:themeColor="text1"/>
        </w:rPr>
        <w:t xml:space="preserve"> in young children,</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examining themes related to play area preferences,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types of play initiated,</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group dynamics,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communication styles,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and collaborative play.</w:t>
      </w:r>
    </w:p>
    <w:p w14:paraId="7AD1D985" w14:textId="77660DE6" w:rsidR="008121B7" w:rsidRPr="008E0AA1" w:rsidRDefault="00C86A34" w:rsidP="00C86A34">
      <w:pPr>
        <w:pStyle w:val="NormalWeb"/>
        <w:spacing w:line="360" w:lineRule="auto"/>
        <w:jc w:val="both"/>
        <w:rPr>
          <w:rFonts w:ascii="Calibri" w:hAnsi="Calibri" w:cs="Calibri"/>
          <w:color w:val="000000" w:themeColor="text1"/>
          <w:u w:val="single"/>
        </w:rPr>
      </w:pPr>
      <w:r w:rsidRPr="008E0AA1">
        <w:rPr>
          <w:rStyle w:val="Strong"/>
          <w:rFonts w:ascii="Calibri" w:hAnsi="Calibri" w:cs="Calibri"/>
          <w:color w:val="000000" w:themeColor="text1"/>
          <w:u w:val="single"/>
        </w:rPr>
        <w:t xml:space="preserve">Play Area Preferences: </w:t>
      </w:r>
    </w:p>
    <w:p w14:paraId="4575CBD7" w14:textId="6056395D" w:rsidR="00C86A34" w:rsidRPr="008E0AA1" w:rsidRDefault="00C86A34"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Observations revealed a distinct differentiation in play area preferences based on gender.</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 xml:space="preserve">Boys gravitated towards areas with </w:t>
      </w:r>
      <w:r w:rsidR="008121B7" w:rsidRPr="008E0AA1">
        <w:rPr>
          <w:rFonts w:ascii="Calibri" w:hAnsi="Calibri" w:cs="Calibri"/>
          <w:color w:val="000000" w:themeColor="text1"/>
        </w:rPr>
        <w:t xml:space="preserve">space for physical activity </w:t>
      </w:r>
      <w:r w:rsidRPr="008E0AA1">
        <w:rPr>
          <w:rFonts w:ascii="Calibri" w:hAnsi="Calibri" w:cs="Calibri"/>
          <w:color w:val="000000" w:themeColor="text1"/>
        </w:rPr>
        <w:t>and building materials,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engaging in constructive play.</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Girls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 xml:space="preserve">were drawn to </w:t>
      </w:r>
      <w:r w:rsidR="008121B7" w:rsidRPr="008E0AA1">
        <w:rPr>
          <w:rFonts w:ascii="Calibri" w:hAnsi="Calibri" w:cs="Calibri"/>
          <w:color w:val="000000" w:themeColor="text1"/>
        </w:rPr>
        <w:t>the birthday party and doctors’ surgery role-play areas</w:t>
      </w:r>
      <w:r w:rsidRPr="008E0AA1">
        <w:rPr>
          <w:rFonts w:ascii="Calibri" w:hAnsi="Calibri" w:cs="Calibri"/>
          <w:color w:val="000000" w:themeColor="text1"/>
        </w:rPr>
        <w:t>,</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often engaging in nurturing and imaginative play.</w:t>
      </w:r>
      <w:r w:rsidRPr="008E0AA1">
        <w:rPr>
          <w:rStyle w:val="apple-converted-space"/>
          <w:rFonts w:ascii="Calibri" w:eastAsiaTheme="majorEastAsia" w:hAnsi="Calibri" w:cs="Calibri"/>
          <w:color w:val="000000" w:themeColor="text1"/>
        </w:rPr>
        <w:t> </w:t>
      </w:r>
      <w:r w:rsidR="00E95905" w:rsidRPr="008E0AA1">
        <w:rPr>
          <w:rFonts w:ascii="Calibri" w:hAnsi="Calibri" w:cs="Calibri"/>
          <w:color w:val="000000" w:themeColor="text1"/>
        </w:rPr>
        <w:t xml:space="preserve">This aligns with </w:t>
      </w:r>
      <w:r w:rsidR="00E95905" w:rsidRPr="00222B3F">
        <w:rPr>
          <w:rFonts w:ascii="Calibri" w:hAnsi="Calibri" w:cs="Calibri"/>
          <w:color w:val="000000" w:themeColor="text1"/>
        </w:rPr>
        <w:t xml:space="preserve">Weisgram's (2019) </w:t>
      </w:r>
      <w:r w:rsidR="00E95905" w:rsidRPr="008E0AA1">
        <w:rPr>
          <w:rFonts w:ascii="Calibri" w:hAnsi="Calibri" w:cs="Calibri"/>
          <w:color w:val="000000" w:themeColor="text1"/>
        </w:rPr>
        <w:t>research on gender-typical play patterns, where boys prefer active play and girls favour cooperative play settings</w:t>
      </w:r>
      <w:r w:rsidRPr="008E0AA1">
        <w:rPr>
          <w:rFonts w:ascii="Calibri" w:hAnsi="Calibri" w:cs="Calibri"/>
          <w:color w:val="000000" w:themeColor="text1"/>
        </w:rPr>
        <w:t>.</w:t>
      </w:r>
    </w:p>
    <w:p w14:paraId="5319D477" w14:textId="5C4A9C70" w:rsidR="00C86A34" w:rsidRPr="008E0AA1" w:rsidRDefault="00C86A34"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Further analysis revealed instances</w:t>
      </w:r>
      <w:r w:rsidR="00CA16A2">
        <w:rPr>
          <w:rFonts w:ascii="Calibri" w:hAnsi="Calibri" w:cs="Calibri"/>
          <w:color w:val="000000" w:themeColor="text1"/>
        </w:rPr>
        <w:t>,</w:t>
      </w:r>
      <w:r w:rsidRPr="008E0AA1">
        <w:rPr>
          <w:rFonts w:ascii="Calibri" w:hAnsi="Calibri" w:cs="Calibri"/>
          <w:color w:val="000000" w:themeColor="text1"/>
        </w:rPr>
        <w:t xml:space="preserve"> where </w:t>
      </w:r>
      <w:r w:rsidR="00F20EF8">
        <w:rPr>
          <w:rFonts w:ascii="Calibri" w:hAnsi="Calibri" w:cs="Calibri"/>
          <w:color w:val="000000" w:themeColor="text1"/>
        </w:rPr>
        <w:t>the children were finding the learning challenges set u</w:t>
      </w:r>
      <w:r w:rsidR="00E04AB6">
        <w:rPr>
          <w:rFonts w:ascii="Calibri" w:hAnsi="Calibri" w:cs="Calibri"/>
          <w:color w:val="000000" w:themeColor="text1"/>
        </w:rPr>
        <w:t>p</w:t>
      </w:r>
      <w:r w:rsidR="00F20EF8">
        <w:rPr>
          <w:rFonts w:ascii="Calibri" w:hAnsi="Calibri" w:cs="Calibri"/>
          <w:color w:val="000000" w:themeColor="text1"/>
        </w:rPr>
        <w:t xml:space="preserve"> in certain areas</w:t>
      </w:r>
      <w:r w:rsidR="00CA16A2">
        <w:rPr>
          <w:rFonts w:ascii="Calibri" w:hAnsi="Calibri" w:cs="Calibri"/>
          <w:color w:val="000000" w:themeColor="text1"/>
        </w:rPr>
        <w:t>,</w:t>
      </w:r>
      <w:r w:rsidR="00F20EF8">
        <w:rPr>
          <w:rFonts w:ascii="Calibri" w:hAnsi="Calibri" w:cs="Calibri"/>
          <w:color w:val="000000" w:themeColor="text1"/>
        </w:rPr>
        <w:t xml:space="preserve"> were not catering to their interests and why they were avoiding these areas to play </w:t>
      </w:r>
      <w:r w:rsidR="00197A0B">
        <w:rPr>
          <w:rFonts w:ascii="Calibri" w:hAnsi="Calibri" w:cs="Calibri"/>
          <w:color w:val="000000" w:themeColor="text1"/>
        </w:rPr>
        <w:t>in and</w:t>
      </w:r>
      <w:r w:rsidR="00F20EF8">
        <w:rPr>
          <w:rFonts w:ascii="Calibri" w:hAnsi="Calibri" w:cs="Calibri"/>
          <w:color w:val="000000" w:themeColor="text1"/>
        </w:rPr>
        <w:t xml:space="preserve"> were asked what could be changed to make these areas more appealing. One child replied, “I’d like smaller blocks in the construction area, or maybe we can build fairy houses”. Another stated, “We could put scarier stuff in the doctor’s surgery”. Therefore, potentially adding an element of pupil</w:t>
      </w:r>
      <w:r w:rsidR="00197A0B">
        <w:rPr>
          <w:rFonts w:ascii="Calibri" w:hAnsi="Calibri" w:cs="Calibri"/>
          <w:color w:val="000000" w:themeColor="text1"/>
        </w:rPr>
        <w:t>’s</w:t>
      </w:r>
      <w:r w:rsidR="00F20EF8">
        <w:rPr>
          <w:rFonts w:ascii="Calibri" w:hAnsi="Calibri" w:cs="Calibri"/>
          <w:color w:val="000000" w:themeColor="text1"/>
        </w:rPr>
        <w:t xml:space="preserve"> voice </w:t>
      </w:r>
      <w:r w:rsidR="00130C36">
        <w:rPr>
          <w:rFonts w:ascii="Calibri" w:hAnsi="Calibri" w:cs="Calibri"/>
          <w:color w:val="000000" w:themeColor="text1"/>
        </w:rPr>
        <w:t xml:space="preserve">to the weekly challenges could help with engaging girls and boys in areas they choose not to frequent. </w:t>
      </w:r>
    </w:p>
    <w:p w14:paraId="20F8BF83" w14:textId="2F3AA203" w:rsidR="00C86A34" w:rsidRPr="008E0AA1" w:rsidRDefault="00C86A34" w:rsidP="00C86A34">
      <w:pPr>
        <w:pStyle w:val="NormalWeb"/>
        <w:spacing w:line="360" w:lineRule="auto"/>
        <w:jc w:val="both"/>
        <w:rPr>
          <w:rFonts w:ascii="Calibri" w:hAnsi="Calibri" w:cs="Calibri"/>
          <w:color w:val="000000" w:themeColor="text1"/>
          <w:u w:val="single"/>
        </w:rPr>
      </w:pPr>
      <w:r w:rsidRPr="008E0AA1">
        <w:rPr>
          <w:rStyle w:val="Strong"/>
          <w:rFonts w:ascii="Calibri" w:hAnsi="Calibri" w:cs="Calibri"/>
          <w:color w:val="000000" w:themeColor="text1"/>
          <w:u w:val="single"/>
        </w:rPr>
        <w:t xml:space="preserve">Types of Play Initiated: </w:t>
      </w:r>
    </w:p>
    <w:p w14:paraId="01D7B5BF" w14:textId="2A5A00BE" w:rsidR="00C86A34" w:rsidRPr="008E0AA1" w:rsidRDefault="00C86A34"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Thematic analysis revealed a tendency towards gendered play styles.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 xml:space="preserve">Boys often initiated games with competitive elements like building structures or </w:t>
      </w:r>
      <w:r w:rsidR="008121B7" w:rsidRPr="008E0AA1">
        <w:rPr>
          <w:rFonts w:ascii="Calibri" w:hAnsi="Calibri" w:cs="Calibri"/>
          <w:color w:val="000000" w:themeColor="text1"/>
        </w:rPr>
        <w:t>superheroes</w:t>
      </w:r>
      <w:r w:rsidRPr="008E0AA1">
        <w:rPr>
          <w:rFonts w:ascii="Calibri" w:hAnsi="Calibri" w:cs="Calibri"/>
          <w:color w:val="000000" w:themeColor="text1"/>
        </w:rPr>
        <w:t>.</w:t>
      </w:r>
      <w:r w:rsidR="00130C36">
        <w:rPr>
          <w:rStyle w:val="apple-converted-space"/>
          <w:rFonts w:ascii="Calibri" w:eastAsiaTheme="majorEastAsia" w:hAnsi="Calibri" w:cs="Calibri"/>
          <w:color w:val="000000" w:themeColor="text1"/>
        </w:rPr>
        <w:t xml:space="preserve"> </w:t>
      </w:r>
      <w:r w:rsidR="00D90240">
        <w:rPr>
          <w:rStyle w:val="apple-converted-space"/>
          <w:rFonts w:ascii="Calibri" w:eastAsiaTheme="majorEastAsia" w:hAnsi="Calibri" w:cs="Calibri"/>
          <w:color w:val="000000" w:themeColor="text1"/>
        </w:rPr>
        <w:t>Conversely,</w:t>
      </w:r>
      <w:r w:rsidRPr="008E0AA1">
        <w:rPr>
          <w:rFonts w:ascii="Calibri" w:hAnsi="Calibri" w:cs="Calibri"/>
          <w:color w:val="000000" w:themeColor="text1"/>
        </w:rPr>
        <w:t xml:space="preserve"> </w:t>
      </w:r>
      <w:r w:rsidR="00D90240">
        <w:rPr>
          <w:rFonts w:ascii="Calibri" w:hAnsi="Calibri" w:cs="Calibri"/>
          <w:color w:val="000000" w:themeColor="text1"/>
        </w:rPr>
        <w:lastRenderedPageBreak/>
        <w:t>girls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 xml:space="preserve">were </w:t>
      </w:r>
      <w:r w:rsidR="00F20EF8">
        <w:rPr>
          <w:rFonts w:ascii="Calibri" w:hAnsi="Calibri" w:cs="Calibri"/>
          <w:color w:val="000000" w:themeColor="text1"/>
        </w:rPr>
        <w:t>likelier</w:t>
      </w:r>
      <w:r w:rsidRPr="008E0AA1">
        <w:rPr>
          <w:rFonts w:ascii="Calibri" w:hAnsi="Calibri" w:cs="Calibri"/>
          <w:color w:val="000000" w:themeColor="text1"/>
        </w:rPr>
        <w:t xml:space="preserve"> to initiate imaginative play scenarios involving tea parties or caring for </w:t>
      </w:r>
      <w:r w:rsidR="008121B7" w:rsidRPr="008E0AA1">
        <w:rPr>
          <w:rFonts w:ascii="Calibri" w:hAnsi="Calibri" w:cs="Calibri"/>
          <w:color w:val="000000" w:themeColor="text1"/>
        </w:rPr>
        <w:t>others</w:t>
      </w:r>
      <w:r w:rsidR="00130C36">
        <w:rPr>
          <w:rFonts w:ascii="Calibri" w:hAnsi="Calibri" w:cs="Calibri"/>
          <w:color w:val="000000" w:themeColor="text1"/>
        </w:rPr>
        <w:t>, as observed in the roles of mummies, babies and doctors in the doctor’s surgery role play</w:t>
      </w:r>
      <w:r w:rsidRPr="008E0AA1">
        <w:rPr>
          <w:rFonts w:ascii="Calibri" w:hAnsi="Calibri" w:cs="Calibri"/>
          <w:color w:val="000000" w:themeColor="text1"/>
        </w:rPr>
        <w:t>.</w:t>
      </w:r>
      <w:r w:rsidR="00E95905" w:rsidRPr="008E0AA1">
        <w:rPr>
          <w:rFonts w:ascii="Calibri" w:hAnsi="Calibri" w:cs="Calibri"/>
          <w:color w:val="000000" w:themeColor="text1"/>
        </w:rPr>
        <w:t xml:space="preserve"> This aligns with the broader body of research discussed in the literature review, where social learning </w:t>
      </w:r>
      <w:r w:rsidR="00E95905" w:rsidRPr="00222B3F">
        <w:rPr>
          <w:rFonts w:ascii="Calibri" w:hAnsi="Calibri" w:cs="Calibri"/>
          <w:color w:val="000000" w:themeColor="text1"/>
        </w:rPr>
        <w:t xml:space="preserve">theory (Bandura, 1971) </w:t>
      </w:r>
      <w:r w:rsidR="00E95905" w:rsidRPr="008E0AA1">
        <w:rPr>
          <w:rFonts w:ascii="Calibri" w:hAnsi="Calibri" w:cs="Calibri"/>
          <w:color w:val="000000" w:themeColor="text1"/>
        </w:rPr>
        <w:t>explains how children internalise these stereotypes through observation.</w:t>
      </w:r>
    </w:p>
    <w:p w14:paraId="4B6419DB" w14:textId="57E25B55" w:rsidR="00C86A34" w:rsidRPr="008E0AA1" w:rsidRDefault="00C86A34"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However,</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it's important to note that these were general trends,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not rigid categories.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Some boys engaged in imaginative play.</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This suggests that children are naturally curious and possess a wider range of play interests.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The concern lies in potential societal pressures that discourage them from exploring beyond perceived gender norms.</w:t>
      </w:r>
    </w:p>
    <w:p w14:paraId="5A40CC9D" w14:textId="29AE57DF" w:rsidR="00C86A34" w:rsidRPr="008E0AA1" w:rsidRDefault="00C86A34" w:rsidP="00C86A34">
      <w:pPr>
        <w:pStyle w:val="NormalWeb"/>
        <w:spacing w:line="360" w:lineRule="auto"/>
        <w:jc w:val="both"/>
        <w:rPr>
          <w:rFonts w:ascii="Calibri" w:hAnsi="Calibri" w:cs="Calibri"/>
          <w:color w:val="000000" w:themeColor="text1"/>
          <w:u w:val="single"/>
        </w:rPr>
      </w:pPr>
      <w:r w:rsidRPr="008E0AA1">
        <w:rPr>
          <w:rStyle w:val="Strong"/>
          <w:rFonts w:ascii="Calibri" w:hAnsi="Calibri" w:cs="Calibri"/>
          <w:color w:val="000000" w:themeColor="text1"/>
          <w:u w:val="single"/>
        </w:rPr>
        <w:t xml:space="preserve">Group Dynamics and Play Segregation: </w:t>
      </w:r>
    </w:p>
    <w:p w14:paraId="03AE1877" w14:textId="588CE6D0" w:rsidR="00130C36" w:rsidRDefault="00130C36" w:rsidP="00C86A34">
      <w:pPr>
        <w:pStyle w:val="NormalWeb"/>
        <w:spacing w:line="360" w:lineRule="auto"/>
        <w:jc w:val="both"/>
        <w:rPr>
          <w:rFonts w:ascii="Calibri" w:hAnsi="Calibri" w:cs="Calibri"/>
          <w:color w:val="000000" w:themeColor="text1"/>
        </w:rPr>
      </w:pPr>
      <w:r w:rsidRPr="00130C36">
        <w:rPr>
          <w:rFonts w:ascii="Calibri" w:hAnsi="Calibri" w:cs="Calibri"/>
          <w:color w:val="000000" w:themeColor="text1"/>
        </w:rPr>
        <w:t xml:space="preserve">The analysis revealed a tendency towards self-segregation during play. Children primarily played with same-sex peers, forming distinct social groups. While same-sex play is natural, this segregation sometimes led to exclusion based on gender identity. Certain play areas, particularly those dominated by boys, became unappealing for girls, potentially limiting their access to specific materials and play experiences. </w:t>
      </w:r>
      <w:r>
        <w:rPr>
          <w:rFonts w:ascii="Calibri" w:hAnsi="Calibri" w:cs="Calibri"/>
          <w:color w:val="000000" w:themeColor="text1"/>
        </w:rPr>
        <w:t>The s</w:t>
      </w:r>
      <w:r w:rsidRPr="00130C36">
        <w:rPr>
          <w:rFonts w:ascii="Calibri" w:hAnsi="Calibri" w:cs="Calibri"/>
          <w:color w:val="000000" w:themeColor="text1"/>
        </w:rPr>
        <w:t>olitary play was also observed within the science area, where a child playing with colo</w:t>
      </w:r>
      <w:r>
        <w:rPr>
          <w:rFonts w:ascii="Calibri" w:hAnsi="Calibri" w:cs="Calibri"/>
          <w:color w:val="000000" w:themeColor="text1"/>
        </w:rPr>
        <w:t>u</w:t>
      </w:r>
      <w:r w:rsidRPr="00130C36">
        <w:rPr>
          <w:rFonts w:ascii="Calibri" w:hAnsi="Calibri" w:cs="Calibri"/>
          <w:color w:val="000000" w:themeColor="text1"/>
        </w:rPr>
        <w:t>red water unknowingly reinforced these norms by stating, "Blue is a boy's colo</w:t>
      </w:r>
      <w:r>
        <w:rPr>
          <w:rFonts w:ascii="Calibri" w:hAnsi="Calibri" w:cs="Calibri"/>
          <w:color w:val="000000" w:themeColor="text1"/>
        </w:rPr>
        <w:t>u</w:t>
      </w:r>
      <w:r w:rsidRPr="00130C36">
        <w:rPr>
          <w:rFonts w:ascii="Calibri" w:hAnsi="Calibri" w:cs="Calibri"/>
          <w:color w:val="000000" w:themeColor="text1"/>
        </w:rPr>
        <w:t>r." This incident exemplifies how children internali</w:t>
      </w:r>
      <w:r w:rsidR="00222B3F">
        <w:rPr>
          <w:rFonts w:ascii="Calibri" w:hAnsi="Calibri" w:cs="Calibri"/>
          <w:color w:val="000000" w:themeColor="text1"/>
        </w:rPr>
        <w:t>s</w:t>
      </w:r>
      <w:r w:rsidRPr="00130C36">
        <w:rPr>
          <w:rFonts w:ascii="Calibri" w:hAnsi="Calibri" w:cs="Calibri"/>
          <w:color w:val="000000" w:themeColor="text1"/>
        </w:rPr>
        <w:t xml:space="preserve">e these stereotypes early on, affecting their choice of playmates and toy preferences, as supported by </w:t>
      </w:r>
      <w:proofErr w:type="spellStart"/>
      <w:r w:rsidRPr="00222B3F">
        <w:rPr>
          <w:rFonts w:ascii="Calibri" w:hAnsi="Calibri" w:cs="Calibri"/>
          <w:color w:val="000000" w:themeColor="text1"/>
        </w:rPr>
        <w:t>Stutey</w:t>
      </w:r>
      <w:proofErr w:type="spellEnd"/>
      <w:r w:rsidRPr="00222B3F">
        <w:rPr>
          <w:rFonts w:ascii="Calibri" w:hAnsi="Calibri" w:cs="Calibri"/>
          <w:color w:val="000000" w:themeColor="text1"/>
        </w:rPr>
        <w:t xml:space="preserve"> et al. (2020) and Kung (2021).</w:t>
      </w:r>
    </w:p>
    <w:p w14:paraId="4518CF6F" w14:textId="2E04A802" w:rsidR="00C86A34" w:rsidRPr="008E0AA1" w:rsidRDefault="00C86A34"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 xml:space="preserve">This highlights the need </w:t>
      </w:r>
      <w:r w:rsidR="00EA4EB6" w:rsidRPr="008E0AA1">
        <w:rPr>
          <w:rFonts w:ascii="Calibri" w:hAnsi="Calibri" w:cs="Calibri"/>
          <w:color w:val="000000" w:themeColor="text1"/>
        </w:rPr>
        <w:t>to</w:t>
      </w:r>
      <w:r w:rsidRPr="008E0AA1">
        <w:rPr>
          <w:rFonts w:ascii="Calibri" w:hAnsi="Calibri" w:cs="Calibri"/>
          <w:color w:val="000000" w:themeColor="text1"/>
        </w:rPr>
        <w:t xml:space="preserve"> foster inclusive play spaces </w:t>
      </w:r>
      <w:r w:rsidR="00EA4EB6" w:rsidRPr="008E0AA1">
        <w:rPr>
          <w:rFonts w:ascii="Calibri" w:hAnsi="Calibri" w:cs="Calibri"/>
          <w:color w:val="000000" w:themeColor="text1"/>
        </w:rPr>
        <w:t>that encourage</w:t>
      </w:r>
      <w:r w:rsidRPr="008E0AA1">
        <w:rPr>
          <w:rFonts w:ascii="Calibri" w:hAnsi="Calibri" w:cs="Calibri"/>
          <w:color w:val="000000" w:themeColor="text1"/>
        </w:rPr>
        <w:t xml:space="preserve"> interaction and collaboration across genders.</w:t>
      </w:r>
      <w:r w:rsidR="00EA4EB6" w:rsidRPr="008E0AA1">
        <w:rPr>
          <w:rFonts w:ascii="Calibri" w:hAnsi="Calibri" w:cs="Calibri"/>
          <w:color w:val="000000" w:themeColor="text1"/>
        </w:rPr>
        <w:t xml:space="preserve"> </w:t>
      </w:r>
      <w:r w:rsidRPr="008E0AA1">
        <w:rPr>
          <w:rFonts w:ascii="Calibri" w:hAnsi="Calibri" w:cs="Calibri"/>
          <w:color w:val="000000" w:themeColor="text1"/>
        </w:rPr>
        <w:t>Providing a wider variety of open-ended toys that appeal to diverse interests can be critical in breaking down these walls and promoting a more inclusive play environment.</w:t>
      </w:r>
    </w:p>
    <w:p w14:paraId="63DABB14" w14:textId="206DCC12" w:rsidR="00C86A34" w:rsidRPr="008E0AA1" w:rsidRDefault="00C86A34" w:rsidP="00C86A34">
      <w:pPr>
        <w:pStyle w:val="NormalWeb"/>
        <w:spacing w:line="360" w:lineRule="auto"/>
        <w:jc w:val="both"/>
        <w:rPr>
          <w:rFonts w:ascii="Calibri" w:hAnsi="Calibri" w:cs="Calibri"/>
          <w:color w:val="000000" w:themeColor="text1"/>
          <w:u w:val="single"/>
        </w:rPr>
      </w:pPr>
      <w:r w:rsidRPr="008E0AA1">
        <w:rPr>
          <w:rStyle w:val="Strong"/>
          <w:rFonts w:ascii="Calibri" w:hAnsi="Calibri" w:cs="Calibri"/>
          <w:color w:val="000000" w:themeColor="text1"/>
          <w:u w:val="single"/>
        </w:rPr>
        <w:t xml:space="preserve">Communicative Styles: </w:t>
      </w:r>
    </w:p>
    <w:p w14:paraId="5947D25E" w14:textId="75522408" w:rsidR="00C86A34" w:rsidRPr="008E0AA1" w:rsidRDefault="00C86A34"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The analysis yielded interesting observations regarding communication styles.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Girls were more likely to use verbal communication,</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engag</w:t>
      </w:r>
      <w:r w:rsidR="00F20EF8">
        <w:rPr>
          <w:rFonts w:ascii="Calibri" w:hAnsi="Calibri" w:cs="Calibri"/>
          <w:color w:val="000000" w:themeColor="text1"/>
        </w:rPr>
        <w:t>e</w:t>
      </w:r>
      <w:r w:rsidRPr="008E0AA1">
        <w:rPr>
          <w:rFonts w:ascii="Calibri" w:hAnsi="Calibri" w:cs="Calibri"/>
          <w:color w:val="000000" w:themeColor="text1"/>
        </w:rPr>
        <w:t xml:space="preserve"> in storytelling and express emotions during play.</w:t>
      </w:r>
      <w:r w:rsidRPr="008E0AA1">
        <w:rPr>
          <w:rStyle w:val="apple-converted-space"/>
          <w:rFonts w:ascii="Calibri" w:eastAsiaTheme="majorEastAsia" w:hAnsi="Calibri" w:cs="Calibri"/>
          <w:color w:val="000000" w:themeColor="text1"/>
        </w:rPr>
        <w:t>  </w:t>
      </w:r>
      <w:r w:rsidR="00E16E43" w:rsidRPr="008E0AA1">
        <w:rPr>
          <w:rFonts w:ascii="Calibri" w:hAnsi="Calibri" w:cs="Calibri"/>
          <w:color w:val="000000" w:themeColor="text1"/>
        </w:rPr>
        <w:t>O</w:t>
      </w:r>
      <w:r w:rsidRPr="008E0AA1">
        <w:rPr>
          <w:rFonts w:ascii="Calibri" w:hAnsi="Calibri" w:cs="Calibri"/>
          <w:color w:val="000000" w:themeColor="text1"/>
        </w:rPr>
        <w:t>n the other hand,</w:t>
      </w:r>
      <w:r w:rsidRPr="008E0AA1">
        <w:rPr>
          <w:rStyle w:val="apple-converted-space"/>
          <w:rFonts w:ascii="Calibri" w:eastAsiaTheme="majorEastAsia" w:hAnsi="Calibri" w:cs="Calibri"/>
          <w:color w:val="000000" w:themeColor="text1"/>
        </w:rPr>
        <w:t> </w:t>
      </w:r>
      <w:r w:rsidR="00E16E43" w:rsidRPr="008E0AA1">
        <w:rPr>
          <w:rStyle w:val="apple-converted-space"/>
          <w:rFonts w:ascii="Calibri" w:eastAsiaTheme="majorEastAsia" w:hAnsi="Calibri" w:cs="Calibri"/>
          <w:color w:val="000000" w:themeColor="text1"/>
        </w:rPr>
        <w:t xml:space="preserve">boys </w:t>
      </w:r>
      <w:r w:rsidRPr="008E0AA1">
        <w:rPr>
          <w:rFonts w:ascii="Calibri" w:hAnsi="Calibri" w:cs="Calibri"/>
          <w:color w:val="000000" w:themeColor="text1"/>
        </w:rPr>
        <w:t>often relied on nonverbal communication,</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using actions and gestures to convey their ideas.</w:t>
      </w:r>
    </w:p>
    <w:p w14:paraId="335E53C4" w14:textId="2E9836D3" w:rsidR="00C86A34" w:rsidRPr="008E0AA1" w:rsidRDefault="00E04948"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lastRenderedPageBreak/>
        <w:t xml:space="preserve">Collaborative play can sometimes be challenging due to inherent differences between boys and girls. Girls may find it difficult to comprehend boys' rough and physical outbursts as playful, while boys may misinterpret </w:t>
      </w:r>
      <w:r w:rsidR="00F20EF8">
        <w:rPr>
          <w:rFonts w:ascii="Calibri" w:hAnsi="Calibri" w:cs="Calibri"/>
          <w:color w:val="000000" w:themeColor="text1"/>
        </w:rPr>
        <w:t>girls'</w:t>
      </w:r>
      <w:r w:rsidRPr="008E0AA1">
        <w:rPr>
          <w:rFonts w:ascii="Calibri" w:hAnsi="Calibri" w:cs="Calibri"/>
          <w:color w:val="000000" w:themeColor="text1"/>
        </w:rPr>
        <w:t xml:space="preserve"> verbal assertiveness as bossiness or aggression. According to research, boys tend to be more dominant in their communication style, exhibiting </w:t>
      </w:r>
      <w:r w:rsidRPr="00222B3F">
        <w:rPr>
          <w:rFonts w:ascii="Calibri" w:hAnsi="Calibri" w:cs="Calibri"/>
          <w:color w:val="000000" w:themeColor="text1"/>
        </w:rPr>
        <w:t>assertiveness (Kilby, 2023).</w:t>
      </w:r>
    </w:p>
    <w:p w14:paraId="44C04418" w14:textId="2891903D" w:rsidR="00C86A34" w:rsidRPr="008E0AA1" w:rsidRDefault="00C86A34"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Educators can play a vital role in fostering an understanding of different communication styles.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Role-playing scenarios and discussi</w:t>
      </w:r>
      <w:r w:rsidR="00222B3F">
        <w:rPr>
          <w:rFonts w:ascii="Calibri" w:hAnsi="Calibri" w:cs="Calibri"/>
          <w:color w:val="000000" w:themeColor="text1"/>
        </w:rPr>
        <w:t>ng</w:t>
      </w:r>
      <w:r w:rsidRPr="008E0AA1">
        <w:rPr>
          <w:rFonts w:ascii="Calibri" w:hAnsi="Calibri" w:cs="Calibri"/>
          <w:color w:val="000000" w:themeColor="text1"/>
        </w:rPr>
        <w:t xml:space="preserve"> expressing emotions can equip children to navigate these differences effectively.</w:t>
      </w:r>
    </w:p>
    <w:p w14:paraId="1F0127E9" w14:textId="21303554" w:rsidR="00C86A34" w:rsidRPr="008E0AA1" w:rsidRDefault="00C86A34" w:rsidP="00C86A34">
      <w:pPr>
        <w:pStyle w:val="NormalWeb"/>
        <w:spacing w:line="360" w:lineRule="auto"/>
        <w:jc w:val="both"/>
        <w:rPr>
          <w:rFonts w:ascii="Calibri" w:hAnsi="Calibri" w:cs="Calibri"/>
          <w:color w:val="000000" w:themeColor="text1"/>
          <w:u w:val="single"/>
        </w:rPr>
      </w:pPr>
      <w:r w:rsidRPr="008E0AA1">
        <w:rPr>
          <w:rStyle w:val="Strong"/>
          <w:rFonts w:ascii="Calibri" w:hAnsi="Calibri" w:cs="Calibri"/>
          <w:color w:val="000000" w:themeColor="text1"/>
          <w:u w:val="single"/>
        </w:rPr>
        <w:t xml:space="preserve">Collaborative Play: </w:t>
      </w:r>
    </w:p>
    <w:p w14:paraId="57D7D82F" w14:textId="6ADF171D" w:rsidR="00C86A34" w:rsidRPr="008E0AA1" w:rsidRDefault="00C86A34"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The analysis revealed that collaborative play often involved gendered roles.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Boys tended to take on leadership roles during construction games,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assigning tasks and directing the play.</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Girls,</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conversely,</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were more likely to adopt nurturing or follower roles during imaginative play scenarios.</w:t>
      </w:r>
      <w:r w:rsidR="00E16E43" w:rsidRPr="008E0AA1">
        <w:rPr>
          <w:rFonts w:asciiTheme="minorHAnsi" w:eastAsiaTheme="minorHAnsi" w:hAnsiTheme="minorHAnsi" w:cstheme="minorBidi"/>
          <w:color w:val="000000" w:themeColor="text1"/>
          <w:kern w:val="2"/>
          <w:lang w:eastAsia="en-US"/>
          <w14:ligatures w14:val="standardContextual"/>
        </w:rPr>
        <w:t xml:space="preserve"> </w:t>
      </w:r>
      <w:r w:rsidR="00E16E43" w:rsidRPr="008E0AA1">
        <w:rPr>
          <w:rFonts w:ascii="Calibri" w:hAnsi="Calibri" w:cs="Calibri"/>
          <w:color w:val="000000" w:themeColor="text1"/>
        </w:rPr>
        <w:t xml:space="preserve">These findings emphasise the negative impact of stereotypes on skill development, referencing </w:t>
      </w:r>
      <w:r w:rsidR="00E16E43" w:rsidRPr="00222B3F">
        <w:rPr>
          <w:rFonts w:ascii="Calibri" w:hAnsi="Calibri" w:cs="Calibri"/>
          <w:color w:val="000000" w:themeColor="text1"/>
        </w:rPr>
        <w:t>Spinner et al. (2021)</w:t>
      </w:r>
      <w:r w:rsidR="002A638B" w:rsidRPr="00222B3F">
        <w:rPr>
          <w:rFonts w:ascii="Calibri" w:hAnsi="Calibri" w:cs="Calibri"/>
          <w:color w:val="000000" w:themeColor="text1"/>
        </w:rPr>
        <w:t>,</w:t>
      </w:r>
      <w:r w:rsidR="00E16E43" w:rsidRPr="00222B3F">
        <w:rPr>
          <w:rFonts w:ascii="Calibri" w:hAnsi="Calibri" w:cs="Calibri"/>
          <w:color w:val="000000" w:themeColor="text1"/>
        </w:rPr>
        <w:t xml:space="preserve"> </w:t>
      </w:r>
      <w:r w:rsidR="00E16E43" w:rsidRPr="008E0AA1">
        <w:rPr>
          <w:rFonts w:ascii="Calibri" w:hAnsi="Calibri" w:cs="Calibri"/>
          <w:color w:val="000000" w:themeColor="text1"/>
        </w:rPr>
        <w:t xml:space="preserve">who suggest children are discouraged from activities deemed suitable for the opposite gender. </w:t>
      </w:r>
      <w:r w:rsidRPr="008E0AA1">
        <w:rPr>
          <w:rFonts w:ascii="Calibri" w:hAnsi="Calibri" w:cs="Calibri"/>
          <w:color w:val="000000" w:themeColor="text1"/>
        </w:rPr>
        <w:t xml:space="preserve">While some collaborative play naturally involves leadership and support </w:t>
      </w:r>
      <w:r w:rsidR="00F20EF8" w:rsidRPr="008E0AA1">
        <w:rPr>
          <w:rFonts w:ascii="Calibri" w:hAnsi="Calibri" w:cs="Calibri"/>
          <w:color w:val="000000" w:themeColor="text1"/>
        </w:rPr>
        <w:t>roles,</w:t>
      </w:r>
      <w:r w:rsidR="00F20EF8" w:rsidRPr="008E0AA1">
        <w:rPr>
          <w:rStyle w:val="apple-converted-space"/>
          <w:rFonts w:ascii="Calibri" w:eastAsiaTheme="majorEastAsia" w:hAnsi="Calibri" w:cs="Calibri"/>
          <w:color w:val="000000" w:themeColor="text1"/>
        </w:rPr>
        <w:t xml:space="preserve"> concern</w:t>
      </w:r>
      <w:r w:rsidRPr="008E0AA1">
        <w:rPr>
          <w:rFonts w:ascii="Calibri" w:hAnsi="Calibri" w:cs="Calibri"/>
          <w:color w:val="000000" w:themeColor="text1"/>
        </w:rPr>
        <w:t xml:space="preserve"> arises when these roles become rigidly defined by gender.</w:t>
      </w:r>
      <w:r w:rsidRPr="008E0AA1">
        <w:rPr>
          <w:rStyle w:val="apple-converted-space"/>
          <w:rFonts w:ascii="Calibri" w:eastAsiaTheme="majorEastAsia" w:hAnsi="Calibri" w:cs="Calibri"/>
          <w:color w:val="000000" w:themeColor="text1"/>
        </w:rPr>
        <w:t> </w:t>
      </w:r>
      <w:r w:rsidRPr="008E0AA1">
        <w:rPr>
          <w:rFonts w:ascii="Calibri" w:hAnsi="Calibri" w:cs="Calibri"/>
          <w:color w:val="000000" w:themeColor="text1"/>
        </w:rPr>
        <w:t>This limits opportunities for children to develop a wider range of social skills.</w:t>
      </w:r>
    </w:p>
    <w:p w14:paraId="0E8D580C" w14:textId="77777777" w:rsidR="00C86A34" w:rsidRPr="008E0AA1" w:rsidRDefault="00C86A34" w:rsidP="00C86A34">
      <w:pPr>
        <w:pStyle w:val="NormalWeb"/>
        <w:spacing w:line="360" w:lineRule="auto"/>
        <w:jc w:val="both"/>
        <w:rPr>
          <w:rFonts w:ascii="Calibri" w:hAnsi="Calibri" w:cs="Calibri"/>
          <w:color w:val="000000" w:themeColor="text1"/>
        </w:rPr>
      </w:pPr>
      <w:r w:rsidRPr="008E0AA1">
        <w:rPr>
          <w:rFonts w:ascii="Calibri" w:hAnsi="Calibri" w:cs="Calibri"/>
          <w:color w:val="000000" w:themeColor="text1"/>
        </w:rPr>
        <w:t>Encouraging mixed-gender collaborative play through open-ended activities like block building or storytelling can foster a more fluid distribution of roles and encourage children to develop their communication and leadership skills regardless of gender.</w:t>
      </w:r>
    </w:p>
    <w:p w14:paraId="0CB52BE0" w14:textId="70801E56" w:rsidR="00011631" w:rsidRPr="008E0AA1" w:rsidRDefault="00E408A9" w:rsidP="00011631">
      <w:pPr>
        <w:pStyle w:val="NormalWeb"/>
        <w:jc w:val="center"/>
        <w:rPr>
          <w:color w:val="000000" w:themeColor="text1"/>
          <w:u w:val="single"/>
        </w:rPr>
      </w:pPr>
      <w:r w:rsidRPr="008E0AA1">
        <w:rPr>
          <w:rFonts w:ascii="Calibri" w:hAnsi="Calibri" w:cs="Calibri"/>
          <w:b/>
          <w:bCs/>
          <w:color w:val="000000" w:themeColor="text1"/>
          <w:u w:val="single"/>
        </w:rPr>
        <w:t>Conclusion</w:t>
      </w:r>
      <w:r w:rsidR="00F10099" w:rsidRPr="008E0AA1">
        <w:rPr>
          <w:rFonts w:ascii="Calibri" w:hAnsi="Calibri" w:cs="Calibri"/>
          <w:b/>
          <w:bCs/>
          <w:color w:val="000000" w:themeColor="text1"/>
          <w:u w:val="single"/>
        </w:rPr>
        <w:t xml:space="preserve"> and Recommendations</w:t>
      </w:r>
    </w:p>
    <w:p w14:paraId="7B41F3FA" w14:textId="45465BF8" w:rsidR="0033648B" w:rsidRPr="008E0AA1" w:rsidRDefault="0033648B" w:rsidP="0033648B">
      <w:pPr>
        <w:spacing w:line="360" w:lineRule="auto"/>
        <w:jc w:val="both"/>
        <w:rPr>
          <w:color w:val="000000" w:themeColor="text1"/>
        </w:rPr>
      </w:pPr>
      <w:r w:rsidRPr="0033648B">
        <w:rPr>
          <w:color w:val="000000" w:themeColor="text1"/>
        </w:rPr>
        <w:t>This case study investigated the influence of gender stereotypes on young children's play behaviours within an outdoor learning environment. While observations and semi-structured interviews provided valuable insights into children's social interactions and play preferences, </w:t>
      </w:r>
      <w:r w:rsidR="00F20EF8">
        <w:rPr>
          <w:color w:val="000000" w:themeColor="text1"/>
        </w:rPr>
        <w:t>critically</w:t>
      </w:r>
      <w:r w:rsidRPr="0033648B">
        <w:rPr>
          <w:color w:val="000000" w:themeColor="text1"/>
        </w:rPr>
        <w:t xml:space="preserve"> </w:t>
      </w:r>
      <w:r w:rsidR="00F20EF8">
        <w:rPr>
          <w:color w:val="000000" w:themeColor="text1"/>
        </w:rPr>
        <w:t>evaluating</w:t>
      </w:r>
      <w:r w:rsidRPr="0033648B">
        <w:rPr>
          <w:color w:val="000000" w:themeColor="text1"/>
        </w:rPr>
        <w:t xml:space="preserve"> these methods highlights their limitations.</w:t>
      </w:r>
    </w:p>
    <w:p w14:paraId="70916907" w14:textId="77777777" w:rsidR="0033648B" w:rsidRPr="0033648B" w:rsidRDefault="0033648B" w:rsidP="0033648B">
      <w:pPr>
        <w:spacing w:line="360" w:lineRule="auto"/>
        <w:jc w:val="both"/>
        <w:rPr>
          <w:color w:val="000000" w:themeColor="text1"/>
        </w:rPr>
      </w:pPr>
    </w:p>
    <w:p w14:paraId="2C39AF1D" w14:textId="54FFD9DA" w:rsidR="0033648B" w:rsidRPr="008E0AA1" w:rsidRDefault="0033648B" w:rsidP="0033648B">
      <w:pPr>
        <w:spacing w:line="360" w:lineRule="auto"/>
        <w:jc w:val="both"/>
        <w:rPr>
          <w:color w:val="000000" w:themeColor="text1"/>
        </w:rPr>
      </w:pPr>
      <w:r w:rsidRPr="0033648B">
        <w:rPr>
          <w:color w:val="000000" w:themeColor="text1"/>
        </w:rPr>
        <w:lastRenderedPageBreak/>
        <w:t>The research design, with its focus on a single school and a small sample size, restricts the generali</w:t>
      </w:r>
      <w:r w:rsidR="00BD6D50">
        <w:rPr>
          <w:color w:val="000000" w:themeColor="text1"/>
        </w:rPr>
        <w:t>s</w:t>
      </w:r>
      <w:r w:rsidRPr="0033648B">
        <w:rPr>
          <w:color w:val="000000" w:themeColor="text1"/>
        </w:rPr>
        <w:t>ability of the findings. </w:t>
      </w:r>
      <w:r w:rsidRPr="008E0AA1">
        <w:rPr>
          <w:color w:val="000000" w:themeColor="text1"/>
        </w:rPr>
        <w:t>D</w:t>
      </w:r>
      <w:r w:rsidRPr="0033648B">
        <w:rPr>
          <w:color w:val="000000" w:themeColor="text1"/>
        </w:rPr>
        <w:t>espite offering rich contextual data, </w:t>
      </w:r>
      <w:r w:rsidRPr="008E0AA1">
        <w:rPr>
          <w:color w:val="000000" w:themeColor="text1"/>
        </w:rPr>
        <w:t xml:space="preserve">observations </w:t>
      </w:r>
      <w:r w:rsidRPr="0033648B">
        <w:rPr>
          <w:color w:val="000000" w:themeColor="text1"/>
        </w:rPr>
        <w:t>can be susceptible to observer bias. The researcher's experiences and preconceptions might influence how they interpret behaviours, potentially overlooking or misinterpreting subtle cues.</w:t>
      </w:r>
      <w:r w:rsidRPr="008E0AA1">
        <w:rPr>
          <w:color w:val="000000" w:themeColor="text1"/>
        </w:rPr>
        <w:t xml:space="preserve"> </w:t>
      </w:r>
      <w:r w:rsidRPr="0033648B">
        <w:rPr>
          <w:color w:val="000000" w:themeColor="text1"/>
        </w:rPr>
        <w:t xml:space="preserve">Additionally, observations capture a snapshot in time, and without considering the broader context, a specific behaviour could be misinterpreted. For instance, a child observed hesitating to join a group might be experiencing shyness </w:t>
      </w:r>
      <w:r w:rsidR="00BD6D50">
        <w:rPr>
          <w:color w:val="000000" w:themeColor="text1"/>
        </w:rPr>
        <w:t xml:space="preserve">or struggling with additional learning needs </w:t>
      </w:r>
      <w:r w:rsidRPr="0033648B">
        <w:rPr>
          <w:color w:val="000000" w:themeColor="text1"/>
        </w:rPr>
        <w:t>rather than adhering to gender stereotypes.</w:t>
      </w:r>
    </w:p>
    <w:p w14:paraId="2D3A5269" w14:textId="77777777" w:rsidR="0033648B" w:rsidRPr="0033648B" w:rsidRDefault="0033648B" w:rsidP="0033648B">
      <w:pPr>
        <w:spacing w:line="360" w:lineRule="auto"/>
        <w:jc w:val="both"/>
        <w:rPr>
          <w:color w:val="000000" w:themeColor="text1"/>
        </w:rPr>
      </w:pPr>
    </w:p>
    <w:p w14:paraId="3BFFB797" w14:textId="5ED34ADF" w:rsidR="0033648B" w:rsidRPr="008E0AA1" w:rsidRDefault="0033648B" w:rsidP="0033648B">
      <w:pPr>
        <w:spacing w:line="360" w:lineRule="auto"/>
        <w:jc w:val="both"/>
        <w:rPr>
          <w:color w:val="000000" w:themeColor="text1"/>
        </w:rPr>
      </w:pPr>
      <w:r w:rsidRPr="0033648B">
        <w:rPr>
          <w:color w:val="000000" w:themeColor="text1"/>
        </w:rPr>
        <w:t>Semi-structured interviews with young children also have limitations. While these interviews provide a platform for children's voices, </w:t>
      </w:r>
      <w:r w:rsidRPr="008E0AA1">
        <w:rPr>
          <w:color w:val="000000" w:themeColor="text1"/>
        </w:rPr>
        <w:t>how</w:t>
      </w:r>
      <w:r w:rsidRPr="0033648B">
        <w:rPr>
          <w:color w:val="000000" w:themeColor="text1"/>
        </w:rPr>
        <w:t xml:space="preserve"> questions are phrased can inadvertently lead them towards specific answers. </w:t>
      </w:r>
      <w:r w:rsidRPr="008E0AA1">
        <w:rPr>
          <w:color w:val="000000" w:themeColor="text1"/>
        </w:rPr>
        <w:t>Furthermore, young</w:t>
      </w:r>
      <w:r w:rsidRPr="0033648B">
        <w:rPr>
          <w:color w:val="000000" w:themeColor="text1"/>
        </w:rPr>
        <w:t xml:space="preserve"> children's short attention spans and limited ability to articulate complex ideas can impact the reliability of the collected data.</w:t>
      </w:r>
    </w:p>
    <w:p w14:paraId="1C8C5DA4" w14:textId="77777777" w:rsidR="0033648B" w:rsidRPr="0033648B" w:rsidRDefault="0033648B" w:rsidP="0033648B">
      <w:pPr>
        <w:spacing w:line="360" w:lineRule="auto"/>
        <w:jc w:val="both"/>
        <w:rPr>
          <w:color w:val="000000" w:themeColor="text1"/>
        </w:rPr>
      </w:pPr>
    </w:p>
    <w:p w14:paraId="5C32DD57" w14:textId="66DCA2B3" w:rsidR="0033648B" w:rsidRPr="0033648B" w:rsidRDefault="0033648B" w:rsidP="0033648B">
      <w:pPr>
        <w:spacing w:line="360" w:lineRule="auto"/>
        <w:jc w:val="both"/>
        <w:rPr>
          <w:color w:val="000000" w:themeColor="text1"/>
        </w:rPr>
      </w:pPr>
      <w:r w:rsidRPr="0033648B">
        <w:rPr>
          <w:color w:val="000000" w:themeColor="text1"/>
        </w:rPr>
        <w:t>Future research can be strengthened by incorporating a larger sample size across multiple schools and age groups. This broader scope would enhance the generali</w:t>
      </w:r>
      <w:r w:rsidRPr="008E0AA1">
        <w:rPr>
          <w:color w:val="000000" w:themeColor="text1"/>
        </w:rPr>
        <w:t>s</w:t>
      </w:r>
      <w:r w:rsidRPr="0033648B">
        <w:rPr>
          <w:color w:val="000000" w:themeColor="text1"/>
        </w:rPr>
        <w:t xml:space="preserve">ability of the findings and provide a more comprehensive picture of gendered play patterns. Employing a mixed-methods approach through triangulation of data collection methods would further strengthen the research. This could involve incorporating surveys for teachers and parents alongside observations and child interviews. Teacher surveys could explore their observations of children's play behaviours and any unconscious biases they might hold. Parent surveys could shed light on how gender stereotypes are reinforced at home and in the wider </w:t>
      </w:r>
      <w:r w:rsidRPr="008E0AA1">
        <w:rPr>
          <w:color w:val="000000" w:themeColor="text1"/>
        </w:rPr>
        <w:t>community</w:t>
      </w:r>
      <w:r w:rsidRPr="0033648B">
        <w:rPr>
          <w:color w:val="000000" w:themeColor="text1"/>
        </w:rPr>
        <w:t>.</w:t>
      </w:r>
    </w:p>
    <w:p w14:paraId="63CC0399" w14:textId="77777777" w:rsidR="0033648B" w:rsidRPr="008E0AA1" w:rsidRDefault="0033648B" w:rsidP="0033648B">
      <w:pPr>
        <w:spacing w:line="360" w:lineRule="auto"/>
        <w:jc w:val="both"/>
        <w:rPr>
          <w:color w:val="000000" w:themeColor="text1"/>
        </w:rPr>
      </w:pPr>
    </w:p>
    <w:p w14:paraId="2662495E" w14:textId="5437B31E" w:rsidR="0033648B" w:rsidRPr="008E0AA1" w:rsidRDefault="0033648B" w:rsidP="0033648B">
      <w:pPr>
        <w:spacing w:line="360" w:lineRule="auto"/>
        <w:jc w:val="both"/>
        <w:rPr>
          <w:color w:val="000000" w:themeColor="text1"/>
        </w:rPr>
      </w:pPr>
      <w:r w:rsidRPr="0033648B">
        <w:rPr>
          <w:color w:val="000000" w:themeColor="text1"/>
        </w:rPr>
        <w:t>This research aligns with the Professional Standards for Teaching an</w:t>
      </w:r>
      <w:r w:rsidRPr="00222B3F">
        <w:rPr>
          <w:color w:val="000000" w:themeColor="text1"/>
        </w:rPr>
        <w:t xml:space="preserve">d Leadership (Welsh Government, 2019) </w:t>
      </w:r>
      <w:r w:rsidRPr="0033648B">
        <w:rPr>
          <w:color w:val="000000" w:themeColor="text1"/>
        </w:rPr>
        <w:t>by promoting a commitment to ongoing improvement and fostering inclusive learning environments. The findings highlight the need for further</w:t>
      </w:r>
      <w:r w:rsidRPr="008E0AA1">
        <w:rPr>
          <w:color w:val="000000" w:themeColor="text1"/>
        </w:rPr>
        <w:t xml:space="preserve"> reflection on my own </w:t>
      </w:r>
      <w:r w:rsidR="008E0AA1" w:rsidRPr="008E0AA1">
        <w:rPr>
          <w:color w:val="000000" w:themeColor="text1"/>
        </w:rPr>
        <w:t>practice and</w:t>
      </w:r>
      <w:r w:rsidRPr="0033648B">
        <w:rPr>
          <w:color w:val="000000" w:themeColor="text1"/>
        </w:rPr>
        <w:t xml:space="preserve"> investigation into effective strategies for dismantling gender stereotypes in</w:t>
      </w:r>
      <w:r w:rsidR="008E0AA1" w:rsidRPr="008E0AA1">
        <w:rPr>
          <w:color w:val="000000" w:themeColor="text1"/>
        </w:rPr>
        <w:t xml:space="preserve"> learning environments</w:t>
      </w:r>
      <w:r w:rsidRPr="0033648B">
        <w:rPr>
          <w:color w:val="000000" w:themeColor="text1"/>
        </w:rPr>
        <w:t>.</w:t>
      </w:r>
    </w:p>
    <w:p w14:paraId="2DCCBB8C" w14:textId="77777777" w:rsidR="0033648B" w:rsidRPr="0033648B" w:rsidRDefault="0033648B" w:rsidP="0033648B">
      <w:pPr>
        <w:spacing w:line="360" w:lineRule="auto"/>
        <w:jc w:val="both"/>
        <w:rPr>
          <w:color w:val="000000" w:themeColor="text1"/>
        </w:rPr>
      </w:pPr>
    </w:p>
    <w:p w14:paraId="23A5712B" w14:textId="304D3CCA" w:rsidR="0033648B" w:rsidRPr="0033648B" w:rsidRDefault="0033648B" w:rsidP="0033648B">
      <w:pPr>
        <w:spacing w:line="360" w:lineRule="auto"/>
        <w:jc w:val="both"/>
        <w:rPr>
          <w:color w:val="000000" w:themeColor="text1"/>
        </w:rPr>
      </w:pPr>
      <w:r w:rsidRPr="0033648B">
        <w:rPr>
          <w:color w:val="000000" w:themeColor="text1"/>
        </w:rPr>
        <w:t>Based on the research findings, one key recommendation is the implementation of professional development workshops for educators. These workshops could focus on raising awareness of unconscious bias and equip educators with strategies to promote gender-</w:t>
      </w:r>
      <w:r w:rsidRPr="0033648B">
        <w:rPr>
          <w:color w:val="000000" w:themeColor="text1"/>
        </w:rPr>
        <w:lastRenderedPageBreak/>
        <w:t xml:space="preserve">inclusive play. Educators could be trained to identify and challenge gendered assumptions embedded in their language and interactions. They could also learn strategies for creating </w:t>
      </w:r>
      <w:r w:rsidR="008E0AA1" w:rsidRPr="008E0AA1">
        <w:rPr>
          <w:color w:val="000000" w:themeColor="text1"/>
        </w:rPr>
        <w:t>various</w:t>
      </w:r>
      <w:r w:rsidRPr="0033648B">
        <w:rPr>
          <w:color w:val="000000" w:themeColor="text1"/>
        </w:rPr>
        <w:t xml:space="preserve"> open-ended play materials that cater to diverse interests. This could involve creating designated areas for collaborative play and providing open-ended materials like blocks, dramatic play props, and art supplies that can be used in various ways. By fostering a more inclusive play environment, children can explore their interests and develop a broader range of social and cognitive skills without being restricted by stereotypical boundaries.</w:t>
      </w:r>
    </w:p>
    <w:p w14:paraId="73EA515A" w14:textId="77777777" w:rsidR="0033648B" w:rsidRDefault="0033648B" w:rsidP="00011631">
      <w:pPr>
        <w:spacing w:line="360" w:lineRule="auto"/>
        <w:jc w:val="both"/>
        <w:rPr>
          <w:color w:val="000000" w:themeColor="text1"/>
        </w:rPr>
      </w:pPr>
    </w:p>
    <w:p w14:paraId="762FCF79" w14:textId="69FD082D" w:rsidR="00A776CE" w:rsidRPr="00A776CE" w:rsidRDefault="001E7120" w:rsidP="00A776CE">
      <w:pPr>
        <w:rPr>
          <w:rFonts w:ascii="Times New Roman" w:eastAsia="Times New Roman" w:hAnsi="Times New Roman" w:cs="Times New Roman"/>
          <w:color w:val="C00000"/>
          <w:kern w:val="0"/>
          <w:lang w:eastAsia="en-GB"/>
          <w14:ligatures w14:val="none"/>
        </w:rPr>
      </w:pPr>
      <w:r>
        <w:rPr>
          <w:color w:val="C00000"/>
        </w:rPr>
        <w:br w:type="page"/>
      </w:r>
    </w:p>
    <w:p w14:paraId="12D96EF1" w14:textId="77777777" w:rsidR="001E7120" w:rsidRDefault="001E7120">
      <w:pPr>
        <w:rPr>
          <w:rFonts w:ascii="Times New Roman" w:eastAsia="Times New Roman" w:hAnsi="Times New Roman" w:cs="Times New Roman"/>
          <w:color w:val="C00000"/>
          <w:kern w:val="0"/>
          <w:lang w:eastAsia="en-GB"/>
          <w14:ligatures w14:val="none"/>
        </w:rPr>
      </w:pPr>
    </w:p>
    <w:p w14:paraId="3A08E243" w14:textId="77777777" w:rsidR="005C431F" w:rsidRPr="0024634C" w:rsidRDefault="005C431F" w:rsidP="005C431F">
      <w:pPr>
        <w:pStyle w:val="NormalWeb"/>
        <w:rPr>
          <w:rFonts w:ascii="Calibri" w:hAnsi="Calibri" w:cs="Calibri"/>
          <w:sz w:val="23"/>
          <w:szCs w:val="23"/>
          <w:u w:val="single"/>
        </w:rPr>
      </w:pPr>
      <w:r w:rsidRPr="0024634C">
        <w:rPr>
          <w:rFonts w:ascii="Calibri" w:hAnsi="Calibri" w:cs="Calibri"/>
          <w:sz w:val="23"/>
          <w:szCs w:val="23"/>
          <w:u w:val="single"/>
        </w:rPr>
        <w:t>References</w:t>
      </w:r>
    </w:p>
    <w:p w14:paraId="01DCF6B1"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Andersen, I. (2023) ‘‘Teacher’ Gender Bias in STEM: Results from a Vignette Study’. </w:t>
      </w:r>
      <w:r w:rsidRPr="0024634C">
        <w:rPr>
          <w:rFonts w:ascii="Calibri" w:hAnsi="Calibri" w:cs="Calibri"/>
          <w:i/>
          <w:iCs/>
          <w:sz w:val="23"/>
          <w:szCs w:val="23"/>
        </w:rPr>
        <w:t xml:space="preserve">British Educational Research Journal. </w:t>
      </w:r>
      <w:r w:rsidRPr="0024634C">
        <w:rPr>
          <w:rFonts w:ascii="Calibri" w:hAnsi="Calibri" w:cs="Calibri"/>
          <w:sz w:val="23"/>
          <w:szCs w:val="23"/>
        </w:rPr>
        <w:t>Vol 49:4 pp.833-851. Available at: https://bera-journals.onlinelibrary.wiley.com/doi/abs/10.1002/berj.3870 (Accessed on: 4 May 2024)</w:t>
      </w:r>
    </w:p>
    <w:p w14:paraId="14F08951"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Bandura, A. (1971) </w:t>
      </w:r>
      <w:r w:rsidRPr="0024634C">
        <w:rPr>
          <w:rFonts w:ascii="Calibri" w:hAnsi="Calibri" w:cs="Calibri"/>
          <w:i/>
          <w:iCs/>
          <w:sz w:val="23"/>
          <w:szCs w:val="23"/>
        </w:rPr>
        <w:t xml:space="preserve">Social Learning Theory. </w:t>
      </w:r>
      <w:r w:rsidRPr="0024634C">
        <w:rPr>
          <w:rFonts w:ascii="Calibri" w:hAnsi="Calibri" w:cs="Calibri"/>
          <w:sz w:val="23"/>
          <w:szCs w:val="23"/>
        </w:rPr>
        <w:t>New York: General Learning Press</w:t>
      </w:r>
    </w:p>
    <w:p w14:paraId="6AD0B7ED"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Bell, J. and Waters, S. (2018) </w:t>
      </w:r>
      <w:r w:rsidRPr="0024634C">
        <w:rPr>
          <w:rFonts w:ascii="Calibri" w:hAnsi="Calibri" w:cs="Calibri"/>
          <w:i/>
          <w:iCs/>
          <w:sz w:val="23"/>
          <w:szCs w:val="23"/>
        </w:rPr>
        <w:t xml:space="preserve">Doing Your Research Project: A Guide for First-time Researchers. </w:t>
      </w:r>
      <w:r w:rsidRPr="0024634C">
        <w:rPr>
          <w:rFonts w:ascii="Calibri" w:hAnsi="Calibri" w:cs="Calibri"/>
          <w:sz w:val="23"/>
          <w:szCs w:val="23"/>
        </w:rPr>
        <w:t>Seventh edition.</w:t>
      </w:r>
      <w:r w:rsidRPr="0024634C">
        <w:rPr>
          <w:rFonts w:ascii="Calibri" w:hAnsi="Calibri" w:cs="Calibri"/>
          <w:i/>
          <w:iCs/>
          <w:sz w:val="23"/>
          <w:szCs w:val="23"/>
        </w:rPr>
        <w:t xml:space="preserve"> </w:t>
      </w:r>
      <w:r w:rsidRPr="0024634C">
        <w:rPr>
          <w:rFonts w:ascii="Calibri" w:hAnsi="Calibri" w:cs="Calibri"/>
          <w:sz w:val="23"/>
          <w:szCs w:val="23"/>
        </w:rPr>
        <w:t>London: Open University Press</w:t>
      </w:r>
    </w:p>
    <w:p w14:paraId="642CE539"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BERA (2018) </w:t>
      </w:r>
      <w:r w:rsidRPr="0024634C">
        <w:rPr>
          <w:rFonts w:ascii="Calibri" w:hAnsi="Calibri" w:cs="Calibri"/>
          <w:i/>
          <w:iCs/>
          <w:sz w:val="23"/>
          <w:szCs w:val="23"/>
        </w:rPr>
        <w:t>Ethical Guidelines for Educational Research</w:t>
      </w:r>
      <w:r w:rsidRPr="0024634C">
        <w:rPr>
          <w:rFonts w:ascii="Calibri" w:hAnsi="Calibri" w:cs="Calibri"/>
          <w:sz w:val="23"/>
          <w:szCs w:val="23"/>
        </w:rPr>
        <w:t>. Fourth edition. London: BERA</w:t>
      </w:r>
    </w:p>
    <w:p w14:paraId="2962ABBA"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Braun, V. and Clarke, V. (2006) ‘Using Thematic Analysis in Psychology’.</w:t>
      </w:r>
      <w:r w:rsidRPr="0024634C">
        <w:rPr>
          <w:rFonts w:ascii="Calibri" w:eastAsiaTheme="minorHAnsi" w:hAnsi="Calibri" w:cs="Calibri"/>
          <w:i/>
          <w:iCs/>
          <w:kern w:val="2"/>
          <w:sz w:val="23"/>
          <w:szCs w:val="23"/>
          <w:lang w:eastAsia="en-US"/>
          <w14:ligatures w14:val="standardContextual"/>
        </w:rPr>
        <w:t xml:space="preserve"> </w:t>
      </w:r>
      <w:r w:rsidRPr="0024634C">
        <w:rPr>
          <w:rFonts w:ascii="Calibri" w:hAnsi="Calibri" w:cs="Calibri"/>
          <w:i/>
          <w:iCs/>
          <w:sz w:val="23"/>
          <w:szCs w:val="23"/>
        </w:rPr>
        <w:t xml:space="preserve">Qualitative research in psychology. </w:t>
      </w:r>
      <w:r w:rsidRPr="0024634C">
        <w:rPr>
          <w:rFonts w:ascii="Calibri" w:hAnsi="Calibri" w:cs="Calibri"/>
          <w:sz w:val="23"/>
          <w:szCs w:val="23"/>
        </w:rPr>
        <w:t>Vol 3:2, pp.77-101. Available at:</w:t>
      </w:r>
      <w:r w:rsidRPr="0024634C">
        <w:rPr>
          <w:rFonts w:ascii="Calibri" w:eastAsiaTheme="minorHAnsi" w:hAnsi="Calibri" w:cs="Calibri"/>
          <w:kern w:val="2"/>
          <w:sz w:val="23"/>
          <w:szCs w:val="23"/>
          <w:shd w:val="clear" w:color="auto" w:fill="FFFFFF"/>
          <w:lang w:eastAsia="en-US"/>
          <w14:ligatures w14:val="standardContextual"/>
        </w:rPr>
        <w:t xml:space="preserve"> https://www.proquest.com/scholarly-journals/using-thematic-analysis-psychology/docview/223135521/se-2?accountid=130472</w:t>
      </w:r>
    </w:p>
    <w:p w14:paraId="4962C740"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Bruce, T. (2010) </w:t>
      </w:r>
      <w:r w:rsidRPr="0024634C">
        <w:rPr>
          <w:rFonts w:ascii="Calibri" w:hAnsi="Calibri" w:cs="Calibri"/>
          <w:i/>
          <w:iCs/>
          <w:sz w:val="23"/>
          <w:szCs w:val="23"/>
        </w:rPr>
        <w:t xml:space="preserve">Early Childhood: A Guide for Students. </w:t>
      </w:r>
      <w:r w:rsidRPr="0024634C">
        <w:rPr>
          <w:rFonts w:ascii="Calibri" w:hAnsi="Calibri" w:cs="Calibri"/>
          <w:sz w:val="23"/>
          <w:szCs w:val="23"/>
        </w:rPr>
        <w:t>London: SAGE</w:t>
      </w:r>
    </w:p>
    <w:p w14:paraId="6D82C36E"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Bryman, A. (2016) </w:t>
      </w:r>
      <w:r w:rsidRPr="0024634C">
        <w:rPr>
          <w:rFonts w:ascii="Calibri" w:hAnsi="Calibri" w:cs="Calibri"/>
          <w:i/>
          <w:iCs/>
          <w:sz w:val="23"/>
          <w:szCs w:val="23"/>
        </w:rPr>
        <w:t xml:space="preserve">Social Research Methods. </w:t>
      </w:r>
      <w:r w:rsidRPr="0024634C">
        <w:rPr>
          <w:rFonts w:ascii="Calibri" w:hAnsi="Calibri" w:cs="Calibri"/>
          <w:sz w:val="23"/>
          <w:szCs w:val="23"/>
        </w:rPr>
        <w:t xml:space="preserve">Fifth edition. Oxford: Oxford University Press. </w:t>
      </w:r>
    </w:p>
    <w:p w14:paraId="4C90435A"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Buckler, S. and </w:t>
      </w:r>
      <w:proofErr w:type="spellStart"/>
      <w:r w:rsidRPr="0024634C">
        <w:rPr>
          <w:rFonts w:ascii="Calibri" w:hAnsi="Calibri" w:cs="Calibri"/>
          <w:sz w:val="23"/>
          <w:szCs w:val="23"/>
        </w:rPr>
        <w:t>Walliman</w:t>
      </w:r>
      <w:proofErr w:type="spellEnd"/>
      <w:r w:rsidRPr="0024634C">
        <w:rPr>
          <w:rFonts w:ascii="Calibri" w:hAnsi="Calibri" w:cs="Calibri"/>
          <w:sz w:val="23"/>
          <w:szCs w:val="23"/>
        </w:rPr>
        <w:t xml:space="preserve">, N. (2016) </w:t>
      </w:r>
      <w:r w:rsidRPr="0024634C">
        <w:rPr>
          <w:rFonts w:ascii="Calibri" w:hAnsi="Calibri" w:cs="Calibri"/>
          <w:i/>
          <w:iCs/>
          <w:sz w:val="23"/>
          <w:szCs w:val="23"/>
        </w:rPr>
        <w:t xml:space="preserve">Your Dissertation in Education. </w:t>
      </w:r>
      <w:r w:rsidRPr="0024634C">
        <w:rPr>
          <w:rFonts w:ascii="Calibri" w:hAnsi="Calibri" w:cs="Calibri"/>
          <w:sz w:val="23"/>
          <w:szCs w:val="23"/>
        </w:rPr>
        <w:t>Second edition. London: SAGE</w:t>
      </w:r>
    </w:p>
    <w:p w14:paraId="5574BF37"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Burnard, P., Gill, P., Stewart, K., Treasure, E. and Chadwick, B. (2008)</w:t>
      </w:r>
      <w:r w:rsidRPr="0024634C">
        <w:rPr>
          <w:rFonts w:ascii="Calibri" w:eastAsiaTheme="minorHAnsi" w:hAnsi="Calibri" w:cs="Calibri"/>
          <w:kern w:val="2"/>
          <w:sz w:val="23"/>
          <w:szCs w:val="23"/>
          <w:shd w:val="clear" w:color="auto" w:fill="FFFFFF"/>
          <w:lang w:eastAsia="en-US"/>
          <w14:ligatures w14:val="standardContextual"/>
        </w:rPr>
        <w:t xml:space="preserve"> ‘</w:t>
      </w:r>
      <w:r w:rsidRPr="0024634C">
        <w:rPr>
          <w:rFonts w:ascii="Calibri" w:hAnsi="Calibri" w:cs="Calibri"/>
          <w:sz w:val="23"/>
          <w:szCs w:val="23"/>
        </w:rPr>
        <w:t xml:space="preserve">Analysing and presenting qualitative data’. </w:t>
      </w:r>
      <w:r w:rsidRPr="0024634C">
        <w:rPr>
          <w:rFonts w:ascii="Calibri" w:hAnsi="Calibri" w:cs="Calibri"/>
          <w:i/>
          <w:iCs/>
          <w:sz w:val="23"/>
          <w:szCs w:val="23"/>
        </w:rPr>
        <w:t xml:space="preserve">British Dental Journal. </w:t>
      </w:r>
      <w:r w:rsidRPr="0024634C">
        <w:rPr>
          <w:rFonts w:ascii="Calibri" w:hAnsi="Calibri" w:cs="Calibri"/>
          <w:sz w:val="23"/>
          <w:szCs w:val="23"/>
        </w:rPr>
        <w:t xml:space="preserve">Vol: 204, pp.429-432. Available at: </w:t>
      </w:r>
      <w:r w:rsidRPr="0024634C">
        <w:rPr>
          <w:rFonts w:ascii="Calibri" w:hAnsi="Calibri" w:cs="Calibri"/>
          <w:sz w:val="23"/>
          <w:szCs w:val="23"/>
        </w:rPr>
        <w:t>https://doi.org/10.1038/sj.bd</w:t>
      </w:r>
      <w:r w:rsidRPr="0024634C">
        <w:rPr>
          <w:rFonts w:ascii="Calibri" w:hAnsi="Calibri" w:cs="Calibri"/>
          <w:sz w:val="23"/>
          <w:szCs w:val="23"/>
        </w:rPr>
        <w:t>j</w:t>
      </w:r>
      <w:r w:rsidRPr="0024634C">
        <w:rPr>
          <w:rFonts w:ascii="Calibri" w:hAnsi="Calibri" w:cs="Calibri"/>
          <w:sz w:val="23"/>
          <w:szCs w:val="23"/>
        </w:rPr>
        <w:t>.2008.292 (</w:t>
      </w:r>
      <w:r w:rsidRPr="0024634C">
        <w:rPr>
          <w:rFonts w:ascii="Calibri" w:hAnsi="Calibri" w:cs="Calibri"/>
          <w:sz w:val="23"/>
          <w:szCs w:val="23"/>
        </w:rPr>
        <w:t>Acce</w:t>
      </w:r>
      <w:r w:rsidRPr="0024634C">
        <w:rPr>
          <w:rFonts w:ascii="Calibri" w:hAnsi="Calibri" w:cs="Calibri"/>
          <w:sz w:val="23"/>
          <w:szCs w:val="23"/>
        </w:rPr>
        <w:t>s</w:t>
      </w:r>
      <w:r w:rsidRPr="0024634C">
        <w:rPr>
          <w:rFonts w:ascii="Calibri" w:hAnsi="Calibri" w:cs="Calibri"/>
          <w:sz w:val="23"/>
          <w:szCs w:val="23"/>
        </w:rPr>
        <w:t>se</w:t>
      </w:r>
      <w:r w:rsidRPr="0024634C">
        <w:rPr>
          <w:rFonts w:ascii="Calibri" w:hAnsi="Calibri" w:cs="Calibri"/>
          <w:sz w:val="23"/>
          <w:szCs w:val="23"/>
        </w:rPr>
        <w:t>d</w:t>
      </w:r>
      <w:r w:rsidRPr="0024634C">
        <w:rPr>
          <w:rFonts w:ascii="Calibri" w:hAnsi="Calibri" w:cs="Calibri"/>
          <w:sz w:val="23"/>
          <w:szCs w:val="23"/>
        </w:rPr>
        <w:t xml:space="preserve"> on: 3 May 2024)</w:t>
      </w:r>
    </w:p>
    <w:p w14:paraId="7AD893EB" w14:textId="77777777" w:rsidR="005C431F" w:rsidRPr="0024634C" w:rsidRDefault="005C431F" w:rsidP="005C431F">
      <w:pPr>
        <w:pStyle w:val="NormalWeb"/>
        <w:rPr>
          <w:rFonts w:ascii="Calibri" w:hAnsi="Calibri" w:cs="Calibri"/>
          <w:sz w:val="23"/>
          <w:szCs w:val="23"/>
        </w:rPr>
      </w:pPr>
      <w:proofErr w:type="spellStart"/>
      <w:r w:rsidRPr="0024634C">
        <w:rPr>
          <w:rFonts w:ascii="Calibri" w:hAnsi="Calibri" w:cs="Calibri"/>
          <w:sz w:val="23"/>
          <w:szCs w:val="23"/>
        </w:rPr>
        <w:t>Carlana</w:t>
      </w:r>
      <w:proofErr w:type="spellEnd"/>
      <w:r w:rsidRPr="0024634C">
        <w:rPr>
          <w:rFonts w:ascii="Calibri" w:hAnsi="Calibri" w:cs="Calibri"/>
          <w:sz w:val="23"/>
          <w:szCs w:val="23"/>
        </w:rPr>
        <w:t>, M. (2019) ‘Implicit Stereotypes: Evidence from Teachers’ Gender Bias’. </w:t>
      </w:r>
      <w:r w:rsidRPr="0024634C">
        <w:rPr>
          <w:rFonts w:ascii="Calibri" w:hAnsi="Calibri" w:cs="Calibri"/>
          <w:i/>
          <w:iCs/>
          <w:sz w:val="23"/>
          <w:szCs w:val="23"/>
        </w:rPr>
        <w:t>The Quarterly Journal of Economics</w:t>
      </w:r>
      <w:r w:rsidRPr="0024634C">
        <w:rPr>
          <w:rFonts w:ascii="Calibri" w:hAnsi="Calibri" w:cs="Calibri"/>
          <w:sz w:val="23"/>
          <w:szCs w:val="23"/>
        </w:rPr>
        <w:t>, Vol 134:3, pp. 1163–1224. Available at: https://doi.org/10.1093/qje/qjz008</w:t>
      </w:r>
      <w:r w:rsidRPr="0024634C">
        <w:rPr>
          <w:rStyle w:val="Hyperlink"/>
          <w:rFonts w:ascii="Calibri" w:eastAsiaTheme="majorEastAsia" w:hAnsi="Calibri" w:cs="Calibri"/>
          <w:color w:val="auto"/>
          <w:sz w:val="23"/>
          <w:szCs w:val="23"/>
        </w:rPr>
        <w:t xml:space="preserve"> </w:t>
      </w:r>
      <w:r w:rsidRPr="0024634C">
        <w:rPr>
          <w:rStyle w:val="Hyperlink"/>
          <w:rFonts w:ascii="Calibri" w:eastAsiaTheme="majorEastAsia" w:hAnsi="Calibri" w:cs="Calibri"/>
          <w:color w:val="auto"/>
          <w:sz w:val="23"/>
          <w:szCs w:val="23"/>
          <w:u w:val="none"/>
        </w:rPr>
        <w:t>(Accessed on</w:t>
      </w:r>
      <w:r w:rsidRPr="0024634C">
        <w:rPr>
          <w:rStyle w:val="Hyperlink"/>
          <w:rFonts w:ascii="Calibri" w:eastAsiaTheme="majorEastAsia" w:hAnsi="Calibri" w:cs="Calibri"/>
          <w:color w:val="auto"/>
          <w:sz w:val="23"/>
          <w:szCs w:val="23"/>
        </w:rPr>
        <w:t>:</w:t>
      </w:r>
      <w:r w:rsidRPr="0024634C">
        <w:rPr>
          <w:rStyle w:val="Hyperlink"/>
          <w:rFonts w:ascii="Calibri" w:eastAsiaTheme="majorEastAsia" w:hAnsi="Calibri" w:cs="Calibri"/>
          <w:color w:val="auto"/>
          <w:sz w:val="23"/>
          <w:szCs w:val="23"/>
          <w:u w:val="none"/>
        </w:rPr>
        <w:t xml:space="preserve"> 3 May 2024)</w:t>
      </w:r>
    </w:p>
    <w:p w14:paraId="61AF90A3"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Chapman, R. (2016) ‘A case study of gendered play in preschools: how early childhood educators’ perceptions of gender influence children’s play’. </w:t>
      </w:r>
      <w:r w:rsidRPr="0024634C">
        <w:rPr>
          <w:rFonts w:ascii="Calibri" w:hAnsi="Calibri" w:cs="Calibri"/>
          <w:i/>
          <w:iCs/>
          <w:sz w:val="23"/>
          <w:szCs w:val="23"/>
        </w:rPr>
        <w:t>Early Child Development and Care</w:t>
      </w:r>
      <w:r w:rsidRPr="0024634C">
        <w:rPr>
          <w:rFonts w:ascii="Calibri" w:hAnsi="Calibri" w:cs="Calibri"/>
          <w:sz w:val="23"/>
          <w:szCs w:val="23"/>
        </w:rPr>
        <w:t>. Vol 186:8, pp. 1271–1284. Available at: https://www.tandfonline.com/doi/full/10.1080/03004430.2015.1089435 (Accessed on: 3 May 2024)</w:t>
      </w:r>
    </w:p>
    <w:p w14:paraId="274C9735"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Clark, A. (2005) ‘Listening to and Involving Young Children: A Review of Research and Practice’. </w:t>
      </w:r>
      <w:r w:rsidRPr="0024634C">
        <w:rPr>
          <w:rFonts w:ascii="Calibri" w:hAnsi="Calibri" w:cs="Calibri"/>
          <w:i/>
          <w:iCs/>
          <w:sz w:val="23"/>
          <w:szCs w:val="23"/>
        </w:rPr>
        <w:t xml:space="preserve">Early Child Development and Care. </w:t>
      </w:r>
      <w:r w:rsidRPr="0024634C">
        <w:rPr>
          <w:rFonts w:ascii="Calibri" w:hAnsi="Calibri" w:cs="Calibri"/>
          <w:sz w:val="23"/>
          <w:szCs w:val="23"/>
        </w:rPr>
        <w:t>Vol175:6, pp.489-505. Available at: https://doi.org/10.1080/03004430500131288 (Accessed on: 24 April 2024)</w:t>
      </w:r>
    </w:p>
    <w:p w14:paraId="40518580"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Cohen, L., Manion, L., and Morrison, K. (2018) </w:t>
      </w:r>
      <w:r w:rsidRPr="0024634C">
        <w:rPr>
          <w:rFonts w:ascii="Calibri" w:hAnsi="Calibri" w:cs="Calibri"/>
          <w:i/>
          <w:iCs/>
          <w:sz w:val="23"/>
          <w:szCs w:val="23"/>
        </w:rPr>
        <w:t>Research methods in education</w:t>
      </w:r>
      <w:r w:rsidRPr="0024634C">
        <w:rPr>
          <w:rFonts w:ascii="Calibri" w:hAnsi="Calibri" w:cs="Calibri"/>
          <w:sz w:val="23"/>
          <w:szCs w:val="23"/>
        </w:rPr>
        <w:t>. Eighth edition. London: Routledge.</w:t>
      </w:r>
    </w:p>
    <w:p w14:paraId="127B50A7"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Coyne, S., Linder J., </w:t>
      </w:r>
      <w:proofErr w:type="spellStart"/>
      <w:r w:rsidRPr="0024634C">
        <w:rPr>
          <w:rFonts w:ascii="Calibri" w:hAnsi="Calibri" w:cs="Calibri"/>
          <w:sz w:val="23"/>
          <w:szCs w:val="23"/>
        </w:rPr>
        <w:t>Rassmussen</w:t>
      </w:r>
      <w:proofErr w:type="spellEnd"/>
      <w:r w:rsidRPr="0024634C">
        <w:rPr>
          <w:rFonts w:ascii="Calibri" w:hAnsi="Calibri" w:cs="Calibri"/>
          <w:sz w:val="23"/>
          <w:szCs w:val="23"/>
        </w:rPr>
        <w:t xml:space="preserve">, E., Nelson, D., and Collier, K. (2014) ‘It's a Bird! It's a Plane! It's a Gender Stereotype! Longitudinal Associations Between Superhero Viewing and Gender </w:t>
      </w:r>
      <w:r w:rsidRPr="0024634C">
        <w:rPr>
          <w:rFonts w:ascii="Calibri" w:hAnsi="Calibri" w:cs="Calibri"/>
          <w:sz w:val="23"/>
          <w:szCs w:val="23"/>
        </w:rPr>
        <w:lastRenderedPageBreak/>
        <w:t xml:space="preserve">Stereotyped Play’. </w:t>
      </w:r>
      <w:r w:rsidRPr="0024634C">
        <w:rPr>
          <w:rFonts w:ascii="Calibri" w:hAnsi="Calibri" w:cs="Calibri"/>
          <w:i/>
          <w:iCs/>
          <w:sz w:val="23"/>
          <w:szCs w:val="23"/>
        </w:rPr>
        <w:t>Sex Roles. </w:t>
      </w:r>
      <w:r w:rsidRPr="0024634C">
        <w:rPr>
          <w:rFonts w:ascii="Calibri" w:hAnsi="Calibri" w:cs="Calibri"/>
          <w:sz w:val="23"/>
          <w:szCs w:val="23"/>
        </w:rPr>
        <w:t>Vol. 70:9,10, pp. 416-430. Available at: https://doi.org/10.1007/s11199-014-0374-8 (Accessed on: 3 May 2024)</w:t>
      </w:r>
    </w:p>
    <w:p w14:paraId="1FD1BF48" w14:textId="77777777" w:rsidR="005C431F" w:rsidRPr="0024634C" w:rsidRDefault="005C431F" w:rsidP="005C431F">
      <w:pPr>
        <w:pStyle w:val="NormalWeb"/>
        <w:rPr>
          <w:rFonts w:ascii="Calibri" w:hAnsi="Calibri" w:cs="Calibri"/>
          <w:i/>
          <w:iCs/>
          <w:sz w:val="23"/>
          <w:szCs w:val="23"/>
        </w:rPr>
      </w:pPr>
      <w:r w:rsidRPr="0024634C">
        <w:rPr>
          <w:rFonts w:ascii="Calibri" w:hAnsi="Calibri" w:cs="Calibri"/>
          <w:sz w:val="23"/>
          <w:szCs w:val="23"/>
        </w:rPr>
        <w:t xml:space="preserve">Dana, N. and </w:t>
      </w:r>
      <w:proofErr w:type="spellStart"/>
      <w:r w:rsidRPr="0024634C">
        <w:rPr>
          <w:rFonts w:ascii="Calibri" w:hAnsi="Calibri" w:cs="Calibri"/>
          <w:sz w:val="23"/>
          <w:szCs w:val="23"/>
        </w:rPr>
        <w:t>Yendol-Hoppey</w:t>
      </w:r>
      <w:proofErr w:type="spellEnd"/>
      <w:r w:rsidRPr="0024634C">
        <w:rPr>
          <w:rFonts w:ascii="Calibri" w:hAnsi="Calibri" w:cs="Calibri"/>
          <w:sz w:val="23"/>
          <w:szCs w:val="23"/>
        </w:rPr>
        <w:t xml:space="preserve">, D. (2020) </w:t>
      </w:r>
      <w:r w:rsidRPr="0024634C">
        <w:rPr>
          <w:rFonts w:ascii="Calibri" w:hAnsi="Calibri" w:cs="Calibri"/>
          <w:i/>
          <w:iCs/>
          <w:sz w:val="23"/>
          <w:szCs w:val="23"/>
        </w:rPr>
        <w:t>The Reflective Educator’s Guide to Classroom Research; Learning to Teach and Teaching to Learn Through Practitioner Inquiry</w:t>
      </w:r>
      <w:r w:rsidRPr="0024634C">
        <w:rPr>
          <w:rFonts w:ascii="Calibri" w:hAnsi="Calibri" w:cs="Calibri"/>
          <w:sz w:val="23"/>
          <w:szCs w:val="23"/>
        </w:rPr>
        <w:t>. Fourth edition. California: Corwin</w:t>
      </w:r>
    </w:p>
    <w:p w14:paraId="4CA3F1DD"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Demetriou, H. (2013) ‘The Case Study’, in Wilson, E. (ed.)</w:t>
      </w:r>
      <w:r w:rsidRPr="0024634C">
        <w:rPr>
          <w:rFonts w:ascii="Calibri" w:hAnsi="Calibri" w:cs="Calibri"/>
          <w:i/>
          <w:iCs/>
          <w:sz w:val="23"/>
          <w:szCs w:val="23"/>
        </w:rPr>
        <w:t xml:space="preserve"> School-based Research: A Guide for Education Students. </w:t>
      </w:r>
      <w:r w:rsidRPr="0024634C">
        <w:rPr>
          <w:rFonts w:ascii="Calibri" w:hAnsi="Calibri" w:cs="Calibri"/>
          <w:sz w:val="23"/>
          <w:szCs w:val="23"/>
        </w:rPr>
        <w:t>London: SAGE</w:t>
      </w:r>
    </w:p>
    <w:p w14:paraId="48829AC7"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Denscombe, M. (2007) </w:t>
      </w:r>
      <w:r w:rsidRPr="0024634C">
        <w:rPr>
          <w:rFonts w:ascii="Calibri" w:hAnsi="Calibri" w:cs="Calibri"/>
          <w:i/>
          <w:iCs/>
          <w:sz w:val="23"/>
          <w:szCs w:val="23"/>
        </w:rPr>
        <w:t xml:space="preserve">The Good Research Guide. </w:t>
      </w:r>
      <w:r w:rsidRPr="0024634C">
        <w:rPr>
          <w:rFonts w:ascii="Calibri" w:hAnsi="Calibri" w:cs="Calibri"/>
          <w:sz w:val="23"/>
          <w:szCs w:val="23"/>
        </w:rPr>
        <w:t>Fourth edition. Maidenhead: Open University Press.</w:t>
      </w:r>
    </w:p>
    <w:p w14:paraId="5578A8EC" w14:textId="77777777" w:rsidR="005C431F" w:rsidRPr="0024634C" w:rsidRDefault="005C431F" w:rsidP="005C431F">
      <w:pPr>
        <w:pStyle w:val="NormalWeb"/>
        <w:rPr>
          <w:rFonts w:ascii="Calibri" w:hAnsi="Calibri" w:cs="Calibri"/>
          <w:sz w:val="23"/>
          <w:szCs w:val="23"/>
        </w:rPr>
      </w:pPr>
      <w:proofErr w:type="spellStart"/>
      <w:r w:rsidRPr="0024634C">
        <w:rPr>
          <w:rFonts w:ascii="Calibri" w:hAnsi="Calibri" w:cs="Calibri"/>
          <w:sz w:val="23"/>
          <w:szCs w:val="23"/>
        </w:rPr>
        <w:t>Fromberg</w:t>
      </w:r>
      <w:proofErr w:type="spellEnd"/>
      <w:r w:rsidRPr="0024634C">
        <w:rPr>
          <w:rFonts w:ascii="Calibri" w:hAnsi="Calibri" w:cs="Calibri"/>
          <w:sz w:val="23"/>
          <w:szCs w:val="23"/>
        </w:rPr>
        <w:t xml:space="preserve">, D. (2005) ‘The Power of Play’ in Koch, J. and Irby, B. (ed.) </w:t>
      </w:r>
      <w:r w:rsidRPr="0024634C">
        <w:rPr>
          <w:rFonts w:ascii="Calibri" w:hAnsi="Calibri" w:cs="Calibri"/>
          <w:i/>
          <w:iCs/>
          <w:sz w:val="23"/>
          <w:szCs w:val="23"/>
        </w:rPr>
        <w:t>Gender and Schooling in the Early Years.</w:t>
      </w:r>
      <w:r w:rsidRPr="0024634C">
        <w:rPr>
          <w:rFonts w:ascii="Calibri" w:hAnsi="Calibri" w:cs="Calibri"/>
          <w:sz w:val="23"/>
          <w:szCs w:val="23"/>
        </w:rPr>
        <w:t xml:space="preserve"> Connecticut: Information Age Publishing</w:t>
      </w:r>
    </w:p>
    <w:p w14:paraId="10F53D67"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Kilby, B. (2023) ‘Gender and communication in children and school: aligning theory and evidence’. </w:t>
      </w:r>
      <w:r w:rsidRPr="0024634C">
        <w:rPr>
          <w:rFonts w:ascii="Calibri" w:hAnsi="Calibri" w:cs="Calibri"/>
          <w:i/>
          <w:iCs/>
          <w:sz w:val="23"/>
          <w:szCs w:val="23"/>
        </w:rPr>
        <w:t xml:space="preserve">SN Social Sciences. </w:t>
      </w:r>
      <w:r w:rsidRPr="0024634C">
        <w:rPr>
          <w:rFonts w:ascii="Calibri" w:hAnsi="Calibri" w:cs="Calibri"/>
          <w:sz w:val="23"/>
          <w:szCs w:val="23"/>
        </w:rPr>
        <w:t>Vol: 3:36. Available at: https://doi.org/10.1007/s43545-023-00622-w (Accessed on: 4 May 2024)</w:t>
      </w:r>
    </w:p>
    <w:p w14:paraId="2B415FD4"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Kung, K. (2021) ‘Preschool Gender-Typed Play </w:t>
      </w:r>
      <w:proofErr w:type="spellStart"/>
      <w:r w:rsidRPr="0024634C">
        <w:rPr>
          <w:rFonts w:ascii="Calibri" w:hAnsi="Calibri" w:cs="Calibri"/>
          <w:sz w:val="23"/>
          <w:szCs w:val="23"/>
        </w:rPr>
        <w:t>Behavior</w:t>
      </w:r>
      <w:proofErr w:type="spellEnd"/>
      <w:r w:rsidRPr="0024634C">
        <w:rPr>
          <w:rFonts w:ascii="Calibri" w:hAnsi="Calibri" w:cs="Calibri"/>
          <w:sz w:val="23"/>
          <w:szCs w:val="23"/>
        </w:rPr>
        <w:t xml:space="preserve"> Predicts Adolescent Gender-Typed Occupational Interests: A 10-Year Longitudinal Study’. </w:t>
      </w:r>
      <w:r w:rsidRPr="0024634C">
        <w:rPr>
          <w:rFonts w:ascii="Calibri" w:hAnsi="Calibri" w:cs="Calibri"/>
          <w:i/>
          <w:iCs/>
          <w:sz w:val="23"/>
          <w:szCs w:val="23"/>
        </w:rPr>
        <w:t xml:space="preserve">Archives of Sexual Behaviour. </w:t>
      </w:r>
      <w:r w:rsidRPr="0024634C">
        <w:rPr>
          <w:rFonts w:ascii="Calibri" w:hAnsi="Calibri" w:cs="Calibri"/>
          <w:sz w:val="23"/>
          <w:szCs w:val="23"/>
        </w:rPr>
        <w:t>Vol 50:3, pp.843-851.</w:t>
      </w:r>
      <w:r w:rsidRPr="0024634C">
        <w:rPr>
          <w:rFonts w:ascii="Calibri" w:eastAsiaTheme="minorHAnsi" w:hAnsi="Calibri" w:cs="Calibri"/>
          <w:kern w:val="2"/>
          <w:sz w:val="23"/>
          <w:szCs w:val="23"/>
          <w:shd w:val="clear" w:color="auto" w:fill="FFFFFF"/>
          <w:lang w:eastAsia="en-US"/>
          <w14:ligatures w14:val="standardContextual"/>
        </w:rPr>
        <w:t xml:space="preserve"> </w:t>
      </w:r>
      <w:r w:rsidRPr="0024634C">
        <w:rPr>
          <w:rFonts w:ascii="Calibri" w:hAnsi="Calibri" w:cs="Calibri"/>
          <w:sz w:val="23"/>
          <w:szCs w:val="23"/>
        </w:rPr>
        <w:t>Available at: https://doi.org/10.1007/s10508-021-01976-z (Accessed on: 3 May 2024)</w:t>
      </w:r>
    </w:p>
    <w:p w14:paraId="0605FF77"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Lambert, M. (2019) </w:t>
      </w:r>
      <w:r w:rsidRPr="0024634C">
        <w:rPr>
          <w:rFonts w:ascii="Calibri" w:hAnsi="Calibri" w:cs="Calibri"/>
          <w:i/>
          <w:iCs/>
          <w:sz w:val="23"/>
          <w:szCs w:val="23"/>
        </w:rPr>
        <w:t>Practical Research Methods in Education: An Early Researcher’s Critical Guide</w:t>
      </w:r>
      <w:r w:rsidRPr="0024634C">
        <w:rPr>
          <w:rFonts w:ascii="Calibri" w:hAnsi="Calibri" w:cs="Calibri"/>
          <w:sz w:val="23"/>
          <w:szCs w:val="23"/>
        </w:rPr>
        <w:t>. London: Routledge.</w:t>
      </w:r>
    </w:p>
    <w:p w14:paraId="2F263B98" w14:textId="77777777" w:rsidR="005C431F" w:rsidRPr="0024634C" w:rsidRDefault="005C431F" w:rsidP="005C431F">
      <w:pPr>
        <w:pStyle w:val="NormalWeb"/>
        <w:rPr>
          <w:rFonts w:ascii="Calibri" w:hAnsi="Calibri" w:cs="Calibri"/>
          <w:sz w:val="23"/>
          <w:szCs w:val="23"/>
        </w:rPr>
      </w:pPr>
      <w:proofErr w:type="spellStart"/>
      <w:r w:rsidRPr="0024634C">
        <w:rPr>
          <w:rFonts w:ascii="Calibri" w:hAnsi="Calibri" w:cs="Calibri"/>
          <w:sz w:val="23"/>
          <w:szCs w:val="23"/>
        </w:rPr>
        <w:t>MacBlain</w:t>
      </w:r>
      <w:proofErr w:type="spellEnd"/>
      <w:r w:rsidRPr="0024634C">
        <w:rPr>
          <w:rFonts w:ascii="Calibri" w:hAnsi="Calibri" w:cs="Calibri"/>
          <w:sz w:val="23"/>
          <w:szCs w:val="23"/>
        </w:rPr>
        <w:t xml:space="preserve">, S. (2014) </w:t>
      </w:r>
      <w:r w:rsidRPr="0024634C">
        <w:rPr>
          <w:rFonts w:ascii="Calibri" w:hAnsi="Calibri" w:cs="Calibri"/>
          <w:i/>
          <w:iCs/>
          <w:sz w:val="23"/>
          <w:szCs w:val="23"/>
        </w:rPr>
        <w:t>How Children Learn.</w:t>
      </w:r>
      <w:r w:rsidRPr="0024634C">
        <w:rPr>
          <w:rFonts w:ascii="Calibri" w:hAnsi="Calibri" w:cs="Calibri"/>
          <w:sz w:val="23"/>
          <w:szCs w:val="23"/>
        </w:rPr>
        <w:t xml:space="preserve"> London: SAGE</w:t>
      </w:r>
    </w:p>
    <w:p w14:paraId="68C8F502"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Maccoby, E. (2000) ‘Perspectives on Gender Development’. </w:t>
      </w:r>
      <w:r w:rsidRPr="0024634C">
        <w:rPr>
          <w:rFonts w:ascii="Calibri" w:hAnsi="Calibri" w:cs="Calibri"/>
          <w:i/>
          <w:iCs/>
          <w:sz w:val="23"/>
          <w:szCs w:val="23"/>
        </w:rPr>
        <w:t xml:space="preserve">International Journal of Behavioural Development. </w:t>
      </w:r>
      <w:r w:rsidRPr="0024634C">
        <w:rPr>
          <w:rFonts w:ascii="Calibri" w:hAnsi="Calibri" w:cs="Calibri"/>
          <w:sz w:val="23"/>
          <w:szCs w:val="23"/>
        </w:rPr>
        <w:t>Vol 24:4, pp.398-406. Available at: https://web-p-ebscohost-com.ezproxy.uwtsd.ac.uk/ehost/pdfviewer/pdfviewer?vid=0&amp;sid=b5c8682a-7711-420a-a9c7-b5c1b8f72438%40redis (Accessed on: 3 May 2024)</w:t>
      </w:r>
    </w:p>
    <w:p w14:paraId="006C2FD0" w14:textId="77777777" w:rsidR="005C431F" w:rsidRPr="0024634C" w:rsidRDefault="005C431F" w:rsidP="005C431F">
      <w:pPr>
        <w:pStyle w:val="NormalWeb"/>
        <w:rPr>
          <w:rFonts w:ascii="Calibri" w:hAnsi="Calibri" w:cs="Calibri"/>
          <w:sz w:val="23"/>
          <w:szCs w:val="23"/>
        </w:rPr>
      </w:pPr>
      <w:proofErr w:type="spellStart"/>
      <w:r w:rsidRPr="0024634C">
        <w:rPr>
          <w:rFonts w:ascii="Calibri" w:hAnsi="Calibri" w:cs="Calibri"/>
          <w:sz w:val="23"/>
          <w:szCs w:val="23"/>
        </w:rPr>
        <w:t>Mayeza</w:t>
      </w:r>
      <w:proofErr w:type="spellEnd"/>
      <w:r w:rsidRPr="0024634C">
        <w:rPr>
          <w:rFonts w:ascii="Calibri" w:hAnsi="Calibri" w:cs="Calibri"/>
          <w:sz w:val="23"/>
          <w:szCs w:val="23"/>
        </w:rPr>
        <w:t xml:space="preserve">, E. (2017) ‘Girls Don’t Play Soccer: Children Policing Gender on the Playground in a Township Primary School in South Africa’. </w:t>
      </w:r>
      <w:r w:rsidRPr="0024634C">
        <w:rPr>
          <w:rFonts w:ascii="Calibri" w:hAnsi="Calibri" w:cs="Calibri"/>
          <w:i/>
          <w:iCs/>
          <w:sz w:val="23"/>
          <w:szCs w:val="23"/>
        </w:rPr>
        <w:t xml:space="preserve">Gender and Education. </w:t>
      </w:r>
      <w:proofErr w:type="gramStart"/>
      <w:r w:rsidRPr="0024634C">
        <w:rPr>
          <w:rFonts w:ascii="Calibri" w:hAnsi="Calibri" w:cs="Calibri"/>
          <w:sz w:val="23"/>
          <w:szCs w:val="23"/>
        </w:rPr>
        <w:t>Vol:29:4</w:t>
      </w:r>
      <w:proofErr w:type="gramEnd"/>
      <w:r w:rsidRPr="0024634C">
        <w:rPr>
          <w:rFonts w:ascii="Calibri" w:hAnsi="Calibri" w:cs="Calibri"/>
          <w:sz w:val="23"/>
          <w:szCs w:val="23"/>
        </w:rPr>
        <w:t>, pp.476-494. Available at: https://web-p-ebscohost-com.ezproxy.uwtsd.ac.uk/ehost/pdfviewer/pdfviewer?vid=0&amp;sid=44f4c25a-343b-4459-8f26-67dc9e61efe3%40redis (Accessed on: 4 May 2024)</w:t>
      </w:r>
    </w:p>
    <w:p w14:paraId="5172E91F"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NEU (2020) </w:t>
      </w:r>
      <w:r w:rsidRPr="0024634C">
        <w:rPr>
          <w:rFonts w:ascii="Calibri" w:hAnsi="Calibri" w:cs="Calibri"/>
          <w:i/>
          <w:iCs/>
          <w:sz w:val="23"/>
          <w:szCs w:val="23"/>
        </w:rPr>
        <w:t xml:space="preserve">Breaking the Mould. </w:t>
      </w:r>
      <w:r w:rsidRPr="0024634C">
        <w:rPr>
          <w:rFonts w:ascii="Calibri" w:hAnsi="Calibri" w:cs="Calibri"/>
          <w:sz w:val="23"/>
          <w:szCs w:val="23"/>
        </w:rPr>
        <w:t>Available at: https://neu.org.uk/advice/classroom/teaching-resources/breaking-mould (Accessed on: 5 May 2024)</w:t>
      </w:r>
    </w:p>
    <w:p w14:paraId="40662AB2" w14:textId="77777777" w:rsidR="005C431F" w:rsidRPr="0024634C" w:rsidRDefault="005C431F" w:rsidP="005C431F">
      <w:pPr>
        <w:pStyle w:val="NormalWeb"/>
        <w:rPr>
          <w:rFonts w:ascii="Calibri" w:hAnsi="Calibri" w:cs="Calibri"/>
          <w:sz w:val="23"/>
          <w:szCs w:val="23"/>
        </w:rPr>
      </w:pPr>
      <w:proofErr w:type="spellStart"/>
      <w:r w:rsidRPr="0024634C">
        <w:rPr>
          <w:rFonts w:ascii="Calibri" w:hAnsi="Calibri" w:cs="Calibri"/>
          <w:sz w:val="23"/>
          <w:szCs w:val="23"/>
        </w:rPr>
        <w:t>MacNaughton</w:t>
      </w:r>
      <w:proofErr w:type="spellEnd"/>
      <w:r w:rsidRPr="0024634C">
        <w:rPr>
          <w:rFonts w:ascii="Calibri" w:hAnsi="Calibri" w:cs="Calibri"/>
          <w:sz w:val="23"/>
          <w:szCs w:val="23"/>
        </w:rPr>
        <w:t xml:space="preserve">, G., Rolfe, S., Siraj, I. (2010) </w:t>
      </w:r>
      <w:r w:rsidRPr="0024634C">
        <w:rPr>
          <w:rFonts w:ascii="Calibri" w:hAnsi="Calibri" w:cs="Calibri"/>
          <w:i/>
          <w:iCs/>
          <w:sz w:val="23"/>
          <w:szCs w:val="23"/>
        </w:rPr>
        <w:t xml:space="preserve">Doing Early Childhood Research: International Perspectives on Theory and Practice. </w:t>
      </w:r>
      <w:r w:rsidRPr="0024634C">
        <w:rPr>
          <w:rFonts w:ascii="Calibri" w:hAnsi="Calibri" w:cs="Calibri"/>
          <w:sz w:val="23"/>
          <w:szCs w:val="23"/>
        </w:rPr>
        <w:t>Second edition. Buckingham: Open University Press.</w:t>
      </w:r>
    </w:p>
    <w:p w14:paraId="2A80CB34"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O’Connor, D., McCormack, M., Robinson, C. and O’Rourke, V. (2017) ‘Boys and girls come out to play: Gender differences in children's play </w:t>
      </w:r>
      <w:proofErr w:type="gramStart"/>
      <w:r w:rsidRPr="0024634C">
        <w:rPr>
          <w:rFonts w:ascii="Calibri" w:hAnsi="Calibri" w:cs="Calibri"/>
          <w:sz w:val="23"/>
          <w:szCs w:val="23"/>
        </w:rPr>
        <w:t>patterns’</w:t>
      </w:r>
      <w:proofErr w:type="gramEnd"/>
      <w:r w:rsidRPr="0024634C">
        <w:rPr>
          <w:rFonts w:ascii="Calibri" w:hAnsi="Calibri" w:cs="Calibri"/>
          <w:sz w:val="23"/>
          <w:szCs w:val="23"/>
        </w:rPr>
        <w:t xml:space="preserve">. </w:t>
      </w:r>
      <w:r w:rsidRPr="0024634C">
        <w:rPr>
          <w:rFonts w:ascii="Calibri" w:hAnsi="Calibri" w:cs="Calibri"/>
          <w:i/>
          <w:iCs/>
          <w:sz w:val="23"/>
          <w:szCs w:val="23"/>
        </w:rPr>
        <w:t xml:space="preserve">9th International Conference on Education </w:t>
      </w:r>
      <w:r w:rsidRPr="0024634C">
        <w:rPr>
          <w:rFonts w:ascii="Calibri" w:hAnsi="Calibri" w:cs="Calibri"/>
          <w:i/>
          <w:iCs/>
          <w:sz w:val="23"/>
          <w:szCs w:val="23"/>
        </w:rPr>
        <w:lastRenderedPageBreak/>
        <w:t>and New Learning Technologies</w:t>
      </w:r>
      <w:r w:rsidRPr="0024634C">
        <w:rPr>
          <w:rFonts w:ascii="Calibri" w:hAnsi="Calibri" w:cs="Calibri"/>
          <w:sz w:val="23"/>
          <w:szCs w:val="23"/>
        </w:rPr>
        <w:t>. Available at: https://researcho</w:t>
      </w:r>
      <w:r w:rsidRPr="0024634C">
        <w:rPr>
          <w:rFonts w:ascii="Calibri" w:hAnsi="Calibri" w:cs="Calibri"/>
          <w:sz w:val="23"/>
          <w:szCs w:val="23"/>
        </w:rPr>
        <w:t>n</w:t>
      </w:r>
      <w:r w:rsidRPr="0024634C">
        <w:rPr>
          <w:rFonts w:ascii="Calibri" w:hAnsi="Calibri" w:cs="Calibri"/>
          <w:sz w:val="23"/>
          <w:szCs w:val="23"/>
        </w:rPr>
        <w:t xml:space="preserve">line.nd.edu.au/cgi/viewcontent.cgi?referer=&amp;httpsredir=1&amp;article=1113&amp;context=edu_conference (Accessed on: 3 May 2024) </w:t>
      </w:r>
    </w:p>
    <w:p w14:paraId="2A0049E2"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Ouvry, M. and Furtado, A. (2020) </w:t>
      </w:r>
      <w:r w:rsidRPr="0024634C">
        <w:rPr>
          <w:rFonts w:ascii="Calibri" w:hAnsi="Calibri" w:cs="Calibri"/>
          <w:i/>
          <w:iCs/>
          <w:sz w:val="23"/>
          <w:szCs w:val="23"/>
        </w:rPr>
        <w:t>Exercising muscles and minds: outdoor play and the early years curriculum</w:t>
      </w:r>
      <w:r w:rsidRPr="0024634C">
        <w:rPr>
          <w:rFonts w:ascii="Calibri" w:hAnsi="Calibri" w:cs="Calibri"/>
          <w:sz w:val="23"/>
          <w:szCs w:val="23"/>
        </w:rPr>
        <w:t>. Second edition. London, England; Jessica Kingsley Publishers.</w:t>
      </w:r>
    </w:p>
    <w:p w14:paraId="681F1B39" w14:textId="77777777" w:rsidR="005C431F" w:rsidRPr="0024634C" w:rsidRDefault="005C431F" w:rsidP="005C431F">
      <w:pPr>
        <w:pStyle w:val="NormalWeb"/>
        <w:rPr>
          <w:rFonts w:ascii="Calibri" w:hAnsi="Calibri" w:cs="Calibri"/>
          <w:sz w:val="23"/>
          <w:szCs w:val="23"/>
        </w:rPr>
      </w:pPr>
      <w:proofErr w:type="spellStart"/>
      <w:r w:rsidRPr="0024634C">
        <w:rPr>
          <w:rFonts w:ascii="Calibri" w:hAnsi="Calibri" w:cs="Calibri"/>
          <w:sz w:val="23"/>
          <w:szCs w:val="23"/>
        </w:rPr>
        <w:t>Ponizovsky-Bergelson</w:t>
      </w:r>
      <w:proofErr w:type="spellEnd"/>
      <w:r w:rsidRPr="0024634C">
        <w:rPr>
          <w:rFonts w:ascii="Calibri" w:hAnsi="Calibri" w:cs="Calibri"/>
          <w:sz w:val="23"/>
          <w:szCs w:val="23"/>
        </w:rPr>
        <w:t xml:space="preserve">, Y., Dayan, Y., </w:t>
      </w:r>
      <w:proofErr w:type="spellStart"/>
      <w:r w:rsidRPr="0024634C">
        <w:rPr>
          <w:rFonts w:ascii="Calibri" w:hAnsi="Calibri" w:cs="Calibri"/>
          <w:sz w:val="23"/>
          <w:szCs w:val="23"/>
        </w:rPr>
        <w:t>Wahle</w:t>
      </w:r>
      <w:proofErr w:type="spellEnd"/>
      <w:r w:rsidRPr="0024634C">
        <w:rPr>
          <w:rFonts w:ascii="Calibri" w:hAnsi="Calibri" w:cs="Calibri"/>
          <w:sz w:val="23"/>
          <w:szCs w:val="23"/>
        </w:rPr>
        <w:t xml:space="preserve">, N. and </w:t>
      </w:r>
      <w:proofErr w:type="spellStart"/>
      <w:r w:rsidRPr="0024634C">
        <w:rPr>
          <w:rFonts w:ascii="Calibri" w:hAnsi="Calibri" w:cs="Calibri"/>
          <w:sz w:val="23"/>
          <w:szCs w:val="23"/>
        </w:rPr>
        <w:t>Roer-Strier</w:t>
      </w:r>
      <w:proofErr w:type="spellEnd"/>
      <w:r w:rsidRPr="0024634C">
        <w:rPr>
          <w:rFonts w:ascii="Calibri" w:hAnsi="Calibri" w:cs="Calibri"/>
          <w:sz w:val="23"/>
          <w:szCs w:val="23"/>
        </w:rPr>
        <w:t xml:space="preserve">, D. (2019) ‘A Qualitative Interview </w:t>
      </w:r>
      <w:proofErr w:type="gramStart"/>
      <w:r w:rsidRPr="0024634C">
        <w:rPr>
          <w:rFonts w:ascii="Calibri" w:hAnsi="Calibri" w:cs="Calibri"/>
          <w:sz w:val="23"/>
          <w:szCs w:val="23"/>
        </w:rPr>
        <w:t>With</w:t>
      </w:r>
      <w:proofErr w:type="gramEnd"/>
      <w:r w:rsidRPr="0024634C">
        <w:rPr>
          <w:rFonts w:ascii="Calibri" w:hAnsi="Calibri" w:cs="Calibri"/>
          <w:sz w:val="23"/>
          <w:szCs w:val="23"/>
        </w:rPr>
        <w:t xml:space="preserve"> Young Children: What Encourages or Inhibits Young Children’s Participation?’. </w:t>
      </w:r>
      <w:r w:rsidRPr="0024634C">
        <w:rPr>
          <w:rFonts w:ascii="Calibri" w:hAnsi="Calibri" w:cs="Calibri"/>
          <w:i/>
          <w:iCs/>
          <w:sz w:val="23"/>
          <w:szCs w:val="23"/>
        </w:rPr>
        <w:t xml:space="preserve">International Journal of Qualitative Methods. </w:t>
      </w:r>
      <w:r w:rsidRPr="0024634C">
        <w:rPr>
          <w:rFonts w:ascii="Calibri" w:hAnsi="Calibri" w:cs="Calibri"/>
          <w:sz w:val="23"/>
          <w:szCs w:val="23"/>
        </w:rPr>
        <w:t xml:space="preserve">Vol 18:1-9. Available at: </w:t>
      </w:r>
      <w:r w:rsidRPr="0024634C">
        <w:rPr>
          <w:rFonts w:ascii="Calibri" w:eastAsiaTheme="majorEastAsia" w:hAnsi="Calibri" w:cs="Calibri"/>
          <w:sz w:val="23"/>
          <w:szCs w:val="23"/>
        </w:rPr>
        <w:t>https://doi.org/10.1177/1609406919840516</w:t>
      </w:r>
      <w:r w:rsidRPr="0024634C">
        <w:rPr>
          <w:rFonts w:ascii="Calibri" w:hAnsi="Calibri" w:cs="Calibri"/>
          <w:sz w:val="23"/>
          <w:szCs w:val="23"/>
        </w:rPr>
        <w:t xml:space="preserve"> (Accessed on: 28 April 2024)</w:t>
      </w:r>
    </w:p>
    <w:p w14:paraId="0C64356C"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Spinner, L., Tenenbaum, H., Cameron, L. and </w:t>
      </w:r>
      <w:proofErr w:type="spellStart"/>
      <w:r w:rsidRPr="0024634C">
        <w:rPr>
          <w:rFonts w:ascii="Calibri" w:hAnsi="Calibri" w:cs="Calibri"/>
          <w:sz w:val="23"/>
          <w:szCs w:val="23"/>
        </w:rPr>
        <w:t>Wallinheimo</w:t>
      </w:r>
      <w:proofErr w:type="spellEnd"/>
      <w:r w:rsidRPr="0024634C">
        <w:rPr>
          <w:rFonts w:ascii="Calibri" w:hAnsi="Calibri" w:cs="Calibri"/>
          <w:sz w:val="23"/>
          <w:szCs w:val="23"/>
        </w:rPr>
        <w:t>, A. (2021) ‘A school-based intervention to reduce gender-stereotyping’, </w:t>
      </w:r>
      <w:r w:rsidRPr="0024634C">
        <w:rPr>
          <w:rFonts w:ascii="Calibri" w:hAnsi="Calibri" w:cs="Calibri"/>
          <w:i/>
          <w:iCs/>
          <w:sz w:val="23"/>
          <w:szCs w:val="23"/>
        </w:rPr>
        <w:t>School Psychology International</w:t>
      </w:r>
      <w:r w:rsidRPr="0024634C">
        <w:rPr>
          <w:rFonts w:ascii="Calibri" w:hAnsi="Calibri" w:cs="Calibri"/>
          <w:sz w:val="23"/>
          <w:szCs w:val="23"/>
        </w:rPr>
        <w:t>, Vol 42:4, pp. 422–449. Available at: https://doi.org/10.1177/01430343211009944.</w:t>
      </w:r>
    </w:p>
    <w:p w14:paraId="7B62304B" w14:textId="77777777" w:rsidR="005C431F" w:rsidRPr="0024634C" w:rsidRDefault="005C431F" w:rsidP="005C431F">
      <w:pPr>
        <w:pStyle w:val="NormalWeb"/>
        <w:rPr>
          <w:rFonts w:ascii="Calibri" w:hAnsi="Calibri" w:cs="Calibri"/>
          <w:sz w:val="23"/>
          <w:szCs w:val="23"/>
        </w:rPr>
      </w:pPr>
      <w:proofErr w:type="spellStart"/>
      <w:r w:rsidRPr="0024634C">
        <w:rPr>
          <w:rFonts w:ascii="Calibri" w:hAnsi="Calibri" w:cs="Calibri"/>
          <w:sz w:val="23"/>
          <w:szCs w:val="23"/>
        </w:rPr>
        <w:t>Stutey</w:t>
      </w:r>
      <w:proofErr w:type="spellEnd"/>
      <w:r w:rsidRPr="0024634C">
        <w:rPr>
          <w:rFonts w:ascii="Calibri" w:hAnsi="Calibri" w:cs="Calibri"/>
          <w:sz w:val="23"/>
          <w:szCs w:val="23"/>
        </w:rPr>
        <w:t xml:space="preserve">, D., Klein, D., Henninger, J, </w:t>
      </w:r>
      <w:proofErr w:type="spellStart"/>
      <w:r w:rsidRPr="0024634C">
        <w:rPr>
          <w:rFonts w:ascii="Calibri" w:hAnsi="Calibri" w:cs="Calibri"/>
          <w:sz w:val="23"/>
          <w:szCs w:val="23"/>
        </w:rPr>
        <w:t>Crethar</w:t>
      </w:r>
      <w:proofErr w:type="spellEnd"/>
      <w:r w:rsidRPr="0024634C">
        <w:rPr>
          <w:rFonts w:ascii="Calibri" w:hAnsi="Calibri" w:cs="Calibri"/>
          <w:sz w:val="23"/>
          <w:szCs w:val="23"/>
        </w:rPr>
        <w:t>, H. and Hammer, T. (2020) ‘Examining gender in play therapy’. </w:t>
      </w:r>
      <w:r w:rsidRPr="0024634C">
        <w:rPr>
          <w:rFonts w:ascii="Calibri" w:hAnsi="Calibri" w:cs="Calibri"/>
          <w:i/>
          <w:iCs/>
          <w:sz w:val="23"/>
          <w:szCs w:val="23"/>
        </w:rPr>
        <w:t>International Journal of Play Therapy</w:t>
      </w:r>
      <w:r w:rsidRPr="0024634C">
        <w:rPr>
          <w:rFonts w:ascii="Calibri" w:hAnsi="Calibri" w:cs="Calibri"/>
          <w:sz w:val="23"/>
          <w:szCs w:val="23"/>
        </w:rPr>
        <w:t>. Vol 29:1, pp. 20–32. Available at: https://web-p-ebscohost-com.ezproxy.uwtsd.ac.uk/ehost/pdfviewer/pdfviewer?vid=0&amp;sid=6c5e96ae-f103-472b-b154-b513d94964b7%40redis (Accessed on: 4 May 2024)</w:t>
      </w:r>
    </w:p>
    <w:p w14:paraId="00E3B911"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Taber (2013) </w:t>
      </w:r>
      <w:r w:rsidRPr="0024634C">
        <w:rPr>
          <w:rFonts w:ascii="Calibri" w:hAnsi="Calibri" w:cs="Calibri"/>
          <w:i/>
          <w:iCs/>
          <w:sz w:val="23"/>
          <w:szCs w:val="23"/>
        </w:rPr>
        <w:t>Classroom-based Research and Evidence-based Practice: An Introduction</w:t>
      </w:r>
      <w:r w:rsidRPr="0024634C">
        <w:rPr>
          <w:rFonts w:ascii="Calibri" w:hAnsi="Calibri" w:cs="Calibri"/>
          <w:sz w:val="23"/>
          <w:szCs w:val="23"/>
        </w:rPr>
        <w:t>. Second edition. London: SAGE</w:t>
      </w:r>
    </w:p>
    <w:p w14:paraId="3B3F728E"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Thomas, G. (2021) </w:t>
      </w:r>
      <w:r w:rsidRPr="0024634C">
        <w:rPr>
          <w:rFonts w:ascii="Calibri" w:hAnsi="Calibri" w:cs="Calibri"/>
          <w:i/>
          <w:iCs/>
          <w:sz w:val="23"/>
          <w:szCs w:val="23"/>
        </w:rPr>
        <w:t xml:space="preserve">How to Do Your Case Study. </w:t>
      </w:r>
      <w:r w:rsidRPr="0024634C">
        <w:rPr>
          <w:rFonts w:ascii="Calibri" w:hAnsi="Calibri" w:cs="Calibri"/>
          <w:sz w:val="23"/>
          <w:szCs w:val="23"/>
        </w:rPr>
        <w:t>London: SAGE.</w:t>
      </w:r>
    </w:p>
    <w:p w14:paraId="0C1A7FF7"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UNESCO (2022) </w:t>
      </w:r>
      <w:r w:rsidRPr="0024634C">
        <w:rPr>
          <w:rFonts w:ascii="Calibri" w:hAnsi="Calibri" w:cs="Calibri"/>
          <w:i/>
          <w:iCs/>
          <w:sz w:val="23"/>
          <w:szCs w:val="23"/>
        </w:rPr>
        <w:t xml:space="preserve">Smashing Gender Stereotypes and Bias in and Through Education. </w:t>
      </w:r>
      <w:r w:rsidRPr="0024634C">
        <w:rPr>
          <w:rFonts w:ascii="Calibri" w:hAnsi="Calibri" w:cs="Calibri"/>
          <w:sz w:val="23"/>
          <w:szCs w:val="23"/>
        </w:rPr>
        <w:t xml:space="preserve">Available at: </w:t>
      </w:r>
      <w:hyperlink r:id="rId10" w:history="1">
        <w:r w:rsidRPr="0024634C">
          <w:rPr>
            <w:rStyle w:val="Hyperlink"/>
            <w:rFonts w:ascii="Calibri" w:hAnsi="Calibri" w:cs="Calibri"/>
            <w:color w:val="auto"/>
            <w:sz w:val="23"/>
            <w:szCs w:val="23"/>
          </w:rPr>
          <w:t>https://www.unesco.org/en/articles/smashing-gender-stereotypes-and-bias-and-through-education</w:t>
        </w:r>
      </w:hyperlink>
      <w:r w:rsidRPr="0024634C">
        <w:rPr>
          <w:rFonts w:ascii="Calibri" w:hAnsi="Calibri" w:cs="Calibri"/>
          <w:sz w:val="23"/>
          <w:szCs w:val="23"/>
        </w:rPr>
        <w:t xml:space="preserve"> (Accessed on 4 May 2024)</w:t>
      </w:r>
    </w:p>
    <w:p w14:paraId="6FABE585"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United Nations Human Rights (2024) </w:t>
      </w:r>
      <w:r w:rsidRPr="0024634C">
        <w:rPr>
          <w:rFonts w:ascii="Calibri" w:hAnsi="Calibri" w:cs="Calibri"/>
          <w:i/>
          <w:iCs/>
          <w:sz w:val="23"/>
          <w:szCs w:val="23"/>
        </w:rPr>
        <w:t xml:space="preserve">Gender Stereotyping. </w:t>
      </w:r>
      <w:r w:rsidRPr="0024634C">
        <w:rPr>
          <w:rFonts w:ascii="Calibri" w:hAnsi="Calibri" w:cs="Calibri"/>
          <w:sz w:val="23"/>
          <w:szCs w:val="23"/>
        </w:rPr>
        <w:t>Available at: https://www.ohchr.org/en/women/gender-stereotyping (Accessed on 4 May).</w:t>
      </w:r>
    </w:p>
    <w:p w14:paraId="30910166"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UWTSD (2022) </w:t>
      </w:r>
      <w:r w:rsidRPr="0024634C">
        <w:rPr>
          <w:rFonts w:ascii="Calibri" w:hAnsi="Calibri" w:cs="Calibri"/>
          <w:i/>
          <w:iCs/>
          <w:sz w:val="23"/>
          <w:szCs w:val="23"/>
        </w:rPr>
        <w:t>Research Data Management Policy</w:t>
      </w:r>
      <w:r w:rsidRPr="0024634C">
        <w:rPr>
          <w:rFonts w:ascii="Calibri" w:hAnsi="Calibri" w:cs="Calibri"/>
          <w:sz w:val="23"/>
          <w:szCs w:val="23"/>
        </w:rPr>
        <w:t>. Available at: https://www.google.com/url?sa=t&amp;source=web&amp;rct=j&amp;opi=89978449&amp;url=https://www.uwtsd.ac.uk/media/1675/download%3Fattachment&amp;ved=2ahUKEwiDwKD-qMaFAxUHXEEAHYj6BwIQFnoECAYQAQ&amp;usg=AOvVaw3wEJB5IVBLaOvHbcrtqL9o (Accessed on: 14 April 2024)</w:t>
      </w:r>
    </w:p>
    <w:p w14:paraId="45EF770D"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UWTSD (2022) </w:t>
      </w:r>
      <w:r w:rsidRPr="0024634C">
        <w:rPr>
          <w:rFonts w:ascii="Calibri" w:hAnsi="Calibri" w:cs="Calibri"/>
          <w:i/>
          <w:iCs/>
          <w:sz w:val="23"/>
          <w:szCs w:val="23"/>
        </w:rPr>
        <w:t xml:space="preserve">Research Ethics and Integrity Code of Practice. </w:t>
      </w:r>
      <w:r w:rsidRPr="0024634C">
        <w:rPr>
          <w:rFonts w:ascii="Calibri" w:hAnsi="Calibri" w:cs="Calibri"/>
          <w:sz w:val="23"/>
          <w:szCs w:val="23"/>
        </w:rPr>
        <w:t>Available at: https:/</w:t>
      </w:r>
      <w:r w:rsidRPr="0024634C">
        <w:rPr>
          <w:rFonts w:ascii="Calibri" w:hAnsi="Calibri" w:cs="Calibri"/>
          <w:sz w:val="23"/>
          <w:szCs w:val="23"/>
        </w:rPr>
        <w:t>/</w:t>
      </w:r>
      <w:r w:rsidRPr="0024634C">
        <w:rPr>
          <w:rFonts w:ascii="Calibri" w:hAnsi="Calibri" w:cs="Calibri"/>
          <w:sz w:val="23"/>
          <w:szCs w:val="23"/>
        </w:rPr>
        <w:t>www.google.com/url?sa=t&amp;source=web&amp;rct=j&amp;opi=89978449&amp;url=https://www.uwtsd.ac.uk/media/2041/download%3Fattachment&amp;ved=2ahUKEwj4lIqYqMaFAxV-WkEAHdmlDrEQFnoECBUQAQ&amp;usg=AOvVaw2dqYdHyxRvIuouJ30mmQT8 (Accessed on: 14</w:t>
      </w:r>
      <w:r w:rsidRPr="0024634C">
        <w:rPr>
          <w:rFonts w:ascii="Calibri" w:hAnsi="Calibri" w:cs="Calibri"/>
          <w:sz w:val="23"/>
          <w:szCs w:val="23"/>
          <w:vertAlign w:val="superscript"/>
        </w:rPr>
        <w:t xml:space="preserve"> </w:t>
      </w:r>
      <w:r w:rsidRPr="0024634C">
        <w:rPr>
          <w:rFonts w:ascii="Calibri" w:hAnsi="Calibri" w:cs="Calibri"/>
          <w:sz w:val="23"/>
          <w:szCs w:val="23"/>
        </w:rPr>
        <w:t>April 2024)</w:t>
      </w:r>
    </w:p>
    <w:p w14:paraId="0EB71521" w14:textId="77777777" w:rsidR="005C431F" w:rsidRPr="0024634C" w:rsidRDefault="005C431F" w:rsidP="005C431F">
      <w:pPr>
        <w:pStyle w:val="NormalWeb"/>
        <w:rPr>
          <w:rFonts w:ascii="Calibri" w:hAnsi="Calibri" w:cs="Calibri"/>
          <w:sz w:val="23"/>
          <w:szCs w:val="23"/>
        </w:rPr>
      </w:pPr>
      <w:proofErr w:type="spellStart"/>
      <w:r w:rsidRPr="0024634C">
        <w:rPr>
          <w:rFonts w:ascii="Calibri" w:hAnsi="Calibri" w:cs="Calibri"/>
          <w:sz w:val="23"/>
          <w:szCs w:val="23"/>
        </w:rPr>
        <w:t>Weisgram</w:t>
      </w:r>
      <w:proofErr w:type="spellEnd"/>
      <w:r w:rsidRPr="0024634C">
        <w:rPr>
          <w:rFonts w:ascii="Calibri" w:hAnsi="Calibri" w:cs="Calibri"/>
          <w:sz w:val="23"/>
          <w:szCs w:val="23"/>
        </w:rPr>
        <w:t>, E., (2019) ‘Reducing Gender Stereotypes in Toys and Play for Smarter, Stronger, and Kinder Kids’. </w:t>
      </w:r>
      <w:r w:rsidRPr="0024634C">
        <w:rPr>
          <w:rFonts w:ascii="Calibri" w:hAnsi="Calibri" w:cs="Calibri"/>
          <w:i/>
          <w:iCs/>
          <w:sz w:val="23"/>
          <w:szCs w:val="23"/>
        </w:rPr>
        <w:t xml:space="preserve">American Journal of Play. </w:t>
      </w:r>
      <w:r w:rsidRPr="0024634C">
        <w:rPr>
          <w:rFonts w:ascii="Calibri" w:hAnsi="Calibri" w:cs="Calibri"/>
          <w:sz w:val="23"/>
          <w:szCs w:val="23"/>
        </w:rPr>
        <w:t>Vol</w:t>
      </w:r>
      <w:r w:rsidRPr="0024634C">
        <w:rPr>
          <w:rFonts w:ascii="Calibri" w:hAnsi="Calibri" w:cs="Calibri"/>
          <w:i/>
          <w:iCs/>
          <w:sz w:val="23"/>
          <w:szCs w:val="23"/>
        </w:rPr>
        <w:t> </w:t>
      </w:r>
      <w:r w:rsidRPr="0024634C">
        <w:rPr>
          <w:rFonts w:ascii="Calibri" w:hAnsi="Calibri" w:cs="Calibri"/>
          <w:sz w:val="23"/>
          <w:szCs w:val="23"/>
        </w:rPr>
        <w:t>12:1, pp. 74-88. Available at: https://www.proquest.com/docview/2335166874?parentSessionId=bo9VNu0VMDyVb04FRHfkj8dd8YKtKTfVotve%2Bz0tmIk%3D&amp;pq-</w:t>
      </w:r>
      <w:r w:rsidRPr="0024634C">
        <w:rPr>
          <w:rFonts w:ascii="Calibri" w:hAnsi="Calibri" w:cs="Calibri"/>
          <w:sz w:val="23"/>
          <w:szCs w:val="23"/>
        </w:rPr>
        <w:lastRenderedPageBreak/>
        <w:t>origsite=primo&amp;accountid=130472&amp;sourcetype=Scholarly%20Journals (Accessed on: 4 May 2024)</w:t>
      </w:r>
    </w:p>
    <w:p w14:paraId="20B23994"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Wellington, J. (2015) </w:t>
      </w:r>
      <w:r w:rsidRPr="0024634C">
        <w:rPr>
          <w:rFonts w:ascii="Calibri" w:hAnsi="Calibri" w:cs="Calibri"/>
          <w:i/>
          <w:iCs/>
          <w:sz w:val="23"/>
          <w:szCs w:val="23"/>
        </w:rPr>
        <w:t>Educational Research: Contemporary Issues and Practical Approaches</w:t>
      </w:r>
      <w:r w:rsidRPr="0024634C">
        <w:rPr>
          <w:rFonts w:ascii="Calibri" w:hAnsi="Calibri" w:cs="Calibri"/>
          <w:sz w:val="23"/>
          <w:szCs w:val="23"/>
        </w:rPr>
        <w:t>. Second edition. London: Bloomsbury Academic</w:t>
      </w:r>
    </w:p>
    <w:p w14:paraId="7057AB25"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Welsh Government (2019) </w:t>
      </w:r>
      <w:r w:rsidRPr="0024634C">
        <w:rPr>
          <w:rFonts w:ascii="Calibri" w:hAnsi="Calibri" w:cs="Calibri"/>
          <w:i/>
          <w:iCs/>
          <w:sz w:val="23"/>
          <w:szCs w:val="23"/>
        </w:rPr>
        <w:t>Professional Standards for Teaching and Leadership.</w:t>
      </w:r>
      <w:r w:rsidRPr="0024634C">
        <w:rPr>
          <w:rFonts w:ascii="Calibri" w:hAnsi="Calibri" w:cs="Calibri"/>
          <w:sz w:val="23"/>
          <w:szCs w:val="23"/>
        </w:rPr>
        <w:t xml:space="preserve"> Available at: https://hwb.gov.wales/api/storage/19bc948b-8a3f-41e0-944a-7bf2cadf7d18/professional-standards-for-teaching-and-leadership-interactive-pdf-for-pc.pdf (Accessed on 3 May 2024)</w:t>
      </w:r>
    </w:p>
    <w:p w14:paraId="6E4D961C"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Welsh Government (2022) </w:t>
      </w:r>
      <w:r w:rsidRPr="0024634C">
        <w:rPr>
          <w:rFonts w:ascii="Calibri" w:hAnsi="Calibri" w:cs="Calibri"/>
          <w:i/>
          <w:iCs/>
          <w:sz w:val="23"/>
          <w:szCs w:val="23"/>
        </w:rPr>
        <w:t xml:space="preserve">The Curriculum for Wales – </w:t>
      </w:r>
      <w:r w:rsidRPr="008479C3">
        <w:rPr>
          <w:rFonts w:ascii="Calibri" w:hAnsi="Calibri" w:cs="Calibri"/>
          <w:i/>
          <w:iCs/>
          <w:sz w:val="23"/>
          <w:szCs w:val="23"/>
        </w:rPr>
        <w:t>Relationships and Sexuality Education Code</w:t>
      </w:r>
      <w:r w:rsidRPr="0024634C">
        <w:rPr>
          <w:rFonts w:ascii="Calibri" w:hAnsi="Calibri" w:cs="Calibri"/>
          <w:sz w:val="23"/>
          <w:szCs w:val="23"/>
        </w:rPr>
        <w:t xml:space="preserve">. Available at: https://www.gov.wales/sites/default/files/publications/2022-01/curriculum-for-wales-relationships-sexuality-education-code.pdf (Accessed on 3 May 2024) </w:t>
      </w:r>
    </w:p>
    <w:p w14:paraId="3184B120" w14:textId="77777777" w:rsidR="005C431F" w:rsidRPr="0024634C" w:rsidRDefault="005C431F" w:rsidP="005C431F">
      <w:pPr>
        <w:pStyle w:val="NormalWeb"/>
        <w:rPr>
          <w:rFonts w:ascii="Calibri" w:hAnsi="Calibri" w:cs="Calibri"/>
          <w:sz w:val="23"/>
          <w:szCs w:val="23"/>
        </w:rPr>
      </w:pPr>
      <w:r w:rsidRPr="0024634C">
        <w:rPr>
          <w:rFonts w:ascii="Calibri" w:hAnsi="Calibri" w:cs="Calibri"/>
          <w:noProof/>
          <w:sz w:val="23"/>
          <w:szCs w:val="23"/>
          <w14:ligatures w14:val="standardContextual"/>
        </w:rPr>
        <mc:AlternateContent>
          <mc:Choice Requires="wps">
            <w:drawing>
              <wp:anchor distT="0" distB="0" distL="114300" distR="114300" simplePos="0" relativeHeight="251666432" behindDoc="0" locked="0" layoutInCell="1" allowOverlap="1" wp14:anchorId="429C122F" wp14:editId="7872701C">
                <wp:simplePos x="0" y="0"/>
                <wp:positionH relativeFrom="column">
                  <wp:posOffset>2651760</wp:posOffset>
                </wp:positionH>
                <wp:positionV relativeFrom="paragraph">
                  <wp:posOffset>17780</wp:posOffset>
                </wp:positionV>
                <wp:extent cx="1284605" cy="146050"/>
                <wp:effectExtent l="0" t="0" r="10795" b="19050"/>
                <wp:wrapNone/>
                <wp:docPr id="1811899608" name="Rectangle 1"/>
                <wp:cNvGraphicFramePr/>
                <a:graphic xmlns:a="http://schemas.openxmlformats.org/drawingml/2006/main">
                  <a:graphicData uri="http://schemas.microsoft.com/office/word/2010/wordprocessingShape">
                    <wps:wsp>
                      <wps:cNvSpPr/>
                      <wps:spPr>
                        <a:xfrm>
                          <a:off x="0" y="0"/>
                          <a:ext cx="1284605" cy="146050"/>
                        </a:xfrm>
                        <a:prstGeom prst="rect">
                          <a:avLst/>
                        </a:prstGeom>
                      </wps:spPr>
                      <wps:style>
                        <a:lnRef idx="2">
                          <a:schemeClr val="dk1">
                            <a:shade val="15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68A0A5E" id="Rectangle 1" o:spid="_x0000_s1026" style="position:absolute;margin-left:208.8pt;margin-top:1.4pt;width:101.15pt;height:11.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" fillcolor="black [3200]" strokecolor="black [480]" strokeweight="1pt"/>
            </w:pict>
          </mc:Fallback>
        </mc:AlternateContent>
      </w:r>
      <w:r w:rsidRPr="0024634C">
        <w:rPr>
          <w:rFonts w:ascii="Calibri" w:hAnsi="Calibri" w:cs="Calibri"/>
          <w:sz w:val="23"/>
          <w:szCs w:val="23"/>
        </w:rPr>
        <w:t xml:space="preserve">Welsh Government (2023) ‘My Local School: </w:t>
      </w:r>
      <w:r w:rsidRPr="0024634C">
        <w:rPr>
          <w:rFonts w:ascii="Calibri" w:hAnsi="Calibri" w:cs="Calibri"/>
          <w:sz w:val="23"/>
          <w:szCs w:val="23"/>
        </w:rPr>
        <w:tab/>
      </w:r>
      <w:r w:rsidRPr="0024634C">
        <w:rPr>
          <w:rFonts w:ascii="Calibri" w:hAnsi="Calibri" w:cs="Calibri"/>
          <w:sz w:val="23"/>
          <w:szCs w:val="23"/>
        </w:rPr>
        <w:tab/>
      </w:r>
      <w:r w:rsidRPr="0024634C">
        <w:rPr>
          <w:rFonts w:ascii="Calibri" w:hAnsi="Calibri" w:cs="Calibri"/>
          <w:sz w:val="23"/>
          <w:szCs w:val="23"/>
        </w:rPr>
        <w:tab/>
        <w:t xml:space="preserve">        </w:t>
      </w:r>
      <w:proofErr w:type="gramStart"/>
      <w:r w:rsidRPr="0024634C">
        <w:rPr>
          <w:rFonts w:ascii="Calibri" w:hAnsi="Calibri" w:cs="Calibri"/>
          <w:sz w:val="23"/>
          <w:szCs w:val="23"/>
        </w:rPr>
        <w:t xml:space="preserve">  ’</w:t>
      </w:r>
      <w:proofErr w:type="gramEnd"/>
      <w:r w:rsidRPr="0024634C">
        <w:rPr>
          <w:rFonts w:ascii="Calibri" w:hAnsi="Calibri" w:cs="Calibri"/>
          <w:sz w:val="23"/>
          <w:szCs w:val="23"/>
        </w:rPr>
        <w:t>. Available at: https://mylocalschool.gov.wales/School/?lang=en (Accessed on: 14 April 2024)</w:t>
      </w:r>
    </w:p>
    <w:p w14:paraId="4A8BE354" w14:textId="77777777"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Wilson, E. and Fox, A. (2013) ‘Data Collection’, in Wilson, E. (ed.) </w:t>
      </w:r>
      <w:r w:rsidRPr="0024634C">
        <w:rPr>
          <w:rFonts w:ascii="Calibri" w:hAnsi="Calibri" w:cs="Calibri"/>
          <w:i/>
          <w:iCs/>
          <w:sz w:val="23"/>
          <w:szCs w:val="23"/>
        </w:rPr>
        <w:t xml:space="preserve">School-based Research: A Guide for Education Students. </w:t>
      </w:r>
      <w:r w:rsidRPr="0024634C">
        <w:rPr>
          <w:rFonts w:ascii="Calibri" w:hAnsi="Calibri" w:cs="Calibri"/>
          <w:sz w:val="23"/>
          <w:szCs w:val="23"/>
        </w:rPr>
        <w:t>London: SAGE</w:t>
      </w:r>
    </w:p>
    <w:p w14:paraId="739CEB06" w14:textId="77777777" w:rsidR="005C431F" w:rsidRPr="0024634C" w:rsidRDefault="005C431F" w:rsidP="005C431F">
      <w:pPr>
        <w:pStyle w:val="NormalWeb"/>
        <w:rPr>
          <w:rFonts w:ascii="Calibri" w:hAnsi="Calibri" w:cs="Calibri"/>
          <w:sz w:val="23"/>
          <w:szCs w:val="23"/>
        </w:rPr>
      </w:pPr>
      <w:proofErr w:type="spellStart"/>
      <w:r w:rsidRPr="0024634C">
        <w:rPr>
          <w:rFonts w:ascii="Calibri" w:hAnsi="Calibri" w:cs="Calibri"/>
          <w:sz w:val="23"/>
          <w:szCs w:val="23"/>
        </w:rPr>
        <w:t>Winwood</w:t>
      </w:r>
      <w:proofErr w:type="spellEnd"/>
      <w:r w:rsidRPr="0024634C">
        <w:rPr>
          <w:rFonts w:ascii="Calibri" w:hAnsi="Calibri" w:cs="Calibri"/>
          <w:sz w:val="23"/>
          <w:szCs w:val="23"/>
        </w:rPr>
        <w:t xml:space="preserve">, J. (2019) ‘Using Interviews’, in Lambert, M. (ed.) </w:t>
      </w:r>
      <w:r w:rsidRPr="0024634C">
        <w:rPr>
          <w:rFonts w:ascii="Calibri" w:hAnsi="Calibri" w:cs="Calibri"/>
          <w:i/>
          <w:iCs/>
          <w:sz w:val="23"/>
          <w:szCs w:val="23"/>
        </w:rPr>
        <w:t>Practical Research Methods in Education: An Early Researcher’s Critical Guide.</w:t>
      </w:r>
      <w:r w:rsidRPr="0024634C">
        <w:rPr>
          <w:rFonts w:ascii="Calibri" w:hAnsi="Calibri" w:cs="Calibri"/>
          <w:sz w:val="23"/>
          <w:szCs w:val="23"/>
        </w:rPr>
        <w:t xml:space="preserve"> London: Routledge.</w:t>
      </w:r>
    </w:p>
    <w:p w14:paraId="66B8059E" w14:textId="77777777" w:rsidR="00C339C6" w:rsidRDefault="00C339C6" w:rsidP="005C431F">
      <w:pPr>
        <w:pStyle w:val="NormalWeb"/>
        <w:rPr>
          <w:rFonts w:ascii="Calibri" w:hAnsi="Calibri" w:cs="Calibri"/>
          <w:sz w:val="23"/>
          <w:szCs w:val="23"/>
        </w:rPr>
      </w:pPr>
    </w:p>
    <w:p w14:paraId="65F13964" w14:textId="475D70AA" w:rsidR="005C431F" w:rsidRPr="0024634C" w:rsidRDefault="005C431F" w:rsidP="005C431F">
      <w:pPr>
        <w:pStyle w:val="NormalWeb"/>
        <w:rPr>
          <w:rFonts w:ascii="Calibri" w:hAnsi="Calibri" w:cs="Calibri"/>
          <w:sz w:val="23"/>
          <w:szCs w:val="23"/>
        </w:rPr>
      </w:pPr>
      <w:r w:rsidRPr="0024634C">
        <w:rPr>
          <w:rFonts w:ascii="Calibri" w:hAnsi="Calibri" w:cs="Calibri"/>
          <w:sz w:val="23"/>
          <w:szCs w:val="23"/>
        </w:rPr>
        <w:t xml:space="preserve">Yazan (2015) Three Approaches to Case Study Methods in Education: Yin, Merriam, and Stake. </w:t>
      </w:r>
      <w:r w:rsidRPr="0024634C">
        <w:rPr>
          <w:rFonts w:ascii="Calibri" w:hAnsi="Calibri" w:cs="Calibri"/>
          <w:i/>
          <w:iCs/>
          <w:sz w:val="23"/>
          <w:szCs w:val="23"/>
        </w:rPr>
        <w:t xml:space="preserve">The Qualitive Report. </w:t>
      </w:r>
      <w:r w:rsidRPr="0024634C">
        <w:rPr>
          <w:rFonts w:ascii="Calibri" w:hAnsi="Calibri" w:cs="Calibri"/>
          <w:sz w:val="23"/>
          <w:szCs w:val="23"/>
        </w:rPr>
        <w:t>Vol 20:2, pp.134-152.</w:t>
      </w:r>
      <w:r w:rsidRPr="0024634C">
        <w:rPr>
          <w:rFonts w:ascii="Calibri" w:hAnsi="Calibri" w:cs="Calibri"/>
          <w:i/>
          <w:iCs/>
          <w:sz w:val="23"/>
          <w:szCs w:val="23"/>
        </w:rPr>
        <w:t xml:space="preserve"> </w:t>
      </w:r>
      <w:r w:rsidRPr="0024634C">
        <w:rPr>
          <w:rFonts w:ascii="Calibri" w:hAnsi="Calibri" w:cs="Calibri"/>
          <w:sz w:val="23"/>
          <w:szCs w:val="23"/>
        </w:rPr>
        <w:t>Available at: https://nsuworks.nova.edu/tqr/vol20/iss2/12/ (Accessed on: 14 April 2024)</w:t>
      </w:r>
    </w:p>
    <w:p w14:paraId="423BA3D7" w14:textId="220F7DE5" w:rsidR="00BD6D50" w:rsidRPr="00BD6D50" w:rsidRDefault="005C431F" w:rsidP="00C339C6">
      <w:pPr>
        <w:pStyle w:val="NormalWeb"/>
        <w:rPr>
          <w:b/>
          <w:bCs/>
          <w:sz w:val="32"/>
          <w:szCs w:val="32"/>
        </w:rPr>
      </w:pPr>
      <w:r w:rsidRPr="0024634C">
        <w:rPr>
          <w:rFonts w:ascii="Calibri" w:hAnsi="Calibri" w:cs="Calibri"/>
          <w:sz w:val="23"/>
          <w:szCs w:val="23"/>
        </w:rPr>
        <w:t>Yin, R. (2014) Case Study Research: Design and Methods. Fifth edition. London: SAG</w:t>
      </w:r>
      <w:r w:rsidR="00C339C6">
        <w:rPr>
          <w:rFonts w:ascii="Calibri" w:hAnsi="Calibri" w:cs="Calibri"/>
          <w:sz w:val="23"/>
          <w:szCs w:val="23"/>
        </w:rPr>
        <w:t>E</w:t>
      </w:r>
    </w:p>
    <w:sectPr w:rsidR="00BD6D50" w:rsidRPr="00BD6D50" w:rsidSect="00C339C6">
      <w:pgSz w:w="11906" w:h="16838"/>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347B24" w14:textId="77777777" w:rsidR="003925B7" w:rsidRDefault="003925B7" w:rsidP="00D10F02">
      <w:r>
        <w:separator/>
      </w:r>
    </w:p>
  </w:endnote>
  <w:endnote w:type="continuationSeparator" w:id="0">
    <w:p w14:paraId="27B5CADC" w14:textId="77777777" w:rsidR="003925B7" w:rsidRDefault="003925B7" w:rsidP="00D10F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mes">
    <w:panose1 w:val="00000500000000020000"/>
    <w:charset w:val="00"/>
    <w:family w:val="auto"/>
    <w:pitch w:val="variable"/>
    <w:sig w:usb0="E00002FF" w:usb1="5000205A" w:usb2="00000000" w:usb3="00000000" w:csb0="0000019F" w:csb1="00000000"/>
  </w:font>
  <w:font w:name="Google Sans">
    <w:altName w:val="Cambria"/>
    <w:panose1 w:val="020B0604020202020204"/>
    <w:charset w:val="00"/>
    <w:family w:val="roman"/>
    <w:pitch w:val="default"/>
  </w:font>
  <w:font w:name="Arial Unicode MS">
    <w:panose1 w:val="020B0604020202020204"/>
    <w:charset w:val="80"/>
    <w:family w:val="swiss"/>
    <w:pitch w:val="variable"/>
    <w:sig w:usb0="F7FFAFFF" w:usb1="E9DFFFFF" w:usb2="0000003F" w:usb3="00000000" w:csb0="003F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34028449"/>
      <w:docPartObj>
        <w:docPartGallery w:val="Page Numbers (Bottom of Page)"/>
        <w:docPartUnique/>
      </w:docPartObj>
    </w:sdtPr>
    <w:sdtContent>
      <w:p w14:paraId="52C24009" w14:textId="32024324" w:rsidR="00D10F02" w:rsidRDefault="00D10F02" w:rsidP="00B424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822092B" w14:textId="77777777" w:rsidR="00D10F02" w:rsidRDefault="00D10F02" w:rsidP="00D10F0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28154770"/>
      <w:docPartObj>
        <w:docPartGallery w:val="Page Numbers (Bottom of Page)"/>
        <w:docPartUnique/>
      </w:docPartObj>
    </w:sdtPr>
    <w:sdtContent>
      <w:p w14:paraId="471C8C8F" w14:textId="289C5B12" w:rsidR="00D10F02" w:rsidRDefault="00D10F02" w:rsidP="00B4249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58CECE78" w14:textId="5BF0F81B" w:rsidR="00D10F02" w:rsidRDefault="00D10F02" w:rsidP="00D10F02">
    <w:pPr>
      <w:pStyle w:val="Footer"/>
      <w:ind w:right="360"/>
    </w:pPr>
    <w:r>
      <w:t>ECAD7004 – Researching the Learning</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8BCFB0" w14:textId="77777777" w:rsidR="003925B7" w:rsidRDefault="003925B7" w:rsidP="00D10F02">
      <w:r>
        <w:separator/>
      </w:r>
    </w:p>
  </w:footnote>
  <w:footnote w:type="continuationSeparator" w:id="0">
    <w:p w14:paraId="123CD9B4" w14:textId="77777777" w:rsidR="003925B7" w:rsidRDefault="003925B7" w:rsidP="00D10F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52616D" w14:textId="591D224B" w:rsidR="00D10F02" w:rsidRDefault="00D10F02">
    <w:pPr>
      <w:pStyle w:val="Header"/>
    </w:pPr>
    <w:r>
      <w:t>Hannah James</w:t>
    </w:r>
    <w:r>
      <w:ptab w:relativeTo="margin" w:alignment="center" w:leader="none"/>
    </w:r>
    <w:r>
      <w:ptab w:relativeTo="margin" w:alignment="right" w:leader="none"/>
    </w:r>
    <w:r>
      <w:t>0851498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56899"/>
    <w:multiLevelType w:val="hybridMultilevel"/>
    <w:tmpl w:val="FD58DE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E52B2"/>
    <w:multiLevelType w:val="hybridMultilevel"/>
    <w:tmpl w:val="8C82CD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7F66CFC"/>
    <w:multiLevelType w:val="hybridMultilevel"/>
    <w:tmpl w:val="888E43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5F102A"/>
    <w:multiLevelType w:val="hybridMultilevel"/>
    <w:tmpl w:val="88CEE9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7203FA"/>
    <w:multiLevelType w:val="hybridMultilevel"/>
    <w:tmpl w:val="8E7210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A83224C"/>
    <w:multiLevelType w:val="hybridMultilevel"/>
    <w:tmpl w:val="F5C65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3F0ED1"/>
    <w:multiLevelType w:val="multilevel"/>
    <w:tmpl w:val="358815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48EE1C98"/>
    <w:multiLevelType w:val="multilevel"/>
    <w:tmpl w:val="5956CA4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E960A57"/>
    <w:multiLevelType w:val="hybridMultilevel"/>
    <w:tmpl w:val="325A2FD4"/>
    <w:lvl w:ilvl="0" w:tplc="AC3E490E">
      <w:numFmt w:val="bullet"/>
      <w:lvlText w:val="•"/>
      <w:lvlJc w:val="left"/>
      <w:pPr>
        <w:ind w:left="720" w:hanging="360"/>
      </w:pPr>
      <w:rPr>
        <w:rFonts w:ascii="Arial" w:eastAsia="Times New Roman" w:hAnsi="Arial" w:cs="Arial" w:hint="default"/>
        <w:sz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2F0767"/>
    <w:multiLevelType w:val="multilevel"/>
    <w:tmpl w:val="68EA4F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0" w15:restartNumberingAfterBreak="0">
    <w:nsid w:val="53D73890"/>
    <w:multiLevelType w:val="hybridMultilevel"/>
    <w:tmpl w:val="3E12B5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49C33D4"/>
    <w:multiLevelType w:val="hybridMultilevel"/>
    <w:tmpl w:val="FAE4B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7BF1BC4"/>
    <w:multiLevelType w:val="hybridMultilevel"/>
    <w:tmpl w:val="BF1C3F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C8B2EB1"/>
    <w:multiLevelType w:val="hybridMultilevel"/>
    <w:tmpl w:val="F2B839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D08661A"/>
    <w:multiLevelType w:val="hybridMultilevel"/>
    <w:tmpl w:val="7D6407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C24985"/>
    <w:multiLevelType w:val="multilevel"/>
    <w:tmpl w:val="89180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945622006">
    <w:abstractNumId w:val="9"/>
  </w:num>
  <w:num w:numId="2" w16cid:durableId="1911112808">
    <w:abstractNumId w:val="15"/>
  </w:num>
  <w:num w:numId="3" w16cid:durableId="188489320">
    <w:abstractNumId w:val="7"/>
  </w:num>
  <w:num w:numId="4" w16cid:durableId="962030303">
    <w:abstractNumId w:val="6"/>
  </w:num>
  <w:num w:numId="5" w16cid:durableId="2097245557">
    <w:abstractNumId w:val="12"/>
  </w:num>
  <w:num w:numId="6" w16cid:durableId="1085345496">
    <w:abstractNumId w:val="2"/>
  </w:num>
  <w:num w:numId="7" w16cid:durableId="1116948711">
    <w:abstractNumId w:val="1"/>
  </w:num>
  <w:num w:numId="8" w16cid:durableId="820318465">
    <w:abstractNumId w:val="13"/>
  </w:num>
  <w:num w:numId="9" w16cid:durableId="870413084">
    <w:abstractNumId w:val="8"/>
  </w:num>
  <w:num w:numId="10" w16cid:durableId="232929448">
    <w:abstractNumId w:val="10"/>
  </w:num>
  <w:num w:numId="11" w16cid:durableId="669410474">
    <w:abstractNumId w:val="5"/>
  </w:num>
  <w:num w:numId="12" w16cid:durableId="1699626101">
    <w:abstractNumId w:val="3"/>
  </w:num>
  <w:num w:numId="13" w16cid:durableId="1731266361">
    <w:abstractNumId w:val="11"/>
  </w:num>
  <w:num w:numId="14" w16cid:durableId="1574271777">
    <w:abstractNumId w:val="14"/>
  </w:num>
  <w:num w:numId="15" w16cid:durableId="995037101">
    <w:abstractNumId w:val="0"/>
  </w:num>
  <w:num w:numId="16" w16cid:durableId="762995609">
    <w:abstractNumId w:val="4"/>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08A9"/>
    <w:rsid w:val="00011631"/>
    <w:rsid w:val="00015146"/>
    <w:rsid w:val="00021377"/>
    <w:rsid w:val="000408F8"/>
    <w:rsid w:val="00040973"/>
    <w:rsid w:val="000447A4"/>
    <w:rsid w:val="000539A1"/>
    <w:rsid w:val="000660AD"/>
    <w:rsid w:val="00066C6E"/>
    <w:rsid w:val="000B0918"/>
    <w:rsid w:val="000B4E21"/>
    <w:rsid w:val="000B5202"/>
    <w:rsid w:val="000D2D56"/>
    <w:rsid w:val="000F408F"/>
    <w:rsid w:val="00107A5F"/>
    <w:rsid w:val="001170EA"/>
    <w:rsid w:val="00130C36"/>
    <w:rsid w:val="001321C8"/>
    <w:rsid w:val="00146383"/>
    <w:rsid w:val="0016085D"/>
    <w:rsid w:val="00160BCB"/>
    <w:rsid w:val="00166FB9"/>
    <w:rsid w:val="00185E93"/>
    <w:rsid w:val="00197A0B"/>
    <w:rsid w:val="001A1816"/>
    <w:rsid w:val="001A5602"/>
    <w:rsid w:val="001C0B33"/>
    <w:rsid w:val="001C0B95"/>
    <w:rsid w:val="001C3962"/>
    <w:rsid w:val="001D032F"/>
    <w:rsid w:val="001E7120"/>
    <w:rsid w:val="001F0EC2"/>
    <w:rsid w:val="00222B3F"/>
    <w:rsid w:val="00240FA8"/>
    <w:rsid w:val="0029424F"/>
    <w:rsid w:val="002A638B"/>
    <w:rsid w:val="002C5459"/>
    <w:rsid w:val="002E09AD"/>
    <w:rsid w:val="0032049A"/>
    <w:rsid w:val="0033648B"/>
    <w:rsid w:val="00354AB4"/>
    <w:rsid w:val="0036093B"/>
    <w:rsid w:val="003925B7"/>
    <w:rsid w:val="00393FDA"/>
    <w:rsid w:val="003A67B5"/>
    <w:rsid w:val="003B74B8"/>
    <w:rsid w:val="003C7086"/>
    <w:rsid w:val="003C7A5E"/>
    <w:rsid w:val="003D1D0A"/>
    <w:rsid w:val="003F4A17"/>
    <w:rsid w:val="003F7BF3"/>
    <w:rsid w:val="00433E99"/>
    <w:rsid w:val="004540CA"/>
    <w:rsid w:val="00456AF7"/>
    <w:rsid w:val="004C5248"/>
    <w:rsid w:val="004D4997"/>
    <w:rsid w:val="004E2B43"/>
    <w:rsid w:val="004F1B45"/>
    <w:rsid w:val="00502599"/>
    <w:rsid w:val="005153DE"/>
    <w:rsid w:val="00524F4D"/>
    <w:rsid w:val="005349DC"/>
    <w:rsid w:val="005372FF"/>
    <w:rsid w:val="00544356"/>
    <w:rsid w:val="005567C2"/>
    <w:rsid w:val="0056472F"/>
    <w:rsid w:val="00570BE4"/>
    <w:rsid w:val="00587E34"/>
    <w:rsid w:val="005A7D20"/>
    <w:rsid w:val="005C431F"/>
    <w:rsid w:val="005D4BF6"/>
    <w:rsid w:val="005E32CD"/>
    <w:rsid w:val="005F6137"/>
    <w:rsid w:val="005F6BED"/>
    <w:rsid w:val="0060230E"/>
    <w:rsid w:val="00637496"/>
    <w:rsid w:val="00645474"/>
    <w:rsid w:val="00657D9A"/>
    <w:rsid w:val="006667E9"/>
    <w:rsid w:val="00697E62"/>
    <w:rsid w:val="006A403A"/>
    <w:rsid w:val="006A725B"/>
    <w:rsid w:val="006B301E"/>
    <w:rsid w:val="006E240C"/>
    <w:rsid w:val="006E40D8"/>
    <w:rsid w:val="00701BB6"/>
    <w:rsid w:val="007468B1"/>
    <w:rsid w:val="00747B8C"/>
    <w:rsid w:val="00760113"/>
    <w:rsid w:val="00774864"/>
    <w:rsid w:val="007B0D38"/>
    <w:rsid w:val="007E408F"/>
    <w:rsid w:val="007F34B3"/>
    <w:rsid w:val="00802FC2"/>
    <w:rsid w:val="008121B7"/>
    <w:rsid w:val="0082153A"/>
    <w:rsid w:val="00832D08"/>
    <w:rsid w:val="0083570D"/>
    <w:rsid w:val="00845730"/>
    <w:rsid w:val="00855FF2"/>
    <w:rsid w:val="00857AAD"/>
    <w:rsid w:val="00863081"/>
    <w:rsid w:val="008A682C"/>
    <w:rsid w:val="008C64B2"/>
    <w:rsid w:val="008E0AA1"/>
    <w:rsid w:val="008F486F"/>
    <w:rsid w:val="00901E9A"/>
    <w:rsid w:val="009306F1"/>
    <w:rsid w:val="0093159A"/>
    <w:rsid w:val="00947A42"/>
    <w:rsid w:val="00951023"/>
    <w:rsid w:val="00951487"/>
    <w:rsid w:val="009631B4"/>
    <w:rsid w:val="00996CF9"/>
    <w:rsid w:val="009D3924"/>
    <w:rsid w:val="009F136C"/>
    <w:rsid w:val="00A004DF"/>
    <w:rsid w:val="00A073DC"/>
    <w:rsid w:val="00A276F8"/>
    <w:rsid w:val="00A3302D"/>
    <w:rsid w:val="00A44412"/>
    <w:rsid w:val="00A776CE"/>
    <w:rsid w:val="00AB1E98"/>
    <w:rsid w:val="00AB1F91"/>
    <w:rsid w:val="00AC1DDB"/>
    <w:rsid w:val="00AC20EB"/>
    <w:rsid w:val="00AD4A56"/>
    <w:rsid w:val="00AD7947"/>
    <w:rsid w:val="00AD7DA6"/>
    <w:rsid w:val="00AE4993"/>
    <w:rsid w:val="00B051B2"/>
    <w:rsid w:val="00B17311"/>
    <w:rsid w:val="00B21356"/>
    <w:rsid w:val="00B31EAC"/>
    <w:rsid w:val="00B536B7"/>
    <w:rsid w:val="00B636C8"/>
    <w:rsid w:val="00B72B75"/>
    <w:rsid w:val="00B86E6F"/>
    <w:rsid w:val="00B90B09"/>
    <w:rsid w:val="00BA3108"/>
    <w:rsid w:val="00BB1E80"/>
    <w:rsid w:val="00BB66AE"/>
    <w:rsid w:val="00BC1CD1"/>
    <w:rsid w:val="00BD6D50"/>
    <w:rsid w:val="00BE457A"/>
    <w:rsid w:val="00C06D93"/>
    <w:rsid w:val="00C06E10"/>
    <w:rsid w:val="00C339C6"/>
    <w:rsid w:val="00C86A34"/>
    <w:rsid w:val="00C90213"/>
    <w:rsid w:val="00CA16A2"/>
    <w:rsid w:val="00CA3B0D"/>
    <w:rsid w:val="00CB3150"/>
    <w:rsid w:val="00CC0795"/>
    <w:rsid w:val="00CD01A2"/>
    <w:rsid w:val="00CD52AF"/>
    <w:rsid w:val="00D00876"/>
    <w:rsid w:val="00D10F02"/>
    <w:rsid w:val="00D16DF2"/>
    <w:rsid w:val="00D47F19"/>
    <w:rsid w:val="00D51248"/>
    <w:rsid w:val="00D66594"/>
    <w:rsid w:val="00D75833"/>
    <w:rsid w:val="00D85970"/>
    <w:rsid w:val="00D87843"/>
    <w:rsid w:val="00D87FA4"/>
    <w:rsid w:val="00D90240"/>
    <w:rsid w:val="00DA387B"/>
    <w:rsid w:val="00DC77B7"/>
    <w:rsid w:val="00DD6017"/>
    <w:rsid w:val="00DD67CD"/>
    <w:rsid w:val="00DE36DE"/>
    <w:rsid w:val="00E04948"/>
    <w:rsid w:val="00E04AB6"/>
    <w:rsid w:val="00E11369"/>
    <w:rsid w:val="00E11B55"/>
    <w:rsid w:val="00E16E43"/>
    <w:rsid w:val="00E34637"/>
    <w:rsid w:val="00E408A9"/>
    <w:rsid w:val="00E627A3"/>
    <w:rsid w:val="00E728E5"/>
    <w:rsid w:val="00E750AA"/>
    <w:rsid w:val="00E852F2"/>
    <w:rsid w:val="00E87B61"/>
    <w:rsid w:val="00E95905"/>
    <w:rsid w:val="00EA4EB6"/>
    <w:rsid w:val="00EA706A"/>
    <w:rsid w:val="00EB17F9"/>
    <w:rsid w:val="00ED4075"/>
    <w:rsid w:val="00ED5252"/>
    <w:rsid w:val="00EE2AC6"/>
    <w:rsid w:val="00EE71F2"/>
    <w:rsid w:val="00F10099"/>
    <w:rsid w:val="00F20CDB"/>
    <w:rsid w:val="00F20EF8"/>
    <w:rsid w:val="00F50FDC"/>
    <w:rsid w:val="00F53DE6"/>
    <w:rsid w:val="00F55050"/>
    <w:rsid w:val="00F7261E"/>
    <w:rsid w:val="00F90ABD"/>
    <w:rsid w:val="00FC2EED"/>
    <w:rsid w:val="00FC5379"/>
    <w:rsid w:val="00FC5C3B"/>
    <w:rsid w:val="00FE60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70A5C0"/>
  <w15:chartTrackingRefBased/>
  <w15:docId w15:val="{14A2B165-5E56-5A4E-A657-45672897EC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76CE"/>
  </w:style>
  <w:style w:type="paragraph" w:styleId="Heading1">
    <w:name w:val="heading 1"/>
    <w:basedOn w:val="Normal"/>
    <w:next w:val="Normal"/>
    <w:link w:val="Heading1Char"/>
    <w:uiPriority w:val="99"/>
    <w:qFormat/>
    <w:rsid w:val="0082153A"/>
    <w:pPr>
      <w:keepNext/>
      <w:keepLines/>
      <w:spacing w:before="240"/>
      <w:outlineLvl w:val="0"/>
    </w:pPr>
    <w:rPr>
      <w:rFonts w:asciiTheme="majorHAnsi" w:eastAsiaTheme="majorEastAsia" w:hAnsiTheme="majorHAnsi" w:cstheme="majorBidi"/>
      <w:color w:val="2F5496" w:themeColor="accent1" w:themeShade="BF"/>
      <w:kern w:val="0"/>
      <w:sz w:val="32"/>
      <w:szCs w:val="32"/>
      <w:lang w:eastAsia="en-GB"/>
      <w14:ligatures w14:val="none"/>
    </w:rPr>
  </w:style>
  <w:style w:type="paragraph" w:styleId="Heading2">
    <w:name w:val="heading 2"/>
    <w:basedOn w:val="Normal"/>
    <w:next w:val="Normal"/>
    <w:link w:val="Heading2Char"/>
    <w:uiPriority w:val="9"/>
    <w:semiHidden/>
    <w:unhideWhenUsed/>
    <w:qFormat/>
    <w:rsid w:val="00EE2AC6"/>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9"/>
    <w:qFormat/>
    <w:rsid w:val="00D47F19"/>
    <w:pPr>
      <w:keepNext/>
      <w:spacing w:before="240" w:after="60"/>
      <w:outlineLvl w:val="3"/>
    </w:pPr>
    <w:rPr>
      <w:rFonts w:ascii="Times New Roman" w:eastAsia="Times New Roman" w:hAnsi="Times New Roman" w:cs="Times New Roman"/>
      <w:b/>
      <w:bCs/>
      <w:kern w:val="0"/>
      <w:sz w:val="28"/>
      <w:szCs w:val="28"/>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E408A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9"/>
    <w:rsid w:val="0082153A"/>
    <w:rPr>
      <w:rFonts w:asciiTheme="majorHAnsi" w:eastAsiaTheme="majorEastAsia" w:hAnsiTheme="majorHAnsi" w:cstheme="majorBidi"/>
      <w:color w:val="2F5496" w:themeColor="accent1" w:themeShade="BF"/>
      <w:kern w:val="0"/>
      <w:sz w:val="32"/>
      <w:szCs w:val="32"/>
      <w:lang w:eastAsia="en-GB"/>
      <w14:ligatures w14:val="none"/>
    </w:rPr>
  </w:style>
  <w:style w:type="character" w:styleId="Strong">
    <w:name w:val="Strong"/>
    <w:basedOn w:val="DefaultParagraphFont"/>
    <w:uiPriority w:val="22"/>
    <w:qFormat/>
    <w:rsid w:val="0082153A"/>
    <w:rPr>
      <w:b/>
      <w:bCs/>
    </w:rPr>
  </w:style>
  <w:style w:type="character" w:customStyle="1" w:styleId="Heading2Char">
    <w:name w:val="Heading 2 Char"/>
    <w:basedOn w:val="DefaultParagraphFont"/>
    <w:link w:val="Heading2"/>
    <w:uiPriority w:val="9"/>
    <w:semiHidden/>
    <w:rsid w:val="00EE2AC6"/>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nhideWhenUsed/>
    <w:rsid w:val="00185E93"/>
    <w:rPr>
      <w:color w:val="0563C1" w:themeColor="hyperlink"/>
      <w:u w:val="single"/>
    </w:rPr>
  </w:style>
  <w:style w:type="character" w:styleId="UnresolvedMention">
    <w:name w:val="Unresolved Mention"/>
    <w:basedOn w:val="DefaultParagraphFont"/>
    <w:uiPriority w:val="99"/>
    <w:semiHidden/>
    <w:unhideWhenUsed/>
    <w:rsid w:val="00185E93"/>
    <w:rPr>
      <w:color w:val="605E5C"/>
      <w:shd w:val="clear" w:color="auto" w:fill="E1DFDD"/>
    </w:rPr>
  </w:style>
  <w:style w:type="character" w:styleId="FollowedHyperlink">
    <w:name w:val="FollowedHyperlink"/>
    <w:basedOn w:val="DefaultParagraphFont"/>
    <w:uiPriority w:val="99"/>
    <w:semiHidden/>
    <w:unhideWhenUsed/>
    <w:rsid w:val="001E7120"/>
    <w:rPr>
      <w:color w:val="954F72" w:themeColor="followedHyperlink"/>
      <w:u w:val="single"/>
    </w:rPr>
  </w:style>
  <w:style w:type="paragraph" w:customStyle="1" w:styleId="NormalWeb1">
    <w:name w:val="Normal (Web)1"/>
    <w:basedOn w:val="Normal"/>
    <w:uiPriority w:val="99"/>
    <w:rsid w:val="001E7120"/>
    <w:rPr>
      <w:rFonts w:ascii="Times New Roman" w:eastAsia="Calibri" w:hAnsi="Times New Roman" w:cs="Times New Roman"/>
      <w:kern w:val="0"/>
      <w:lang w:eastAsia="en-GB"/>
      <w14:ligatures w14:val="none"/>
    </w:rPr>
  </w:style>
  <w:style w:type="character" w:customStyle="1" w:styleId="nw1">
    <w:name w:val="nw1"/>
    <w:uiPriority w:val="99"/>
    <w:rsid w:val="001E7120"/>
  </w:style>
  <w:style w:type="paragraph" w:styleId="ListParagraph">
    <w:name w:val="List Paragraph"/>
    <w:basedOn w:val="Normal"/>
    <w:uiPriority w:val="34"/>
    <w:qFormat/>
    <w:rsid w:val="00774864"/>
    <w:pPr>
      <w:ind w:left="720"/>
      <w:contextualSpacing/>
    </w:pPr>
  </w:style>
  <w:style w:type="paragraph" w:styleId="Header">
    <w:name w:val="header"/>
    <w:basedOn w:val="Normal"/>
    <w:link w:val="HeaderChar"/>
    <w:uiPriority w:val="99"/>
    <w:unhideWhenUsed/>
    <w:rsid w:val="00D10F02"/>
    <w:pPr>
      <w:tabs>
        <w:tab w:val="center" w:pos="4513"/>
        <w:tab w:val="right" w:pos="9026"/>
      </w:tabs>
    </w:pPr>
  </w:style>
  <w:style w:type="character" w:customStyle="1" w:styleId="HeaderChar">
    <w:name w:val="Header Char"/>
    <w:basedOn w:val="DefaultParagraphFont"/>
    <w:link w:val="Header"/>
    <w:uiPriority w:val="99"/>
    <w:rsid w:val="00D10F02"/>
  </w:style>
  <w:style w:type="paragraph" w:styleId="Footer">
    <w:name w:val="footer"/>
    <w:basedOn w:val="Normal"/>
    <w:link w:val="FooterChar"/>
    <w:uiPriority w:val="99"/>
    <w:unhideWhenUsed/>
    <w:rsid w:val="00D10F02"/>
    <w:pPr>
      <w:tabs>
        <w:tab w:val="center" w:pos="4513"/>
        <w:tab w:val="right" w:pos="9026"/>
      </w:tabs>
    </w:pPr>
  </w:style>
  <w:style w:type="character" w:customStyle="1" w:styleId="FooterChar">
    <w:name w:val="Footer Char"/>
    <w:basedOn w:val="DefaultParagraphFont"/>
    <w:link w:val="Footer"/>
    <w:uiPriority w:val="99"/>
    <w:rsid w:val="00D10F02"/>
  </w:style>
  <w:style w:type="character" w:styleId="PageNumber">
    <w:name w:val="page number"/>
    <w:basedOn w:val="DefaultParagraphFont"/>
    <w:uiPriority w:val="99"/>
    <w:unhideWhenUsed/>
    <w:rsid w:val="00D10F02"/>
  </w:style>
  <w:style w:type="character" w:customStyle="1" w:styleId="Heading4Char">
    <w:name w:val="Heading 4 Char"/>
    <w:basedOn w:val="DefaultParagraphFont"/>
    <w:link w:val="Heading4"/>
    <w:uiPriority w:val="99"/>
    <w:rsid w:val="00D47F19"/>
    <w:rPr>
      <w:rFonts w:ascii="Times New Roman" w:eastAsia="Times New Roman" w:hAnsi="Times New Roman" w:cs="Times New Roman"/>
      <w:b/>
      <w:bCs/>
      <w:kern w:val="0"/>
      <w:sz w:val="28"/>
      <w:szCs w:val="28"/>
      <w14:ligatures w14:val="none"/>
    </w:rPr>
  </w:style>
  <w:style w:type="paragraph" w:styleId="BodyText2">
    <w:name w:val="Body Text 2"/>
    <w:basedOn w:val="Normal"/>
    <w:link w:val="BodyText2Char"/>
    <w:uiPriority w:val="99"/>
    <w:rsid w:val="00D47F19"/>
    <w:pPr>
      <w:ind w:left="720" w:hanging="720"/>
    </w:pPr>
    <w:rPr>
      <w:rFonts w:ascii="Times New Roman" w:eastAsia="Times New Roman" w:hAnsi="Times New Roman" w:cs="Times New Roman"/>
      <w:b/>
      <w:bCs/>
      <w:kern w:val="0"/>
      <w:sz w:val="22"/>
      <w:szCs w:val="22"/>
      <w14:ligatures w14:val="none"/>
    </w:rPr>
  </w:style>
  <w:style w:type="character" w:customStyle="1" w:styleId="BodyText2Char">
    <w:name w:val="Body Text 2 Char"/>
    <w:basedOn w:val="DefaultParagraphFont"/>
    <w:link w:val="BodyText2"/>
    <w:uiPriority w:val="99"/>
    <w:rsid w:val="00D47F19"/>
    <w:rPr>
      <w:rFonts w:ascii="Times New Roman" w:eastAsia="Times New Roman" w:hAnsi="Times New Roman" w:cs="Times New Roman"/>
      <w:b/>
      <w:bCs/>
      <w:kern w:val="0"/>
      <w:sz w:val="22"/>
      <w:szCs w:val="22"/>
      <w14:ligatures w14:val="none"/>
    </w:rPr>
  </w:style>
  <w:style w:type="paragraph" w:customStyle="1" w:styleId="deannah1">
    <w:name w:val="deannah1"/>
    <w:basedOn w:val="Normal"/>
    <w:uiPriority w:val="99"/>
    <w:rsid w:val="00D47F19"/>
    <w:pPr>
      <w:keepNext/>
      <w:spacing w:after="240"/>
    </w:pPr>
    <w:rPr>
      <w:rFonts w:ascii="Times New Roman" w:eastAsia="Times New Roman" w:hAnsi="Times New Roman" w:cs="Times New Roman"/>
      <w:b/>
      <w:bCs/>
      <w:kern w:val="0"/>
      <w14:ligatures w14:val="none"/>
    </w:rPr>
  </w:style>
  <w:style w:type="paragraph" w:styleId="BalloonText">
    <w:name w:val="Balloon Text"/>
    <w:basedOn w:val="Normal"/>
    <w:link w:val="BalloonTextChar"/>
    <w:uiPriority w:val="99"/>
    <w:semiHidden/>
    <w:rsid w:val="00D47F19"/>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D47F19"/>
    <w:rPr>
      <w:rFonts w:ascii="Tahoma" w:eastAsia="Times New Roman" w:hAnsi="Tahoma" w:cs="Tahoma"/>
      <w:kern w:val="0"/>
      <w:sz w:val="16"/>
      <w:szCs w:val="16"/>
      <w14:ligatures w14:val="none"/>
    </w:rPr>
  </w:style>
  <w:style w:type="table" w:styleId="TableGrid">
    <w:name w:val="Table Grid"/>
    <w:basedOn w:val="TableNormal"/>
    <w:rsid w:val="00D47F19"/>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D47F19"/>
    <w:rPr>
      <w:color w:val="535353"/>
      <w:u w:val="single"/>
      <w:effect w:val="none"/>
    </w:rPr>
  </w:style>
  <w:style w:type="character" w:styleId="CommentReference">
    <w:name w:val="annotation reference"/>
    <w:uiPriority w:val="99"/>
    <w:semiHidden/>
    <w:unhideWhenUsed/>
    <w:rsid w:val="00D47F19"/>
    <w:rPr>
      <w:sz w:val="16"/>
      <w:szCs w:val="16"/>
    </w:rPr>
  </w:style>
  <w:style w:type="paragraph" w:styleId="CommentText">
    <w:name w:val="annotation text"/>
    <w:basedOn w:val="Normal"/>
    <w:link w:val="CommentTextChar"/>
    <w:uiPriority w:val="99"/>
    <w:semiHidden/>
    <w:unhideWhenUsed/>
    <w:rsid w:val="00D47F19"/>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semiHidden/>
    <w:rsid w:val="00D47F19"/>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D47F19"/>
    <w:rPr>
      <w:b/>
      <w:bCs/>
    </w:rPr>
  </w:style>
  <w:style w:type="character" w:customStyle="1" w:styleId="CommentSubjectChar">
    <w:name w:val="Comment Subject Char"/>
    <w:basedOn w:val="CommentTextChar"/>
    <w:link w:val="CommentSubject"/>
    <w:uiPriority w:val="99"/>
    <w:semiHidden/>
    <w:rsid w:val="00D47F19"/>
    <w:rPr>
      <w:rFonts w:ascii="Times New Roman" w:eastAsia="Times New Roman" w:hAnsi="Times New Roman" w:cs="Times New Roman"/>
      <w:b/>
      <w:bCs/>
      <w:kern w:val="0"/>
      <w:sz w:val="20"/>
      <w:szCs w:val="20"/>
      <w14:ligatures w14:val="none"/>
    </w:rPr>
  </w:style>
  <w:style w:type="paragraph" w:customStyle="1" w:styleId="paragraph">
    <w:name w:val="paragraph"/>
    <w:basedOn w:val="Normal"/>
    <w:rsid w:val="00D47F19"/>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D47F19"/>
  </w:style>
  <w:style w:type="character" w:customStyle="1" w:styleId="eop">
    <w:name w:val="eop"/>
    <w:basedOn w:val="DefaultParagraphFont"/>
    <w:rsid w:val="00D47F19"/>
  </w:style>
  <w:style w:type="character" w:customStyle="1" w:styleId="apple-converted-space">
    <w:name w:val="apple-converted-space"/>
    <w:basedOn w:val="DefaultParagraphFont"/>
    <w:rsid w:val="007468B1"/>
  </w:style>
  <w:style w:type="table" w:styleId="GridTable1Light-Accent6">
    <w:name w:val="Grid Table 1 Light Accent 6"/>
    <w:basedOn w:val="TableNormal"/>
    <w:uiPriority w:val="46"/>
    <w:rsid w:val="008121B7"/>
    <w:tblPr>
      <w:tblStyleRowBandSize w:val="1"/>
      <w:tblStyleColBandSize w:val="1"/>
      <w:tblBorders>
        <w:top w:val="single" w:sz="4" w:space="0" w:color="C5E0B3" w:themeColor="accent6" w:themeTint="66"/>
        <w:left w:val="single" w:sz="4" w:space="0" w:color="C5E0B3" w:themeColor="accent6" w:themeTint="66"/>
        <w:bottom w:val="single" w:sz="4" w:space="0" w:color="C5E0B3" w:themeColor="accent6" w:themeTint="66"/>
        <w:right w:val="single" w:sz="4" w:space="0" w:color="C5E0B3" w:themeColor="accent6" w:themeTint="66"/>
        <w:insideH w:val="single" w:sz="4" w:space="0" w:color="C5E0B3" w:themeColor="accent6" w:themeTint="66"/>
        <w:insideV w:val="single" w:sz="4" w:space="0" w:color="C5E0B3" w:themeColor="accent6" w:themeTint="66"/>
      </w:tblBorders>
    </w:tblPr>
    <w:tblStylePr w:type="firstRow">
      <w:rPr>
        <w:b/>
        <w:bCs/>
      </w:rPr>
      <w:tblPr/>
      <w:tcPr>
        <w:tcBorders>
          <w:bottom w:val="single" w:sz="12" w:space="0" w:color="A8D08D" w:themeColor="accent6" w:themeTint="99"/>
        </w:tcBorders>
      </w:tcPr>
    </w:tblStylePr>
    <w:tblStylePr w:type="lastRow">
      <w:rPr>
        <w:b/>
        <w:bCs/>
      </w:rPr>
      <w:tblPr/>
      <w:tcPr>
        <w:tcBorders>
          <w:top w:val="double" w:sz="2" w:space="0" w:color="A8D08D" w:themeColor="accent6" w:themeTint="99"/>
        </w:tcBorders>
      </w:tcPr>
    </w:tblStylePr>
    <w:tblStylePr w:type="firstCol">
      <w:rPr>
        <w:b/>
        <w:bCs/>
      </w:rPr>
    </w:tblStylePr>
    <w:tblStylePr w:type="lastCol">
      <w:rPr>
        <w:b/>
        <w:bCs/>
      </w:rPr>
    </w:tblStylePr>
  </w:style>
  <w:style w:type="character" w:customStyle="1" w:styleId="first-token">
    <w:name w:val="first-token"/>
    <w:basedOn w:val="DefaultParagraphFont"/>
    <w:rsid w:val="00AC1DDB"/>
  </w:style>
  <w:style w:type="table" w:styleId="GridTable2-Accent6">
    <w:name w:val="Grid Table 2 Accent 6"/>
    <w:basedOn w:val="TableNormal"/>
    <w:uiPriority w:val="47"/>
    <w:rsid w:val="00BD6D50"/>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0217141">
      <w:bodyDiv w:val="1"/>
      <w:marLeft w:val="0"/>
      <w:marRight w:val="0"/>
      <w:marTop w:val="0"/>
      <w:marBottom w:val="0"/>
      <w:divBdr>
        <w:top w:val="none" w:sz="0" w:space="0" w:color="auto"/>
        <w:left w:val="none" w:sz="0" w:space="0" w:color="auto"/>
        <w:bottom w:val="none" w:sz="0" w:space="0" w:color="auto"/>
        <w:right w:val="none" w:sz="0" w:space="0" w:color="auto"/>
      </w:divBdr>
    </w:div>
    <w:div w:id="193539836">
      <w:bodyDiv w:val="1"/>
      <w:marLeft w:val="0"/>
      <w:marRight w:val="0"/>
      <w:marTop w:val="0"/>
      <w:marBottom w:val="0"/>
      <w:divBdr>
        <w:top w:val="none" w:sz="0" w:space="0" w:color="auto"/>
        <w:left w:val="none" w:sz="0" w:space="0" w:color="auto"/>
        <w:bottom w:val="none" w:sz="0" w:space="0" w:color="auto"/>
        <w:right w:val="none" w:sz="0" w:space="0" w:color="auto"/>
      </w:divBdr>
    </w:div>
    <w:div w:id="201595874">
      <w:bodyDiv w:val="1"/>
      <w:marLeft w:val="0"/>
      <w:marRight w:val="0"/>
      <w:marTop w:val="0"/>
      <w:marBottom w:val="0"/>
      <w:divBdr>
        <w:top w:val="none" w:sz="0" w:space="0" w:color="auto"/>
        <w:left w:val="none" w:sz="0" w:space="0" w:color="auto"/>
        <w:bottom w:val="none" w:sz="0" w:space="0" w:color="auto"/>
        <w:right w:val="none" w:sz="0" w:space="0" w:color="auto"/>
      </w:divBdr>
    </w:div>
    <w:div w:id="254941655">
      <w:bodyDiv w:val="1"/>
      <w:marLeft w:val="0"/>
      <w:marRight w:val="0"/>
      <w:marTop w:val="0"/>
      <w:marBottom w:val="0"/>
      <w:divBdr>
        <w:top w:val="none" w:sz="0" w:space="0" w:color="auto"/>
        <w:left w:val="none" w:sz="0" w:space="0" w:color="auto"/>
        <w:bottom w:val="none" w:sz="0" w:space="0" w:color="auto"/>
        <w:right w:val="none" w:sz="0" w:space="0" w:color="auto"/>
      </w:divBdr>
      <w:divsChild>
        <w:div w:id="1863278993">
          <w:marLeft w:val="0"/>
          <w:marRight w:val="0"/>
          <w:marTop w:val="0"/>
          <w:marBottom w:val="0"/>
          <w:divBdr>
            <w:top w:val="none" w:sz="0" w:space="0" w:color="auto"/>
            <w:left w:val="none" w:sz="0" w:space="0" w:color="auto"/>
            <w:bottom w:val="none" w:sz="0" w:space="0" w:color="auto"/>
            <w:right w:val="none" w:sz="0" w:space="0" w:color="auto"/>
          </w:divBdr>
          <w:divsChild>
            <w:div w:id="329455784">
              <w:marLeft w:val="0"/>
              <w:marRight w:val="0"/>
              <w:marTop w:val="0"/>
              <w:marBottom w:val="0"/>
              <w:divBdr>
                <w:top w:val="none" w:sz="0" w:space="0" w:color="auto"/>
                <w:left w:val="none" w:sz="0" w:space="0" w:color="auto"/>
                <w:bottom w:val="none" w:sz="0" w:space="0" w:color="auto"/>
                <w:right w:val="none" w:sz="0" w:space="0" w:color="auto"/>
              </w:divBdr>
              <w:divsChild>
                <w:div w:id="168713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828144">
      <w:bodyDiv w:val="1"/>
      <w:marLeft w:val="0"/>
      <w:marRight w:val="0"/>
      <w:marTop w:val="0"/>
      <w:marBottom w:val="0"/>
      <w:divBdr>
        <w:top w:val="none" w:sz="0" w:space="0" w:color="auto"/>
        <w:left w:val="none" w:sz="0" w:space="0" w:color="auto"/>
        <w:bottom w:val="none" w:sz="0" w:space="0" w:color="auto"/>
        <w:right w:val="none" w:sz="0" w:space="0" w:color="auto"/>
      </w:divBdr>
      <w:divsChild>
        <w:div w:id="582228848">
          <w:marLeft w:val="0"/>
          <w:marRight w:val="0"/>
          <w:marTop w:val="0"/>
          <w:marBottom w:val="0"/>
          <w:divBdr>
            <w:top w:val="none" w:sz="0" w:space="0" w:color="auto"/>
            <w:left w:val="none" w:sz="0" w:space="0" w:color="auto"/>
            <w:bottom w:val="none" w:sz="0" w:space="0" w:color="auto"/>
            <w:right w:val="none" w:sz="0" w:space="0" w:color="auto"/>
          </w:divBdr>
          <w:divsChild>
            <w:div w:id="900562076">
              <w:marLeft w:val="0"/>
              <w:marRight w:val="0"/>
              <w:marTop w:val="0"/>
              <w:marBottom w:val="0"/>
              <w:divBdr>
                <w:top w:val="none" w:sz="0" w:space="0" w:color="auto"/>
                <w:left w:val="none" w:sz="0" w:space="0" w:color="auto"/>
                <w:bottom w:val="none" w:sz="0" w:space="0" w:color="auto"/>
                <w:right w:val="none" w:sz="0" w:space="0" w:color="auto"/>
              </w:divBdr>
              <w:divsChild>
                <w:div w:id="1527715022">
                  <w:marLeft w:val="0"/>
                  <w:marRight w:val="0"/>
                  <w:marTop w:val="0"/>
                  <w:marBottom w:val="0"/>
                  <w:divBdr>
                    <w:top w:val="none" w:sz="0" w:space="0" w:color="auto"/>
                    <w:left w:val="none" w:sz="0" w:space="0" w:color="auto"/>
                    <w:bottom w:val="none" w:sz="0" w:space="0" w:color="auto"/>
                    <w:right w:val="none" w:sz="0" w:space="0" w:color="auto"/>
                  </w:divBdr>
                  <w:divsChild>
                    <w:div w:id="1309552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3499779">
      <w:bodyDiv w:val="1"/>
      <w:marLeft w:val="0"/>
      <w:marRight w:val="0"/>
      <w:marTop w:val="0"/>
      <w:marBottom w:val="0"/>
      <w:divBdr>
        <w:top w:val="none" w:sz="0" w:space="0" w:color="auto"/>
        <w:left w:val="none" w:sz="0" w:space="0" w:color="auto"/>
        <w:bottom w:val="none" w:sz="0" w:space="0" w:color="auto"/>
        <w:right w:val="none" w:sz="0" w:space="0" w:color="auto"/>
      </w:divBdr>
      <w:divsChild>
        <w:div w:id="417824124">
          <w:marLeft w:val="0"/>
          <w:marRight w:val="0"/>
          <w:marTop w:val="0"/>
          <w:marBottom w:val="0"/>
          <w:divBdr>
            <w:top w:val="none" w:sz="0" w:space="0" w:color="auto"/>
            <w:left w:val="none" w:sz="0" w:space="0" w:color="auto"/>
            <w:bottom w:val="none" w:sz="0" w:space="0" w:color="auto"/>
            <w:right w:val="none" w:sz="0" w:space="0" w:color="auto"/>
          </w:divBdr>
          <w:divsChild>
            <w:div w:id="1670714090">
              <w:marLeft w:val="0"/>
              <w:marRight w:val="0"/>
              <w:marTop w:val="0"/>
              <w:marBottom w:val="0"/>
              <w:divBdr>
                <w:top w:val="none" w:sz="0" w:space="0" w:color="auto"/>
                <w:left w:val="none" w:sz="0" w:space="0" w:color="auto"/>
                <w:bottom w:val="none" w:sz="0" w:space="0" w:color="auto"/>
                <w:right w:val="none" w:sz="0" w:space="0" w:color="auto"/>
              </w:divBdr>
              <w:divsChild>
                <w:div w:id="34820855">
                  <w:marLeft w:val="0"/>
                  <w:marRight w:val="0"/>
                  <w:marTop w:val="0"/>
                  <w:marBottom w:val="0"/>
                  <w:divBdr>
                    <w:top w:val="none" w:sz="0" w:space="0" w:color="auto"/>
                    <w:left w:val="none" w:sz="0" w:space="0" w:color="auto"/>
                    <w:bottom w:val="none" w:sz="0" w:space="0" w:color="auto"/>
                    <w:right w:val="none" w:sz="0" w:space="0" w:color="auto"/>
                  </w:divBdr>
                  <w:divsChild>
                    <w:div w:id="20630893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686943">
      <w:bodyDiv w:val="1"/>
      <w:marLeft w:val="0"/>
      <w:marRight w:val="0"/>
      <w:marTop w:val="0"/>
      <w:marBottom w:val="0"/>
      <w:divBdr>
        <w:top w:val="none" w:sz="0" w:space="0" w:color="auto"/>
        <w:left w:val="none" w:sz="0" w:space="0" w:color="auto"/>
        <w:bottom w:val="none" w:sz="0" w:space="0" w:color="auto"/>
        <w:right w:val="none" w:sz="0" w:space="0" w:color="auto"/>
      </w:divBdr>
      <w:divsChild>
        <w:div w:id="1015958254">
          <w:marLeft w:val="0"/>
          <w:marRight w:val="0"/>
          <w:marTop w:val="0"/>
          <w:marBottom w:val="0"/>
          <w:divBdr>
            <w:top w:val="none" w:sz="0" w:space="0" w:color="auto"/>
            <w:left w:val="none" w:sz="0" w:space="0" w:color="auto"/>
            <w:bottom w:val="none" w:sz="0" w:space="0" w:color="auto"/>
            <w:right w:val="none" w:sz="0" w:space="0" w:color="auto"/>
          </w:divBdr>
          <w:divsChild>
            <w:div w:id="585892162">
              <w:marLeft w:val="0"/>
              <w:marRight w:val="0"/>
              <w:marTop w:val="0"/>
              <w:marBottom w:val="0"/>
              <w:divBdr>
                <w:top w:val="none" w:sz="0" w:space="0" w:color="auto"/>
                <w:left w:val="none" w:sz="0" w:space="0" w:color="auto"/>
                <w:bottom w:val="none" w:sz="0" w:space="0" w:color="auto"/>
                <w:right w:val="none" w:sz="0" w:space="0" w:color="auto"/>
              </w:divBdr>
              <w:divsChild>
                <w:div w:id="426923452">
                  <w:marLeft w:val="0"/>
                  <w:marRight w:val="0"/>
                  <w:marTop w:val="0"/>
                  <w:marBottom w:val="0"/>
                  <w:divBdr>
                    <w:top w:val="none" w:sz="0" w:space="0" w:color="auto"/>
                    <w:left w:val="none" w:sz="0" w:space="0" w:color="auto"/>
                    <w:bottom w:val="none" w:sz="0" w:space="0" w:color="auto"/>
                    <w:right w:val="none" w:sz="0" w:space="0" w:color="auto"/>
                  </w:divBdr>
                  <w:divsChild>
                    <w:div w:id="19764431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2718227">
      <w:bodyDiv w:val="1"/>
      <w:marLeft w:val="0"/>
      <w:marRight w:val="0"/>
      <w:marTop w:val="0"/>
      <w:marBottom w:val="0"/>
      <w:divBdr>
        <w:top w:val="none" w:sz="0" w:space="0" w:color="auto"/>
        <w:left w:val="none" w:sz="0" w:space="0" w:color="auto"/>
        <w:bottom w:val="none" w:sz="0" w:space="0" w:color="auto"/>
        <w:right w:val="none" w:sz="0" w:space="0" w:color="auto"/>
      </w:divBdr>
    </w:div>
    <w:div w:id="478770700">
      <w:bodyDiv w:val="1"/>
      <w:marLeft w:val="0"/>
      <w:marRight w:val="0"/>
      <w:marTop w:val="0"/>
      <w:marBottom w:val="0"/>
      <w:divBdr>
        <w:top w:val="none" w:sz="0" w:space="0" w:color="auto"/>
        <w:left w:val="none" w:sz="0" w:space="0" w:color="auto"/>
        <w:bottom w:val="none" w:sz="0" w:space="0" w:color="auto"/>
        <w:right w:val="none" w:sz="0" w:space="0" w:color="auto"/>
      </w:divBdr>
    </w:div>
    <w:div w:id="502938724">
      <w:bodyDiv w:val="1"/>
      <w:marLeft w:val="0"/>
      <w:marRight w:val="0"/>
      <w:marTop w:val="0"/>
      <w:marBottom w:val="0"/>
      <w:divBdr>
        <w:top w:val="none" w:sz="0" w:space="0" w:color="auto"/>
        <w:left w:val="none" w:sz="0" w:space="0" w:color="auto"/>
        <w:bottom w:val="none" w:sz="0" w:space="0" w:color="auto"/>
        <w:right w:val="none" w:sz="0" w:space="0" w:color="auto"/>
      </w:divBdr>
      <w:divsChild>
        <w:div w:id="1874264248">
          <w:marLeft w:val="0"/>
          <w:marRight w:val="0"/>
          <w:marTop w:val="0"/>
          <w:marBottom w:val="0"/>
          <w:divBdr>
            <w:top w:val="none" w:sz="0" w:space="0" w:color="auto"/>
            <w:left w:val="none" w:sz="0" w:space="0" w:color="auto"/>
            <w:bottom w:val="none" w:sz="0" w:space="0" w:color="auto"/>
            <w:right w:val="none" w:sz="0" w:space="0" w:color="auto"/>
          </w:divBdr>
          <w:divsChild>
            <w:div w:id="1784110873">
              <w:marLeft w:val="0"/>
              <w:marRight w:val="0"/>
              <w:marTop w:val="0"/>
              <w:marBottom w:val="0"/>
              <w:divBdr>
                <w:top w:val="none" w:sz="0" w:space="0" w:color="auto"/>
                <w:left w:val="none" w:sz="0" w:space="0" w:color="auto"/>
                <w:bottom w:val="none" w:sz="0" w:space="0" w:color="auto"/>
                <w:right w:val="none" w:sz="0" w:space="0" w:color="auto"/>
              </w:divBdr>
              <w:divsChild>
                <w:div w:id="830021080">
                  <w:marLeft w:val="0"/>
                  <w:marRight w:val="0"/>
                  <w:marTop w:val="0"/>
                  <w:marBottom w:val="0"/>
                  <w:divBdr>
                    <w:top w:val="none" w:sz="0" w:space="0" w:color="auto"/>
                    <w:left w:val="none" w:sz="0" w:space="0" w:color="auto"/>
                    <w:bottom w:val="none" w:sz="0" w:space="0" w:color="auto"/>
                    <w:right w:val="none" w:sz="0" w:space="0" w:color="auto"/>
                  </w:divBdr>
                  <w:divsChild>
                    <w:div w:id="50420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17348974">
      <w:bodyDiv w:val="1"/>
      <w:marLeft w:val="0"/>
      <w:marRight w:val="0"/>
      <w:marTop w:val="0"/>
      <w:marBottom w:val="0"/>
      <w:divBdr>
        <w:top w:val="none" w:sz="0" w:space="0" w:color="auto"/>
        <w:left w:val="none" w:sz="0" w:space="0" w:color="auto"/>
        <w:bottom w:val="none" w:sz="0" w:space="0" w:color="auto"/>
        <w:right w:val="none" w:sz="0" w:space="0" w:color="auto"/>
      </w:divBdr>
      <w:divsChild>
        <w:div w:id="269777059">
          <w:marLeft w:val="0"/>
          <w:marRight w:val="0"/>
          <w:marTop w:val="0"/>
          <w:marBottom w:val="0"/>
          <w:divBdr>
            <w:top w:val="none" w:sz="0" w:space="0" w:color="auto"/>
            <w:left w:val="none" w:sz="0" w:space="0" w:color="auto"/>
            <w:bottom w:val="none" w:sz="0" w:space="0" w:color="auto"/>
            <w:right w:val="none" w:sz="0" w:space="0" w:color="auto"/>
          </w:divBdr>
          <w:divsChild>
            <w:div w:id="2029796026">
              <w:marLeft w:val="0"/>
              <w:marRight w:val="0"/>
              <w:marTop w:val="0"/>
              <w:marBottom w:val="0"/>
              <w:divBdr>
                <w:top w:val="none" w:sz="0" w:space="0" w:color="auto"/>
                <w:left w:val="none" w:sz="0" w:space="0" w:color="auto"/>
                <w:bottom w:val="none" w:sz="0" w:space="0" w:color="auto"/>
                <w:right w:val="none" w:sz="0" w:space="0" w:color="auto"/>
              </w:divBdr>
              <w:divsChild>
                <w:div w:id="1825664743">
                  <w:marLeft w:val="0"/>
                  <w:marRight w:val="0"/>
                  <w:marTop w:val="0"/>
                  <w:marBottom w:val="0"/>
                  <w:divBdr>
                    <w:top w:val="none" w:sz="0" w:space="0" w:color="auto"/>
                    <w:left w:val="none" w:sz="0" w:space="0" w:color="auto"/>
                    <w:bottom w:val="none" w:sz="0" w:space="0" w:color="auto"/>
                    <w:right w:val="none" w:sz="0" w:space="0" w:color="auto"/>
                  </w:divBdr>
                  <w:divsChild>
                    <w:div w:id="1810436503">
                      <w:marLeft w:val="0"/>
                      <w:marRight w:val="0"/>
                      <w:marTop w:val="0"/>
                      <w:marBottom w:val="0"/>
                      <w:divBdr>
                        <w:top w:val="none" w:sz="0" w:space="0" w:color="auto"/>
                        <w:left w:val="none" w:sz="0" w:space="0" w:color="auto"/>
                        <w:bottom w:val="none" w:sz="0" w:space="0" w:color="auto"/>
                        <w:right w:val="none" w:sz="0" w:space="0" w:color="auto"/>
                      </w:divBdr>
                    </w:div>
                  </w:divsChild>
                </w:div>
                <w:div w:id="994258590">
                  <w:marLeft w:val="0"/>
                  <w:marRight w:val="0"/>
                  <w:marTop w:val="0"/>
                  <w:marBottom w:val="0"/>
                  <w:divBdr>
                    <w:top w:val="none" w:sz="0" w:space="0" w:color="auto"/>
                    <w:left w:val="none" w:sz="0" w:space="0" w:color="auto"/>
                    <w:bottom w:val="none" w:sz="0" w:space="0" w:color="auto"/>
                    <w:right w:val="none" w:sz="0" w:space="0" w:color="auto"/>
                  </w:divBdr>
                  <w:divsChild>
                    <w:div w:id="1329941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8013541">
      <w:bodyDiv w:val="1"/>
      <w:marLeft w:val="0"/>
      <w:marRight w:val="0"/>
      <w:marTop w:val="0"/>
      <w:marBottom w:val="0"/>
      <w:divBdr>
        <w:top w:val="none" w:sz="0" w:space="0" w:color="auto"/>
        <w:left w:val="none" w:sz="0" w:space="0" w:color="auto"/>
        <w:bottom w:val="none" w:sz="0" w:space="0" w:color="auto"/>
        <w:right w:val="none" w:sz="0" w:space="0" w:color="auto"/>
      </w:divBdr>
      <w:divsChild>
        <w:div w:id="914823974">
          <w:marLeft w:val="0"/>
          <w:marRight w:val="0"/>
          <w:marTop w:val="0"/>
          <w:marBottom w:val="0"/>
          <w:divBdr>
            <w:top w:val="none" w:sz="0" w:space="0" w:color="auto"/>
            <w:left w:val="none" w:sz="0" w:space="0" w:color="auto"/>
            <w:bottom w:val="none" w:sz="0" w:space="0" w:color="auto"/>
            <w:right w:val="none" w:sz="0" w:space="0" w:color="auto"/>
          </w:divBdr>
          <w:divsChild>
            <w:div w:id="427820157">
              <w:marLeft w:val="0"/>
              <w:marRight w:val="0"/>
              <w:marTop w:val="0"/>
              <w:marBottom w:val="0"/>
              <w:divBdr>
                <w:top w:val="none" w:sz="0" w:space="0" w:color="auto"/>
                <w:left w:val="none" w:sz="0" w:space="0" w:color="auto"/>
                <w:bottom w:val="none" w:sz="0" w:space="0" w:color="auto"/>
                <w:right w:val="none" w:sz="0" w:space="0" w:color="auto"/>
              </w:divBdr>
              <w:divsChild>
                <w:div w:id="2135364313">
                  <w:marLeft w:val="0"/>
                  <w:marRight w:val="0"/>
                  <w:marTop w:val="0"/>
                  <w:marBottom w:val="0"/>
                  <w:divBdr>
                    <w:top w:val="none" w:sz="0" w:space="0" w:color="auto"/>
                    <w:left w:val="none" w:sz="0" w:space="0" w:color="auto"/>
                    <w:bottom w:val="none" w:sz="0" w:space="0" w:color="auto"/>
                    <w:right w:val="none" w:sz="0" w:space="0" w:color="auto"/>
                  </w:divBdr>
                  <w:divsChild>
                    <w:div w:id="1152528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93364333">
      <w:bodyDiv w:val="1"/>
      <w:marLeft w:val="0"/>
      <w:marRight w:val="0"/>
      <w:marTop w:val="0"/>
      <w:marBottom w:val="0"/>
      <w:divBdr>
        <w:top w:val="none" w:sz="0" w:space="0" w:color="auto"/>
        <w:left w:val="none" w:sz="0" w:space="0" w:color="auto"/>
        <w:bottom w:val="none" w:sz="0" w:space="0" w:color="auto"/>
        <w:right w:val="none" w:sz="0" w:space="0" w:color="auto"/>
      </w:divBdr>
      <w:divsChild>
        <w:div w:id="2043939912">
          <w:marLeft w:val="0"/>
          <w:marRight w:val="0"/>
          <w:marTop w:val="0"/>
          <w:marBottom w:val="0"/>
          <w:divBdr>
            <w:top w:val="none" w:sz="0" w:space="0" w:color="auto"/>
            <w:left w:val="none" w:sz="0" w:space="0" w:color="auto"/>
            <w:bottom w:val="none" w:sz="0" w:space="0" w:color="auto"/>
            <w:right w:val="none" w:sz="0" w:space="0" w:color="auto"/>
          </w:divBdr>
          <w:divsChild>
            <w:div w:id="303781447">
              <w:marLeft w:val="0"/>
              <w:marRight w:val="0"/>
              <w:marTop w:val="0"/>
              <w:marBottom w:val="0"/>
              <w:divBdr>
                <w:top w:val="none" w:sz="0" w:space="0" w:color="auto"/>
                <w:left w:val="none" w:sz="0" w:space="0" w:color="auto"/>
                <w:bottom w:val="none" w:sz="0" w:space="0" w:color="auto"/>
                <w:right w:val="none" w:sz="0" w:space="0" w:color="auto"/>
              </w:divBdr>
              <w:divsChild>
                <w:div w:id="710811531">
                  <w:marLeft w:val="0"/>
                  <w:marRight w:val="0"/>
                  <w:marTop w:val="0"/>
                  <w:marBottom w:val="0"/>
                  <w:divBdr>
                    <w:top w:val="none" w:sz="0" w:space="0" w:color="auto"/>
                    <w:left w:val="none" w:sz="0" w:space="0" w:color="auto"/>
                    <w:bottom w:val="none" w:sz="0" w:space="0" w:color="auto"/>
                    <w:right w:val="none" w:sz="0" w:space="0" w:color="auto"/>
                  </w:divBdr>
                  <w:divsChild>
                    <w:div w:id="288165460">
                      <w:marLeft w:val="0"/>
                      <w:marRight w:val="0"/>
                      <w:marTop w:val="0"/>
                      <w:marBottom w:val="0"/>
                      <w:divBdr>
                        <w:top w:val="none" w:sz="0" w:space="0" w:color="auto"/>
                        <w:left w:val="none" w:sz="0" w:space="0" w:color="auto"/>
                        <w:bottom w:val="none" w:sz="0" w:space="0" w:color="auto"/>
                        <w:right w:val="none" w:sz="0" w:space="0" w:color="auto"/>
                      </w:divBdr>
                    </w:div>
                  </w:divsChild>
                </w:div>
                <w:div w:id="348874556">
                  <w:marLeft w:val="0"/>
                  <w:marRight w:val="0"/>
                  <w:marTop w:val="0"/>
                  <w:marBottom w:val="0"/>
                  <w:divBdr>
                    <w:top w:val="none" w:sz="0" w:space="0" w:color="auto"/>
                    <w:left w:val="none" w:sz="0" w:space="0" w:color="auto"/>
                    <w:bottom w:val="none" w:sz="0" w:space="0" w:color="auto"/>
                    <w:right w:val="none" w:sz="0" w:space="0" w:color="auto"/>
                  </w:divBdr>
                  <w:divsChild>
                    <w:div w:id="885216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4092341">
      <w:bodyDiv w:val="1"/>
      <w:marLeft w:val="0"/>
      <w:marRight w:val="0"/>
      <w:marTop w:val="0"/>
      <w:marBottom w:val="0"/>
      <w:divBdr>
        <w:top w:val="none" w:sz="0" w:space="0" w:color="auto"/>
        <w:left w:val="none" w:sz="0" w:space="0" w:color="auto"/>
        <w:bottom w:val="none" w:sz="0" w:space="0" w:color="auto"/>
        <w:right w:val="none" w:sz="0" w:space="0" w:color="auto"/>
      </w:divBdr>
      <w:divsChild>
        <w:div w:id="924146445">
          <w:marLeft w:val="0"/>
          <w:marRight w:val="0"/>
          <w:marTop w:val="0"/>
          <w:marBottom w:val="0"/>
          <w:divBdr>
            <w:top w:val="none" w:sz="0" w:space="0" w:color="auto"/>
            <w:left w:val="none" w:sz="0" w:space="0" w:color="auto"/>
            <w:bottom w:val="none" w:sz="0" w:space="0" w:color="auto"/>
            <w:right w:val="none" w:sz="0" w:space="0" w:color="auto"/>
          </w:divBdr>
          <w:divsChild>
            <w:div w:id="1112475860">
              <w:marLeft w:val="0"/>
              <w:marRight w:val="0"/>
              <w:marTop w:val="0"/>
              <w:marBottom w:val="0"/>
              <w:divBdr>
                <w:top w:val="none" w:sz="0" w:space="0" w:color="auto"/>
                <w:left w:val="none" w:sz="0" w:space="0" w:color="auto"/>
                <w:bottom w:val="none" w:sz="0" w:space="0" w:color="auto"/>
                <w:right w:val="none" w:sz="0" w:space="0" w:color="auto"/>
              </w:divBdr>
              <w:divsChild>
                <w:div w:id="919294917">
                  <w:marLeft w:val="0"/>
                  <w:marRight w:val="0"/>
                  <w:marTop w:val="0"/>
                  <w:marBottom w:val="0"/>
                  <w:divBdr>
                    <w:top w:val="none" w:sz="0" w:space="0" w:color="auto"/>
                    <w:left w:val="none" w:sz="0" w:space="0" w:color="auto"/>
                    <w:bottom w:val="none" w:sz="0" w:space="0" w:color="auto"/>
                    <w:right w:val="none" w:sz="0" w:space="0" w:color="auto"/>
                  </w:divBdr>
                  <w:divsChild>
                    <w:div w:id="363941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39195166">
      <w:bodyDiv w:val="1"/>
      <w:marLeft w:val="0"/>
      <w:marRight w:val="0"/>
      <w:marTop w:val="0"/>
      <w:marBottom w:val="0"/>
      <w:divBdr>
        <w:top w:val="none" w:sz="0" w:space="0" w:color="auto"/>
        <w:left w:val="none" w:sz="0" w:space="0" w:color="auto"/>
        <w:bottom w:val="none" w:sz="0" w:space="0" w:color="auto"/>
        <w:right w:val="none" w:sz="0" w:space="0" w:color="auto"/>
      </w:divBdr>
      <w:divsChild>
        <w:div w:id="1068263769">
          <w:marLeft w:val="0"/>
          <w:marRight w:val="0"/>
          <w:marTop w:val="0"/>
          <w:marBottom w:val="0"/>
          <w:divBdr>
            <w:top w:val="none" w:sz="0" w:space="0" w:color="auto"/>
            <w:left w:val="none" w:sz="0" w:space="0" w:color="auto"/>
            <w:bottom w:val="none" w:sz="0" w:space="0" w:color="auto"/>
            <w:right w:val="none" w:sz="0" w:space="0" w:color="auto"/>
          </w:divBdr>
          <w:divsChild>
            <w:div w:id="1209029876">
              <w:marLeft w:val="0"/>
              <w:marRight w:val="0"/>
              <w:marTop w:val="0"/>
              <w:marBottom w:val="0"/>
              <w:divBdr>
                <w:top w:val="none" w:sz="0" w:space="0" w:color="auto"/>
                <w:left w:val="none" w:sz="0" w:space="0" w:color="auto"/>
                <w:bottom w:val="none" w:sz="0" w:space="0" w:color="auto"/>
                <w:right w:val="none" w:sz="0" w:space="0" w:color="auto"/>
              </w:divBdr>
              <w:divsChild>
                <w:div w:id="1100301487">
                  <w:marLeft w:val="0"/>
                  <w:marRight w:val="0"/>
                  <w:marTop w:val="0"/>
                  <w:marBottom w:val="0"/>
                  <w:divBdr>
                    <w:top w:val="none" w:sz="0" w:space="0" w:color="auto"/>
                    <w:left w:val="none" w:sz="0" w:space="0" w:color="auto"/>
                    <w:bottom w:val="none" w:sz="0" w:space="0" w:color="auto"/>
                    <w:right w:val="none" w:sz="0" w:space="0" w:color="auto"/>
                  </w:divBdr>
                  <w:divsChild>
                    <w:div w:id="740176261">
                      <w:marLeft w:val="0"/>
                      <w:marRight w:val="0"/>
                      <w:marTop w:val="0"/>
                      <w:marBottom w:val="0"/>
                      <w:divBdr>
                        <w:top w:val="none" w:sz="0" w:space="0" w:color="auto"/>
                        <w:left w:val="none" w:sz="0" w:space="0" w:color="auto"/>
                        <w:bottom w:val="none" w:sz="0" w:space="0" w:color="auto"/>
                        <w:right w:val="none" w:sz="0" w:space="0" w:color="auto"/>
                      </w:divBdr>
                    </w:div>
                  </w:divsChild>
                </w:div>
                <w:div w:id="1033309634">
                  <w:marLeft w:val="0"/>
                  <w:marRight w:val="0"/>
                  <w:marTop w:val="0"/>
                  <w:marBottom w:val="0"/>
                  <w:divBdr>
                    <w:top w:val="none" w:sz="0" w:space="0" w:color="auto"/>
                    <w:left w:val="none" w:sz="0" w:space="0" w:color="auto"/>
                    <w:bottom w:val="none" w:sz="0" w:space="0" w:color="auto"/>
                    <w:right w:val="none" w:sz="0" w:space="0" w:color="auto"/>
                  </w:divBdr>
                  <w:divsChild>
                    <w:div w:id="212102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4981612">
      <w:bodyDiv w:val="1"/>
      <w:marLeft w:val="0"/>
      <w:marRight w:val="0"/>
      <w:marTop w:val="0"/>
      <w:marBottom w:val="0"/>
      <w:divBdr>
        <w:top w:val="none" w:sz="0" w:space="0" w:color="auto"/>
        <w:left w:val="none" w:sz="0" w:space="0" w:color="auto"/>
        <w:bottom w:val="none" w:sz="0" w:space="0" w:color="auto"/>
        <w:right w:val="none" w:sz="0" w:space="0" w:color="auto"/>
      </w:divBdr>
    </w:div>
    <w:div w:id="779688646">
      <w:bodyDiv w:val="1"/>
      <w:marLeft w:val="0"/>
      <w:marRight w:val="0"/>
      <w:marTop w:val="0"/>
      <w:marBottom w:val="0"/>
      <w:divBdr>
        <w:top w:val="none" w:sz="0" w:space="0" w:color="auto"/>
        <w:left w:val="none" w:sz="0" w:space="0" w:color="auto"/>
        <w:bottom w:val="none" w:sz="0" w:space="0" w:color="auto"/>
        <w:right w:val="none" w:sz="0" w:space="0" w:color="auto"/>
      </w:divBdr>
    </w:div>
    <w:div w:id="799226583">
      <w:bodyDiv w:val="1"/>
      <w:marLeft w:val="0"/>
      <w:marRight w:val="0"/>
      <w:marTop w:val="0"/>
      <w:marBottom w:val="0"/>
      <w:divBdr>
        <w:top w:val="none" w:sz="0" w:space="0" w:color="auto"/>
        <w:left w:val="none" w:sz="0" w:space="0" w:color="auto"/>
        <w:bottom w:val="none" w:sz="0" w:space="0" w:color="auto"/>
        <w:right w:val="none" w:sz="0" w:space="0" w:color="auto"/>
      </w:divBdr>
      <w:divsChild>
        <w:div w:id="2048529911">
          <w:marLeft w:val="0"/>
          <w:marRight w:val="0"/>
          <w:marTop w:val="0"/>
          <w:marBottom w:val="0"/>
          <w:divBdr>
            <w:top w:val="none" w:sz="0" w:space="0" w:color="auto"/>
            <w:left w:val="none" w:sz="0" w:space="0" w:color="auto"/>
            <w:bottom w:val="none" w:sz="0" w:space="0" w:color="auto"/>
            <w:right w:val="none" w:sz="0" w:space="0" w:color="auto"/>
          </w:divBdr>
          <w:divsChild>
            <w:div w:id="1069888899">
              <w:marLeft w:val="0"/>
              <w:marRight w:val="0"/>
              <w:marTop w:val="0"/>
              <w:marBottom w:val="0"/>
              <w:divBdr>
                <w:top w:val="none" w:sz="0" w:space="0" w:color="auto"/>
                <w:left w:val="none" w:sz="0" w:space="0" w:color="auto"/>
                <w:bottom w:val="none" w:sz="0" w:space="0" w:color="auto"/>
                <w:right w:val="none" w:sz="0" w:space="0" w:color="auto"/>
              </w:divBdr>
              <w:divsChild>
                <w:div w:id="246691201">
                  <w:marLeft w:val="0"/>
                  <w:marRight w:val="0"/>
                  <w:marTop w:val="0"/>
                  <w:marBottom w:val="0"/>
                  <w:divBdr>
                    <w:top w:val="none" w:sz="0" w:space="0" w:color="auto"/>
                    <w:left w:val="none" w:sz="0" w:space="0" w:color="auto"/>
                    <w:bottom w:val="none" w:sz="0" w:space="0" w:color="auto"/>
                    <w:right w:val="none" w:sz="0" w:space="0" w:color="auto"/>
                  </w:divBdr>
                  <w:divsChild>
                    <w:div w:id="1167669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31487570">
      <w:bodyDiv w:val="1"/>
      <w:marLeft w:val="0"/>
      <w:marRight w:val="0"/>
      <w:marTop w:val="0"/>
      <w:marBottom w:val="0"/>
      <w:divBdr>
        <w:top w:val="none" w:sz="0" w:space="0" w:color="auto"/>
        <w:left w:val="none" w:sz="0" w:space="0" w:color="auto"/>
        <w:bottom w:val="none" w:sz="0" w:space="0" w:color="auto"/>
        <w:right w:val="none" w:sz="0" w:space="0" w:color="auto"/>
      </w:divBdr>
      <w:divsChild>
        <w:div w:id="109208810">
          <w:marLeft w:val="0"/>
          <w:marRight w:val="0"/>
          <w:marTop w:val="0"/>
          <w:marBottom w:val="0"/>
          <w:divBdr>
            <w:top w:val="none" w:sz="0" w:space="0" w:color="auto"/>
            <w:left w:val="none" w:sz="0" w:space="0" w:color="auto"/>
            <w:bottom w:val="none" w:sz="0" w:space="0" w:color="auto"/>
            <w:right w:val="none" w:sz="0" w:space="0" w:color="auto"/>
          </w:divBdr>
          <w:divsChild>
            <w:div w:id="636034911">
              <w:marLeft w:val="0"/>
              <w:marRight w:val="0"/>
              <w:marTop w:val="0"/>
              <w:marBottom w:val="0"/>
              <w:divBdr>
                <w:top w:val="none" w:sz="0" w:space="0" w:color="auto"/>
                <w:left w:val="none" w:sz="0" w:space="0" w:color="auto"/>
                <w:bottom w:val="none" w:sz="0" w:space="0" w:color="auto"/>
                <w:right w:val="none" w:sz="0" w:space="0" w:color="auto"/>
              </w:divBdr>
              <w:divsChild>
                <w:div w:id="1598169195">
                  <w:marLeft w:val="0"/>
                  <w:marRight w:val="0"/>
                  <w:marTop w:val="0"/>
                  <w:marBottom w:val="0"/>
                  <w:divBdr>
                    <w:top w:val="none" w:sz="0" w:space="0" w:color="auto"/>
                    <w:left w:val="none" w:sz="0" w:space="0" w:color="auto"/>
                    <w:bottom w:val="none" w:sz="0" w:space="0" w:color="auto"/>
                    <w:right w:val="none" w:sz="0" w:space="0" w:color="auto"/>
                  </w:divBdr>
                  <w:divsChild>
                    <w:div w:id="1794908752">
                      <w:marLeft w:val="0"/>
                      <w:marRight w:val="0"/>
                      <w:marTop w:val="0"/>
                      <w:marBottom w:val="0"/>
                      <w:divBdr>
                        <w:top w:val="none" w:sz="0" w:space="0" w:color="auto"/>
                        <w:left w:val="none" w:sz="0" w:space="0" w:color="auto"/>
                        <w:bottom w:val="none" w:sz="0" w:space="0" w:color="auto"/>
                        <w:right w:val="none" w:sz="0" w:space="0" w:color="auto"/>
                      </w:divBdr>
                    </w:div>
                  </w:divsChild>
                </w:div>
                <w:div w:id="659115438">
                  <w:marLeft w:val="0"/>
                  <w:marRight w:val="0"/>
                  <w:marTop w:val="0"/>
                  <w:marBottom w:val="0"/>
                  <w:divBdr>
                    <w:top w:val="none" w:sz="0" w:space="0" w:color="auto"/>
                    <w:left w:val="none" w:sz="0" w:space="0" w:color="auto"/>
                    <w:bottom w:val="none" w:sz="0" w:space="0" w:color="auto"/>
                    <w:right w:val="none" w:sz="0" w:space="0" w:color="auto"/>
                  </w:divBdr>
                  <w:divsChild>
                    <w:div w:id="105901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0087695">
          <w:marLeft w:val="0"/>
          <w:marRight w:val="0"/>
          <w:marTop w:val="0"/>
          <w:marBottom w:val="0"/>
          <w:divBdr>
            <w:top w:val="none" w:sz="0" w:space="0" w:color="auto"/>
            <w:left w:val="none" w:sz="0" w:space="0" w:color="auto"/>
            <w:bottom w:val="none" w:sz="0" w:space="0" w:color="auto"/>
            <w:right w:val="none" w:sz="0" w:space="0" w:color="auto"/>
          </w:divBdr>
          <w:divsChild>
            <w:div w:id="1425300982">
              <w:marLeft w:val="0"/>
              <w:marRight w:val="0"/>
              <w:marTop w:val="0"/>
              <w:marBottom w:val="0"/>
              <w:divBdr>
                <w:top w:val="none" w:sz="0" w:space="0" w:color="auto"/>
                <w:left w:val="none" w:sz="0" w:space="0" w:color="auto"/>
                <w:bottom w:val="none" w:sz="0" w:space="0" w:color="auto"/>
                <w:right w:val="none" w:sz="0" w:space="0" w:color="auto"/>
              </w:divBdr>
              <w:divsChild>
                <w:div w:id="1625232821">
                  <w:marLeft w:val="0"/>
                  <w:marRight w:val="0"/>
                  <w:marTop w:val="0"/>
                  <w:marBottom w:val="0"/>
                  <w:divBdr>
                    <w:top w:val="none" w:sz="0" w:space="0" w:color="auto"/>
                    <w:left w:val="none" w:sz="0" w:space="0" w:color="auto"/>
                    <w:bottom w:val="none" w:sz="0" w:space="0" w:color="auto"/>
                    <w:right w:val="none" w:sz="0" w:space="0" w:color="auto"/>
                  </w:divBdr>
                  <w:divsChild>
                    <w:div w:id="4221456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48911549">
      <w:bodyDiv w:val="1"/>
      <w:marLeft w:val="0"/>
      <w:marRight w:val="0"/>
      <w:marTop w:val="0"/>
      <w:marBottom w:val="0"/>
      <w:divBdr>
        <w:top w:val="none" w:sz="0" w:space="0" w:color="auto"/>
        <w:left w:val="none" w:sz="0" w:space="0" w:color="auto"/>
        <w:bottom w:val="none" w:sz="0" w:space="0" w:color="auto"/>
        <w:right w:val="none" w:sz="0" w:space="0" w:color="auto"/>
      </w:divBdr>
    </w:div>
    <w:div w:id="859660297">
      <w:bodyDiv w:val="1"/>
      <w:marLeft w:val="0"/>
      <w:marRight w:val="0"/>
      <w:marTop w:val="0"/>
      <w:marBottom w:val="0"/>
      <w:divBdr>
        <w:top w:val="none" w:sz="0" w:space="0" w:color="auto"/>
        <w:left w:val="none" w:sz="0" w:space="0" w:color="auto"/>
        <w:bottom w:val="none" w:sz="0" w:space="0" w:color="auto"/>
        <w:right w:val="none" w:sz="0" w:space="0" w:color="auto"/>
      </w:divBdr>
    </w:div>
    <w:div w:id="893085917">
      <w:bodyDiv w:val="1"/>
      <w:marLeft w:val="0"/>
      <w:marRight w:val="0"/>
      <w:marTop w:val="0"/>
      <w:marBottom w:val="0"/>
      <w:divBdr>
        <w:top w:val="none" w:sz="0" w:space="0" w:color="auto"/>
        <w:left w:val="none" w:sz="0" w:space="0" w:color="auto"/>
        <w:bottom w:val="none" w:sz="0" w:space="0" w:color="auto"/>
        <w:right w:val="none" w:sz="0" w:space="0" w:color="auto"/>
      </w:divBdr>
      <w:divsChild>
        <w:div w:id="843203256">
          <w:marLeft w:val="0"/>
          <w:marRight w:val="0"/>
          <w:marTop w:val="0"/>
          <w:marBottom w:val="0"/>
          <w:divBdr>
            <w:top w:val="none" w:sz="0" w:space="0" w:color="auto"/>
            <w:left w:val="none" w:sz="0" w:space="0" w:color="auto"/>
            <w:bottom w:val="none" w:sz="0" w:space="0" w:color="auto"/>
            <w:right w:val="none" w:sz="0" w:space="0" w:color="auto"/>
          </w:divBdr>
          <w:divsChild>
            <w:div w:id="627979532">
              <w:marLeft w:val="0"/>
              <w:marRight w:val="0"/>
              <w:marTop w:val="0"/>
              <w:marBottom w:val="0"/>
              <w:divBdr>
                <w:top w:val="none" w:sz="0" w:space="0" w:color="auto"/>
                <w:left w:val="none" w:sz="0" w:space="0" w:color="auto"/>
                <w:bottom w:val="none" w:sz="0" w:space="0" w:color="auto"/>
                <w:right w:val="none" w:sz="0" w:space="0" w:color="auto"/>
              </w:divBdr>
              <w:divsChild>
                <w:div w:id="2091348654">
                  <w:marLeft w:val="0"/>
                  <w:marRight w:val="0"/>
                  <w:marTop w:val="0"/>
                  <w:marBottom w:val="0"/>
                  <w:divBdr>
                    <w:top w:val="none" w:sz="0" w:space="0" w:color="auto"/>
                    <w:left w:val="none" w:sz="0" w:space="0" w:color="auto"/>
                    <w:bottom w:val="none" w:sz="0" w:space="0" w:color="auto"/>
                    <w:right w:val="none" w:sz="0" w:space="0" w:color="auto"/>
                  </w:divBdr>
                  <w:divsChild>
                    <w:div w:id="18970060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7299417">
      <w:bodyDiv w:val="1"/>
      <w:marLeft w:val="0"/>
      <w:marRight w:val="0"/>
      <w:marTop w:val="0"/>
      <w:marBottom w:val="0"/>
      <w:divBdr>
        <w:top w:val="none" w:sz="0" w:space="0" w:color="auto"/>
        <w:left w:val="none" w:sz="0" w:space="0" w:color="auto"/>
        <w:bottom w:val="none" w:sz="0" w:space="0" w:color="auto"/>
        <w:right w:val="none" w:sz="0" w:space="0" w:color="auto"/>
      </w:divBdr>
      <w:divsChild>
        <w:div w:id="1289749499">
          <w:marLeft w:val="0"/>
          <w:marRight w:val="0"/>
          <w:marTop w:val="0"/>
          <w:marBottom w:val="0"/>
          <w:divBdr>
            <w:top w:val="none" w:sz="0" w:space="0" w:color="auto"/>
            <w:left w:val="none" w:sz="0" w:space="0" w:color="auto"/>
            <w:bottom w:val="none" w:sz="0" w:space="0" w:color="auto"/>
            <w:right w:val="none" w:sz="0" w:space="0" w:color="auto"/>
          </w:divBdr>
          <w:divsChild>
            <w:div w:id="1638757569">
              <w:marLeft w:val="0"/>
              <w:marRight w:val="0"/>
              <w:marTop w:val="0"/>
              <w:marBottom w:val="0"/>
              <w:divBdr>
                <w:top w:val="none" w:sz="0" w:space="0" w:color="auto"/>
                <w:left w:val="none" w:sz="0" w:space="0" w:color="auto"/>
                <w:bottom w:val="none" w:sz="0" w:space="0" w:color="auto"/>
                <w:right w:val="none" w:sz="0" w:space="0" w:color="auto"/>
              </w:divBdr>
              <w:divsChild>
                <w:div w:id="1916474946">
                  <w:marLeft w:val="0"/>
                  <w:marRight w:val="0"/>
                  <w:marTop w:val="0"/>
                  <w:marBottom w:val="0"/>
                  <w:divBdr>
                    <w:top w:val="none" w:sz="0" w:space="0" w:color="auto"/>
                    <w:left w:val="none" w:sz="0" w:space="0" w:color="auto"/>
                    <w:bottom w:val="none" w:sz="0" w:space="0" w:color="auto"/>
                    <w:right w:val="none" w:sz="0" w:space="0" w:color="auto"/>
                  </w:divBdr>
                  <w:divsChild>
                    <w:div w:id="521820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3994781">
      <w:bodyDiv w:val="1"/>
      <w:marLeft w:val="0"/>
      <w:marRight w:val="0"/>
      <w:marTop w:val="0"/>
      <w:marBottom w:val="0"/>
      <w:divBdr>
        <w:top w:val="none" w:sz="0" w:space="0" w:color="auto"/>
        <w:left w:val="none" w:sz="0" w:space="0" w:color="auto"/>
        <w:bottom w:val="none" w:sz="0" w:space="0" w:color="auto"/>
        <w:right w:val="none" w:sz="0" w:space="0" w:color="auto"/>
      </w:divBdr>
      <w:divsChild>
        <w:div w:id="1330519650">
          <w:marLeft w:val="0"/>
          <w:marRight w:val="0"/>
          <w:marTop w:val="0"/>
          <w:marBottom w:val="0"/>
          <w:divBdr>
            <w:top w:val="none" w:sz="0" w:space="0" w:color="auto"/>
            <w:left w:val="none" w:sz="0" w:space="0" w:color="auto"/>
            <w:bottom w:val="none" w:sz="0" w:space="0" w:color="auto"/>
            <w:right w:val="none" w:sz="0" w:space="0" w:color="auto"/>
          </w:divBdr>
          <w:divsChild>
            <w:div w:id="1475758167">
              <w:marLeft w:val="0"/>
              <w:marRight w:val="0"/>
              <w:marTop w:val="0"/>
              <w:marBottom w:val="0"/>
              <w:divBdr>
                <w:top w:val="none" w:sz="0" w:space="0" w:color="auto"/>
                <w:left w:val="none" w:sz="0" w:space="0" w:color="auto"/>
                <w:bottom w:val="none" w:sz="0" w:space="0" w:color="auto"/>
                <w:right w:val="none" w:sz="0" w:space="0" w:color="auto"/>
              </w:divBdr>
              <w:divsChild>
                <w:div w:id="1051734602">
                  <w:marLeft w:val="0"/>
                  <w:marRight w:val="0"/>
                  <w:marTop w:val="0"/>
                  <w:marBottom w:val="0"/>
                  <w:divBdr>
                    <w:top w:val="none" w:sz="0" w:space="0" w:color="auto"/>
                    <w:left w:val="none" w:sz="0" w:space="0" w:color="auto"/>
                    <w:bottom w:val="none" w:sz="0" w:space="0" w:color="auto"/>
                    <w:right w:val="none" w:sz="0" w:space="0" w:color="auto"/>
                  </w:divBdr>
                  <w:divsChild>
                    <w:div w:id="1820730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7613927">
      <w:bodyDiv w:val="1"/>
      <w:marLeft w:val="0"/>
      <w:marRight w:val="0"/>
      <w:marTop w:val="0"/>
      <w:marBottom w:val="0"/>
      <w:divBdr>
        <w:top w:val="none" w:sz="0" w:space="0" w:color="auto"/>
        <w:left w:val="none" w:sz="0" w:space="0" w:color="auto"/>
        <w:bottom w:val="none" w:sz="0" w:space="0" w:color="auto"/>
        <w:right w:val="none" w:sz="0" w:space="0" w:color="auto"/>
      </w:divBdr>
      <w:divsChild>
        <w:div w:id="777262443">
          <w:marLeft w:val="0"/>
          <w:marRight w:val="0"/>
          <w:marTop w:val="0"/>
          <w:marBottom w:val="0"/>
          <w:divBdr>
            <w:top w:val="none" w:sz="0" w:space="0" w:color="auto"/>
            <w:left w:val="none" w:sz="0" w:space="0" w:color="auto"/>
            <w:bottom w:val="none" w:sz="0" w:space="0" w:color="auto"/>
            <w:right w:val="none" w:sz="0" w:space="0" w:color="auto"/>
          </w:divBdr>
          <w:divsChild>
            <w:div w:id="981345310">
              <w:marLeft w:val="0"/>
              <w:marRight w:val="0"/>
              <w:marTop w:val="0"/>
              <w:marBottom w:val="0"/>
              <w:divBdr>
                <w:top w:val="none" w:sz="0" w:space="0" w:color="auto"/>
                <w:left w:val="none" w:sz="0" w:space="0" w:color="auto"/>
                <w:bottom w:val="none" w:sz="0" w:space="0" w:color="auto"/>
                <w:right w:val="none" w:sz="0" w:space="0" w:color="auto"/>
              </w:divBdr>
              <w:divsChild>
                <w:div w:id="1770812923">
                  <w:marLeft w:val="0"/>
                  <w:marRight w:val="0"/>
                  <w:marTop w:val="0"/>
                  <w:marBottom w:val="0"/>
                  <w:divBdr>
                    <w:top w:val="none" w:sz="0" w:space="0" w:color="auto"/>
                    <w:left w:val="none" w:sz="0" w:space="0" w:color="auto"/>
                    <w:bottom w:val="none" w:sz="0" w:space="0" w:color="auto"/>
                    <w:right w:val="none" w:sz="0" w:space="0" w:color="auto"/>
                  </w:divBdr>
                  <w:divsChild>
                    <w:div w:id="7219094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3597094">
      <w:bodyDiv w:val="1"/>
      <w:marLeft w:val="0"/>
      <w:marRight w:val="0"/>
      <w:marTop w:val="0"/>
      <w:marBottom w:val="0"/>
      <w:divBdr>
        <w:top w:val="none" w:sz="0" w:space="0" w:color="auto"/>
        <w:left w:val="none" w:sz="0" w:space="0" w:color="auto"/>
        <w:bottom w:val="none" w:sz="0" w:space="0" w:color="auto"/>
        <w:right w:val="none" w:sz="0" w:space="0" w:color="auto"/>
      </w:divBdr>
      <w:divsChild>
        <w:div w:id="159471370">
          <w:marLeft w:val="0"/>
          <w:marRight w:val="0"/>
          <w:marTop w:val="0"/>
          <w:marBottom w:val="0"/>
          <w:divBdr>
            <w:top w:val="none" w:sz="0" w:space="0" w:color="auto"/>
            <w:left w:val="none" w:sz="0" w:space="0" w:color="auto"/>
            <w:bottom w:val="none" w:sz="0" w:space="0" w:color="auto"/>
            <w:right w:val="none" w:sz="0" w:space="0" w:color="auto"/>
          </w:divBdr>
          <w:divsChild>
            <w:div w:id="580064971">
              <w:marLeft w:val="0"/>
              <w:marRight w:val="0"/>
              <w:marTop w:val="0"/>
              <w:marBottom w:val="0"/>
              <w:divBdr>
                <w:top w:val="none" w:sz="0" w:space="0" w:color="auto"/>
                <w:left w:val="none" w:sz="0" w:space="0" w:color="auto"/>
                <w:bottom w:val="none" w:sz="0" w:space="0" w:color="auto"/>
                <w:right w:val="none" w:sz="0" w:space="0" w:color="auto"/>
              </w:divBdr>
              <w:divsChild>
                <w:div w:id="247615801">
                  <w:marLeft w:val="0"/>
                  <w:marRight w:val="0"/>
                  <w:marTop w:val="0"/>
                  <w:marBottom w:val="0"/>
                  <w:divBdr>
                    <w:top w:val="none" w:sz="0" w:space="0" w:color="auto"/>
                    <w:left w:val="none" w:sz="0" w:space="0" w:color="auto"/>
                    <w:bottom w:val="none" w:sz="0" w:space="0" w:color="auto"/>
                    <w:right w:val="none" w:sz="0" w:space="0" w:color="auto"/>
                  </w:divBdr>
                  <w:divsChild>
                    <w:div w:id="1402679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18111737">
      <w:bodyDiv w:val="1"/>
      <w:marLeft w:val="0"/>
      <w:marRight w:val="0"/>
      <w:marTop w:val="0"/>
      <w:marBottom w:val="0"/>
      <w:divBdr>
        <w:top w:val="none" w:sz="0" w:space="0" w:color="auto"/>
        <w:left w:val="none" w:sz="0" w:space="0" w:color="auto"/>
        <w:bottom w:val="none" w:sz="0" w:space="0" w:color="auto"/>
        <w:right w:val="none" w:sz="0" w:space="0" w:color="auto"/>
      </w:divBdr>
      <w:divsChild>
        <w:div w:id="1629820044">
          <w:marLeft w:val="0"/>
          <w:marRight w:val="0"/>
          <w:marTop w:val="0"/>
          <w:marBottom w:val="0"/>
          <w:divBdr>
            <w:top w:val="none" w:sz="0" w:space="0" w:color="auto"/>
            <w:left w:val="none" w:sz="0" w:space="0" w:color="auto"/>
            <w:bottom w:val="none" w:sz="0" w:space="0" w:color="auto"/>
            <w:right w:val="none" w:sz="0" w:space="0" w:color="auto"/>
          </w:divBdr>
          <w:divsChild>
            <w:div w:id="1084111405">
              <w:marLeft w:val="0"/>
              <w:marRight w:val="0"/>
              <w:marTop w:val="0"/>
              <w:marBottom w:val="0"/>
              <w:divBdr>
                <w:top w:val="none" w:sz="0" w:space="0" w:color="auto"/>
                <w:left w:val="none" w:sz="0" w:space="0" w:color="auto"/>
                <w:bottom w:val="none" w:sz="0" w:space="0" w:color="auto"/>
                <w:right w:val="none" w:sz="0" w:space="0" w:color="auto"/>
              </w:divBdr>
              <w:divsChild>
                <w:div w:id="758336232">
                  <w:marLeft w:val="0"/>
                  <w:marRight w:val="0"/>
                  <w:marTop w:val="0"/>
                  <w:marBottom w:val="0"/>
                  <w:divBdr>
                    <w:top w:val="none" w:sz="0" w:space="0" w:color="auto"/>
                    <w:left w:val="none" w:sz="0" w:space="0" w:color="auto"/>
                    <w:bottom w:val="none" w:sz="0" w:space="0" w:color="auto"/>
                    <w:right w:val="none" w:sz="0" w:space="0" w:color="auto"/>
                  </w:divBdr>
                  <w:divsChild>
                    <w:div w:id="944387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2452992">
      <w:bodyDiv w:val="1"/>
      <w:marLeft w:val="0"/>
      <w:marRight w:val="0"/>
      <w:marTop w:val="0"/>
      <w:marBottom w:val="0"/>
      <w:divBdr>
        <w:top w:val="none" w:sz="0" w:space="0" w:color="auto"/>
        <w:left w:val="none" w:sz="0" w:space="0" w:color="auto"/>
        <w:bottom w:val="none" w:sz="0" w:space="0" w:color="auto"/>
        <w:right w:val="none" w:sz="0" w:space="0" w:color="auto"/>
      </w:divBdr>
    </w:div>
    <w:div w:id="1152599012">
      <w:bodyDiv w:val="1"/>
      <w:marLeft w:val="0"/>
      <w:marRight w:val="0"/>
      <w:marTop w:val="0"/>
      <w:marBottom w:val="0"/>
      <w:divBdr>
        <w:top w:val="none" w:sz="0" w:space="0" w:color="auto"/>
        <w:left w:val="none" w:sz="0" w:space="0" w:color="auto"/>
        <w:bottom w:val="none" w:sz="0" w:space="0" w:color="auto"/>
        <w:right w:val="none" w:sz="0" w:space="0" w:color="auto"/>
      </w:divBdr>
    </w:div>
    <w:div w:id="1157380705">
      <w:bodyDiv w:val="1"/>
      <w:marLeft w:val="0"/>
      <w:marRight w:val="0"/>
      <w:marTop w:val="0"/>
      <w:marBottom w:val="0"/>
      <w:divBdr>
        <w:top w:val="none" w:sz="0" w:space="0" w:color="auto"/>
        <w:left w:val="none" w:sz="0" w:space="0" w:color="auto"/>
        <w:bottom w:val="none" w:sz="0" w:space="0" w:color="auto"/>
        <w:right w:val="none" w:sz="0" w:space="0" w:color="auto"/>
      </w:divBdr>
    </w:div>
    <w:div w:id="1196311639">
      <w:bodyDiv w:val="1"/>
      <w:marLeft w:val="0"/>
      <w:marRight w:val="0"/>
      <w:marTop w:val="0"/>
      <w:marBottom w:val="0"/>
      <w:divBdr>
        <w:top w:val="none" w:sz="0" w:space="0" w:color="auto"/>
        <w:left w:val="none" w:sz="0" w:space="0" w:color="auto"/>
        <w:bottom w:val="none" w:sz="0" w:space="0" w:color="auto"/>
        <w:right w:val="none" w:sz="0" w:space="0" w:color="auto"/>
      </w:divBdr>
    </w:div>
    <w:div w:id="1282802267">
      <w:bodyDiv w:val="1"/>
      <w:marLeft w:val="0"/>
      <w:marRight w:val="0"/>
      <w:marTop w:val="0"/>
      <w:marBottom w:val="0"/>
      <w:divBdr>
        <w:top w:val="none" w:sz="0" w:space="0" w:color="auto"/>
        <w:left w:val="none" w:sz="0" w:space="0" w:color="auto"/>
        <w:bottom w:val="none" w:sz="0" w:space="0" w:color="auto"/>
        <w:right w:val="none" w:sz="0" w:space="0" w:color="auto"/>
      </w:divBdr>
    </w:div>
    <w:div w:id="1284461689">
      <w:bodyDiv w:val="1"/>
      <w:marLeft w:val="0"/>
      <w:marRight w:val="0"/>
      <w:marTop w:val="0"/>
      <w:marBottom w:val="0"/>
      <w:divBdr>
        <w:top w:val="none" w:sz="0" w:space="0" w:color="auto"/>
        <w:left w:val="none" w:sz="0" w:space="0" w:color="auto"/>
        <w:bottom w:val="none" w:sz="0" w:space="0" w:color="auto"/>
        <w:right w:val="none" w:sz="0" w:space="0" w:color="auto"/>
      </w:divBdr>
    </w:div>
    <w:div w:id="1301035468">
      <w:bodyDiv w:val="1"/>
      <w:marLeft w:val="0"/>
      <w:marRight w:val="0"/>
      <w:marTop w:val="0"/>
      <w:marBottom w:val="0"/>
      <w:divBdr>
        <w:top w:val="none" w:sz="0" w:space="0" w:color="auto"/>
        <w:left w:val="none" w:sz="0" w:space="0" w:color="auto"/>
        <w:bottom w:val="none" w:sz="0" w:space="0" w:color="auto"/>
        <w:right w:val="none" w:sz="0" w:space="0" w:color="auto"/>
      </w:divBdr>
    </w:div>
    <w:div w:id="1318419130">
      <w:bodyDiv w:val="1"/>
      <w:marLeft w:val="0"/>
      <w:marRight w:val="0"/>
      <w:marTop w:val="0"/>
      <w:marBottom w:val="0"/>
      <w:divBdr>
        <w:top w:val="none" w:sz="0" w:space="0" w:color="auto"/>
        <w:left w:val="none" w:sz="0" w:space="0" w:color="auto"/>
        <w:bottom w:val="none" w:sz="0" w:space="0" w:color="auto"/>
        <w:right w:val="none" w:sz="0" w:space="0" w:color="auto"/>
      </w:divBdr>
      <w:divsChild>
        <w:div w:id="490951141">
          <w:marLeft w:val="0"/>
          <w:marRight w:val="0"/>
          <w:marTop w:val="0"/>
          <w:marBottom w:val="0"/>
          <w:divBdr>
            <w:top w:val="none" w:sz="0" w:space="0" w:color="auto"/>
            <w:left w:val="none" w:sz="0" w:space="0" w:color="auto"/>
            <w:bottom w:val="none" w:sz="0" w:space="0" w:color="auto"/>
            <w:right w:val="none" w:sz="0" w:space="0" w:color="auto"/>
          </w:divBdr>
          <w:divsChild>
            <w:div w:id="825240119">
              <w:marLeft w:val="0"/>
              <w:marRight w:val="0"/>
              <w:marTop w:val="0"/>
              <w:marBottom w:val="0"/>
              <w:divBdr>
                <w:top w:val="none" w:sz="0" w:space="0" w:color="auto"/>
                <w:left w:val="none" w:sz="0" w:space="0" w:color="auto"/>
                <w:bottom w:val="none" w:sz="0" w:space="0" w:color="auto"/>
                <w:right w:val="none" w:sz="0" w:space="0" w:color="auto"/>
              </w:divBdr>
              <w:divsChild>
                <w:div w:id="1516771915">
                  <w:marLeft w:val="0"/>
                  <w:marRight w:val="0"/>
                  <w:marTop w:val="0"/>
                  <w:marBottom w:val="0"/>
                  <w:divBdr>
                    <w:top w:val="none" w:sz="0" w:space="0" w:color="auto"/>
                    <w:left w:val="none" w:sz="0" w:space="0" w:color="auto"/>
                    <w:bottom w:val="none" w:sz="0" w:space="0" w:color="auto"/>
                    <w:right w:val="none" w:sz="0" w:space="0" w:color="auto"/>
                  </w:divBdr>
                  <w:divsChild>
                    <w:div w:id="202327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5592598">
      <w:bodyDiv w:val="1"/>
      <w:marLeft w:val="0"/>
      <w:marRight w:val="0"/>
      <w:marTop w:val="0"/>
      <w:marBottom w:val="0"/>
      <w:divBdr>
        <w:top w:val="none" w:sz="0" w:space="0" w:color="auto"/>
        <w:left w:val="none" w:sz="0" w:space="0" w:color="auto"/>
        <w:bottom w:val="none" w:sz="0" w:space="0" w:color="auto"/>
        <w:right w:val="none" w:sz="0" w:space="0" w:color="auto"/>
      </w:divBdr>
    </w:div>
    <w:div w:id="1435174202">
      <w:bodyDiv w:val="1"/>
      <w:marLeft w:val="0"/>
      <w:marRight w:val="0"/>
      <w:marTop w:val="0"/>
      <w:marBottom w:val="0"/>
      <w:divBdr>
        <w:top w:val="none" w:sz="0" w:space="0" w:color="auto"/>
        <w:left w:val="none" w:sz="0" w:space="0" w:color="auto"/>
        <w:bottom w:val="none" w:sz="0" w:space="0" w:color="auto"/>
        <w:right w:val="none" w:sz="0" w:space="0" w:color="auto"/>
      </w:divBdr>
      <w:divsChild>
        <w:div w:id="1990551208">
          <w:marLeft w:val="0"/>
          <w:marRight w:val="0"/>
          <w:marTop w:val="0"/>
          <w:marBottom w:val="0"/>
          <w:divBdr>
            <w:top w:val="none" w:sz="0" w:space="0" w:color="auto"/>
            <w:left w:val="none" w:sz="0" w:space="0" w:color="auto"/>
            <w:bottom w:val="none" w:sz="0" w:space="0" w:color="auto"/>
            <w:right w:val="none" w:sz="0" w:space="0" w:color="auto"/>
          </w:divBdr>
          <w:divsChild>
            <w:div w:id="1066343839">
              <w:marLeft w:val="0"/>
              <w:marRight w:val="0"/>
              <w:marTop w:val="0"/>
              <w:marBottom w:val="0"/>
              <w:divBdr>
                <w:top w:val="none" w:sz="0" w:space="0" w:color="auto"/>
                <w:left w:val="none" w:sz="0" w:space="0" w:color="auto"/>
                <w:bottom w:val="none" w:sz="0" w:space="0" w:color="auto"/>
                <w:right w:val="none" w:sz="0" w:space="0" w:color="auto"/>
              </w:divBdr>
              <w:divsChild>
                <w:div w:id="177234652">
                  <w:marLeft w:val="0"/>
                  <w:marRight w:val="0"/>
                  <w:marTop w:val="0"/>
                  <w:marBottom w:val="0"/>
                  <w:divBdr>
                    <w:top w:val="none" w:sz="0" w:space="0" w:color="auto"/>
                    <w:left w:val="none" w:sz="0" w:space="0" w:color="auto"/>
                    <w:bottom w:val="none" w:sz="0" w:space="0" w:color="auto"/>
                    <w:right w:val="none" w:sz="0" w:space="0" w:color="auto"/>
                  </w:divBdr>
                  <w:divsChild>
                    <w:div w:id="620965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8061096">
      <w:bodyDiv w:val="1"/>
      <w:marLeft w:val="0"/>
      <w:marRight w:val="0"/>
      <w:marTop w:val="0"/>
      <w:marBottom w:val="0"/>
      <w:divBdr>
        <w:top w:val="none" w:sz="0" w:space="0" w:color="auto"/>
        <w:left w:val="none" w:sz="0" w:space="0" w:color="auto"/>
        <w:bottom w:val="none" w:sz="0" w:space="0" w:color="auto"/>
        <w:right w:val="none" w:sz="0" w:space="0" w:color="auto"/>
      </w:divBdr>
    </w:div>
    <w:div w:id="1510212335">
      <w:bodyDiv w:val="1"/>
      <w:marLeft w:val="0"/>
      <w:marRight w:val="0"/>
      <w:marTop w:val="0"/>
      <w:marBottom w:val="0"/>
      <w:divBdr>
        <w:top w:val="none" w:sz="0" w:space="0" w:color="auto"/>
        <w:left w:val="none" w:sz="0" w:space="0" w:color="auto"/>
        <w:bottom w:val="none" w:sz="0" w:space="0" w:color="auto"/>
        <w:right w:val="none" w:sz="0" w:space="0" w:color="auto"/>
      </w:divBdr>
      <w:divsChild>
        <w:div w:id="1746104570">
          <w:marLeft w:val="0"/>
          <w:marRight w:val="0"/>
          <w:marTop w:val="0"/>
          <w:marBottom w:val="0"/>
          <w:divBdr>
            <w:top w:val="none" w:sz="0" w:space="0" w:color="auto"/>
            <w:left w:val="none" w:sz="0" w:space="0" w:color="auto"/>
            <w:bottom w:val="none" w:sz="0" w:space="0" w:color="auto"/>
            <w:right w:val="none" w:sz="0" w:space="0" w:color="auto"/>
          </w:divBdr>
          <w:divsChild>
            <w:div w:id="1635018802">
              <w:marLeft w:val="0"/>
              <w:marRight w:val="0"/>
              <w:marTop w:val="0"/>
              <w:marBottom w:val="0"/>
              <w:divBdr>
                <w:top w:val="none" w:sz="0" w:space="0" w:color="auto"/>
                <w:left w:val="none" w:sz="0" w:space="0" w:color="auto"/>
                <w:bottom w:val="none" w:sz="0" w:space="0" w:color="auto"/>
                <w:right w:val="none" w:sz="0" w:space="0" w:color="auto"/>
              </w:divBdr>
              <w:divsChild>
                <w:div w:id="986058025">
                  <w:marLeft w:val="0"/>
                  <w:marRight w:val="0"/>
                  <w:marTop w:val="0"/>
                  <w:marBottom w:val="0"/>
                  <w:divBdr>
                    <w:top w:val="none" w:sz="0" w:space="0" w:color="auto"/>
                    <w:left w:val="none" w:sz="0" w:space="0" w:color="auto"/>
                    <w:bottom w:val="none" w:sz="0" w:space="0" w:color="auto"/>
                    <w:right w:val="none" w:sz="0" w:space="0" w:color="auto"/>
                  </w:divBdr>
                  <w:divsChild>
                    <w:div w:id="2101876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17965628">
      <w:bodyDiv w:val="1"/>
      <w:marLeft w:val="0"/>
      <w:marRight w:val="0"/>
      <w:marTop w:val="0"/>
      <w:marBottom w:val="0"/>
      <w:divBdr>
        <w:top w:val="none" w:sz="0" w:space="0" w:color="auto"/>
        <w:left w:val="none" w:sz="0" w:space="0" w:color="auto"/>
        <w:bottom w:val="none" w:sz="0" w:space="0" w:color="auto"/>
        <w:right w:val="none" w:sz="0" w:space="0" w:color="auto"/>
      </w:divBdr>
    </w:div>
    <w:div w:id="1551499355">
      <w:bodyDiv w:val="1"/>
      <w:marLeft w:val="0"/>
      <w:marRight w:val="0"/>
      <w:marTop w:val="0"/>
      <w:marBottom w:val="0"/>
      <w:divBdr>
        <w:top w:val="none" w:sz="0" w:space="0" w:color="auto"/>
        <w:left w:val="none" w:sz="0" w:space="0" w:color="auto"/>
        <w:bottom w:val="none" w:sz="0" w:space="0" w:color="auto"/>
        <w:right w:val="none" w:sz="0" w:space="0" w:color="auto"/>
      </w:divBdr>
    </w:div>
    <w:div w:id="1561355958">
      <w:bodyDiv w:val="1"/>
      <w:marLeft w:val="0"/>
      <w:marRight w:val="0"/>
      <w:marTop w:val="0"/>
      <w:marBottom w:val="0"/>
      <w:divBdr>
        <w:top w:val="none" w:sz="0" w:space="0" w:color="auto"/>
        <w:left w:val="none" w:sz="0" w:space="0" w:color="auto"/>
        <w:bottom w:val="none" w:sz="0" w:space="0" w:color="auto"/>
        <w:right w:val="none" w:sz="0" w:space="0" w:color="auto"/>
      </w:divBdr>
    </w:div>
    <w:div w:id="1568884497">
      <w:bodyDiv w:val="1"/>
      <w:marLeft w:val="0"/>
      <w:marRight w:val="0"/>
      <w:marTop w:val="0"/>
      <w:marBottom w:val="0"/>
      <w:divBdr>
        <w:top w:val="none" w:sz="0" w:space="0" w:color="auto"/>
        <w:left w:val="none" w:sz="0" w:space="0" w:color="auto"/>
        <w:bottom w:val="none" w:sz="0" w:space="0" w:color="auto"/>
        <w:right w:val="none" w:sz="0" w:space="0" w:color="auto"/>
      </w:divBdr>
    </w:div>
    <w:div w:id="1612661729">
      <w:bodyDiv w:val="1"/>
      <w:marLeft w:val="0"/>
      <w:marRight w:val="0"/>
      <w:marTop w:val="0"/>
      <w:marBottom w:val="0"/>
      <w:divBdr>
        <w:top w:val="none" w:sz="0" w:space="0" w:color="auto"/>
        <w:left w:val="none" w:sz="0" w:space="0" w:color="auto"/>
        <w:bottom w:val="none" w:sz="0" w:space="0" w:color="auto"/>
        <w:right w:val="none" w:sz="0" w:space="0" w:color="auto"/>
      </w:divBdr>
      <w:divsChild>
        <w:div w:id="2056731838">
          <w:marLeft w:val="0"/>
          <w:marRight w:val="0"/>
          <w:marTop w:val="0"/>
          <w:marBottom w:val="0"/>
          <w:divBdr>
            <w:top w:val="none" w:sz="0" w:space="0" w:color="auto"/>
            <w:left w:val="none" w:sz="0" w:space="0" w:color="auto"/>
            <w:bottom w:val="none" w:sz="0" w:space="0" w:color="auto"/>
            <w:right w:val="none" w:sz="0" w:space="0" w:color="auto"/>
          </w:divBdr>
          <w:divsChild>
            <w:div w:id="1145394455">
              <w:marLeft w:val="0"/>
              <w:marRight w:val="0"/>
              <w:marTop w:val="0"/>
              <w:marBottom w:val="0"/>
              <w:divBdr>
                <w:top w:val="none" w:sz="0" w:space="0" w:color="auto"/>
                <w:left w:val="none" w:sz="0" w:space="0" w:color="auto"/>
                <w:bottom w:val="none" w:sz="0" w:space="0" w:color="auto"/>
                <w:right w:val="none" w:sz="0" w:space="0" w:color="auto"/>
              </w:divBdr>
              <w:divsChild>
                <w:div w:id="1249539621">
                  <w:marLeft w:val="0"/>
                  <w:marRight w:val="0"/>
                  <w:marTop w:val="0"/>
                  <w:marBottom w:val="0"/>
                  <w:divBdr>
                    <w:top w:val="none" w:sz="0" w:space="0" w:color="auto"/>
                    <w:left w:val="none" w:sz="0" w:space="0" w:color="auto"/>
                    <w:bottom w:val="none" w:sz="0" w:space="0" w:color="auto"/>
                    <w:right w:val="none" w:sz="0" w:space="0" w:color="auto"/>
                  </w:divBdr>
                  <w:divsChild>
                    <w:div w:id="391268315">
                      <w:marLeft w:val="0"/>
                      <w:marRight w:val="0"/>
                      <w:marTop w:val="0"/>
                      <w:marBottom w:val="0"/>
                      <w:divBdr>
                        <w:top w:val="none" w:sz="0" w:space="0" w:color="auto"/>
                        <w:left w:val="none" w:sz="0" w:space="0" w:color="auto"/>
                        <w:bottom w:val="none" w:sz="0" w:space="0" w:color="auto"/>
                        <w:right w:val="none" w:sz="0" w:space="0" w:color="auto"/>
                      </w:divBdr>
                    </w:div>
                  </w:divsChild>
                </w:div>
                <w:div w:id="1513687292">
                  <w:marLeft w:val="0"/>
                  <w:marRight w:val="0"/>
                  <w:marTop w:val="0"/>
                  <w:marBottom w:val="0"/>
                  <w:divBdr>
                    <w:top w:val="none" w:sz="0" w:space="0" w:color="auto"/>
                    <w:left w:val="none" w:sz="0" w:space="0" w:color="auto"/>
                    <w:bottom w:val="none" w:sz="0" w:space="0" w:color="auto"/>
                    <w:right w:val="none" w:sz="0" w:space="0" w:color="auto"/>
                  </w:divBdr>
                  <w:divsChild>
                    <w:div w:id="168192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4580211">
      <w:bodyDiv w:val="1"/>
      <w:marLeft w:val="0"/>
      <w:marRight w:val="0"/>
      <w:marTop w:val="0"/>
      <w:marBottom w:val="0"/>
      <w:divBdr>
        <w:top w:val="none" w:sz="0" w:space="0" w:color="auto"/>
        <w:left w:val="none" w:sz="0" w:space="0" w:color="auto"/>
        <w:bottom w:val="none" w:sz="0" w:space="0" w:color="auto"/>
        <w:right w:val="none" w:sz="0" w:space="0" w:color="auto"/>
      </w:divBdr>
      <w:divsChild>
        <w:div w:id="1740668319">
          <w:marLeft w:val="0"/>
          <w:marRight w:val="0"/>
          <w:marTop w:val="0"/>
          <w:marBottom w:val="0"/>
          <w:divBdr>
            <w:top w:val="none" w:sz="0" w:space="0" w:color="auto"/>
            <w:left w:val="none" w:sz="0" w:space="0" w:color="auto"/>
            <w:bottom w:val="none" w:sz="0" w:space="0" w:color="auto"/>
            <w:right w:val="none" w:sz="0" w:space="0" w:color="auto"/>
          </w:divBdr>
          <w:divsChild>
            <w:div w:id="274408463">
              <w:marLeft w:val="0"/>
              <w:marRight w:val="0"/>
              <w:marTop w:val="0"/>
              <w:marBottom w:val="0"/>
              <w:divBdr>
                <w:top w:val="none" w:sz="0" w:space="0" w:color="auto"/>
                <w:left w:val="none" w:sz="0" w:space="0" w:color="auto"/>
                <w:bottom w:val="none" w:sz="0" w:space="0" w:color="auto"/>
                <w:right w:val="none" w:sz="0" w:space="0" w:color="auto"/>
              </w:divBdr>
              <w:divsChild>
                <w:div w:id="1344429540">
                  <w:marLeft w:val="0"/>
                  <w:marRight w:val="0"/>
                  <w:marTop w:val="0"/>
                  <w:marBottom w:val="0"/>
                  <w:divBdr>
                    <w:top w:val="none" w:sz="0" w:space="0" w:color="auto"/>
                    <w:left w:val="none" w:sz="0" w:space="0" w:color="auto"/>
                    <w:bottom w:val="none" w:sz="0" w:space="0" w:color="auto"/>
                    <w:right w:val="none" w:sz="0" w:space="0" w:color="auto"/>
                  </w:divBdr>
                  <w:divsChild>
                    <w:div w:id="719746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37242195">
      <w:bodyDiv w:val="1"/>
      <w:marLeft w:val="0"/>
      <w:marRight w:val="0"/>
      <w:marTop w:val="0"/>
      <w:marBottom w:val="0"/>
      <w:divBdr>
        <w:top w:val="none" w:sz="0" w:space="0" w:color="auto"/>
        <w:left w:val="none" w:sz="0" w:space="0" w:color="auto"/>
        <w:bottom w:val="none" w:sz="0" w:space="0" w:color="auto"/>
        <w:right w:val="none" w:sz="0" w:space="0" w:color="auto"/>
      </w:divBdr>
      <w:divsChild>
        <w:div w:id="2131392456">
          <w:marLeft w:val="0"/>
          <w:marRight w:val="0"/>
          <w:marTop w:val="0"/>
          <w:marBottom w:val="0"/>
          <w:divBdr>
            <w:top w:val="none" w:sz="0" w:space="0" w:color="auto"/>
            <w:left w:val="none" w:sz="0" w:space="0" w:color="auto"/>
            <w:bottom w:val="none" w:sz="0" w:space="0" w:color="auto"/>
            <w:right w:val="none" w:sz="0" w:space="0" w:color="auto"/>
          </w:divBdr>
          <w:divsChild>
            <w:div w:id="92088756">
              <w:marLeft w:val="0"/>
              <w:marRight w:val="0"/>
              <w:marTop w:val="0"/>
              <w:marBottom w:val="0"/>
              <w:divBdr>
                <w:top w:val="none" w:sz="0" w:space="0" w:color="auto"/>
                <w:left w:val="none" w:sz="0" w:space="0" w:color="auto"/>
                <w:bottom w:val="none" w:sz="0" w:space="0" w:color="auto"/>
                <w:right w:val="none" w:sz="0" w:space="0" w:color="auto"/>
              </w:divBdr>
              <w:divsChild>
                <w:div w:id="1906187566">
                  <w:marLeft w:val="0"/>
                  <w:marRight w:val="0"/>
                  <w:marTop w:val="0"/>
                  <w:marBottom w:val="0"/>
                  <w:divBdr>
                    <w:top w:val="none" w:sz="0" w:space="0" w:color="auto"/>
                    <w:left w:val="none" w:sz="0" w:space="0" w:color="auto"/>
                    <w:bottom w:val="none" w:sz="0" w:space="0" w:color="auto"/>
                    <w:right w:val="none" w:sz="0" w:space="0" w:color="auto"/>
                  </w:divBdr>
                  <w:divsChild>
                    <w:div w:id="1875705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49645915">
      <w:bodyDiv w:val="1"/>
      <w:marLeft w:val="0"/>
      <w:marRight w:val="0"/>
      <w:marTop w:val="0"/>
      <w:marBottom w:val="0"/>
      <w:divBdr>
        <w:top w:val="none" w:sz="0" w:space="0" w:color="auto"/>
        <w:left w:val="none" w:sz="0" w:space="0" w:color="auto"/>
        <w:bottom w:val="none" w:sz="0" w:space="0" w:color="auto"/>
        <w:right w:val="none" w:sz="0" w:space="0" w:color="auto"/>
      </w:divBdr>
    </w:div>
    <w:div w:id="1801992006">
      <w:bodyDiv w:val="1"/>
      <w:marLeft w:val="0"/>
      <w:marRight w:val="0"/>
      <w:marTop w:val="0"/>
      <w:marBottom w:val="0"/>
      <w:divBdr>
        <w:top w:val="none" w:sz="0" w:space="0" w:color="auto"/>
        <w:left w:val="none" w:sz="0" w:space="0" w:color="auto"/>
        <w:bottom w:val="none" w:sz="0" w:space="0" w:color="auto"/>
        <w:right w:val="none" w:sz="0" w:space="0" w:color="auto"/>
      </w:divBdr>
      <w:divsChild>
        <w:div w:id="1845975289">
          <w:marLeft w:val="0"/>
          <w:marRight w:val="0"/>
          <w:marTop w:val="0"/>
          <w:marBottom w:val="0"/>
          <w:divBdr>
            <w:top w:val="none" w:sz="0" w:space="0" w:color="auto"/>
            <w:left w:val="none" w:sz="0" w:space="0" w:color="auto"/>
            <w:bottom w:val="none" w:sz="0" w:space="0" w:color="auto"/>
            <w:right w:val="none" w:sz="0" w:space="0" w:color="auto"/>
          </w:divBdr>
          <w:divsChild>
            <w:div w:id="307782092">
              <w:marLeft w:val="0"/>
              <w:marRight w:val="0"/>
              <w:marTop w:val="0"/>
              <w:marBottom w:val="0"/>
              <w:divBdr>
                <w:top w:val="none" w:sz="0" w:space="0" w:color="auto"/>
                <w:left w:val="none" w:sz="0" w:space="0" w:color="auto"/>
                <w:bottom w:val="none" w:sz="0" w:space="0" w:color="auto"/>
                <w:right w:val="none" w:sz="0" w:space="0" w:color="auto"/>
              </w:divBdr>
              <w:divsChild>
                <w:div w:id="13719968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9099087">
      <w:bodyDiv w:val="1"/>
      <w:marLeft w:val="0"/>
      <w:marRight w:val="0"/>
      <w:marTop w:val="0"/>
      <w:marBottom w:val="0"/>
      <w:divBdr>
        <w:top w:val="none" w:sz="0" w:space="0" w:color="auto"/>
        <w:left w:val="none" w:sz="0" w:space="0" w:color="auto"/>
        <w:bottom w:val="none" w:sz="0" w:space="0" w:color="auto"/>
        <w:right w:val="none" w:sz="0" w:space="0" w:color="auto"/>
      </w:divBdr>
    </w:div>
    <w:div w:id="1892690431">
      <w:bodyDiv w:val="1"/>
      <w:marLeft w:val="0"/>
      <w:marRight w:val="0"/>
      <w:marTop w:val="0"/>
      <w:marBottom w:val="0"/>
      <w:divBdr>
        <w:top w:val="none" w:sz="0" w:space="0" w:color="auto"/>
        <w:left w:val="none" w:sz="0" w:space="0" w:color="auto"/>
        <w:bottom w:val="none" w:sz="0" w:space="0" w:color="auto"/>
        <w:right w:val="none" w:sz="0" w:space="0" w:color="auto"/>
      </w:divBdr>
    </w:div>
    <w:div w:id="1923444148">
      <w:bodyDiv w:val="1"/>
      <w:marLeft w:val="0"/>
      <w:marRight w:val="0"/>
      <w:marTop w:val="0"/>
      <w:marBottom w:val="0"/>
      <w:divBdr>
        <w:top w:val="none" w:sz="0" w:space="0" w:color="auto"/>
        <w:left w:val="none" w:sz="0" w:space="0" w:color="auto"/>
        <w:bottom w:val="none" w:sz="0" w:space="0" w:color="auto"/>
        <w:right w:val="none" w:sz="0" w:space="0" w:color="auto"/>
      </w:divBdr>
    </w:div>
    <w:div w:id="1924215156">
      <w:bodyDiv w:val="1"/>
      <w:marLeft w:val="0"/>
      <w:marRight w:val="0"/>
      <w:marTop w:val="0"/>
      <w:marBottom w:val="0"/>
      <w:divBdr>
        <w:top w:val="none" w:sz="0" w:space="0" w:color="auto"/>
        <w:left w:val="none" w:sz="0" w:space="0" w:color="auto"/>
        <w:bottom w:val="none" w:sz="0" w:space="0" w:color="auto"/>
        <w:right w:val="none" w:sz="0" w:space="0" w:color="auto"/>
      </w:divBdr>
      <w:divsChild>
        <w:div w:id="298657134">
          <w:marLeft w:val="0"/>
          <w:marRight w:val="0"/>
          <w:marTop w:val="0"/>
          <w:marBottom w:val="0"/>
          <w:divBdr>
            <w:top w:val="none" w:sz="0" w:space="0" w:color="auto"/>
            <w:left w:val="none" w:sz="0" w:space="0" w:color="auto"/>
            <w:bottom w:val="none" w:sz="0" w:space="0" w:color="auto"/>
            <w:right w:val="none" w:sz="0" w:space="0" w:color="auto"/>
          </w:divBdr>
          <w:divsChild>
            <w:div w:id="843975978">
              <w:marLeft w:val="0"/>
              <w:marRight w:val="0"/>
              <w:marTop w:val="0"/>
              <w:marBottom w:val="0"/>
              <w:divBdr>
                <w:top w:val="none" w:sz="0" w:space="0" w:color="auto"/>
                <w:left w:val="none" w:sz="0" w:space="0" w:color="auto"/>
                <w:bottom w:val="none" w:sz="0" w:space="0" w:color="auto"/>
                <w:right w:val="none" w:sz="0" w:space="0" w:color="auto"/>
              </w:divBdr>
              <w:divsChild>
                <w:div w:id="12182016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61187335">
      <w:bodyDiv w:val="1"/>
      <w:marLeft w:val="0"/>
      <w:marRight w:val="0"/>
      <w:marTop w:val="0"/>
      <w:marBottom w:val="0"/>
      <w:divBdr>
        <w:top w:val="none" w:sz="0" w:space="0" w:color="auto"/>
        <w:left w:val="none" w:sz="0" w:space="0" w:color="auto"/>
        <w:bottom w:val="none" w:sz="0" w:space="0" w:color="auto"/>
        <w:right w:val="none" w:sz="0" w:space="0" w:color="auto"/>
      </w:divBdr>
      <w:divsChild>
        <w:div w:id="495731463">
          <w:marLeft w:val="0"/>
          <w:marRight w:val="0"/>
          <w:marTop w:val="0"/>
          <w:marBottom w:val="0"/>
          <w:divBdr>
            <w:top w:val="none" w:sz="0" w:space="0" w:color="auto"/>
            <w:left w:val="none" w:sz="0" w:space="0" w:color="auto"/>
            <w:bottom w:val="none" w:sz="0" w:space="0" w:color="auto"/>
            <w:right w:val="none" w:sz="0" w:space="0" w:color="auto"/>
          </w:divBdr>
          <w:divsChild>
            <w:div w:id="893276150">
              <w:marLeft w:val="0"/>
              <w:marRight w:val="0"/>
              <w:marTop w:val="0"/>
              <w:marBottom w:val="0"/>
              <w:divBdr>
                <w:top w:val="none" w:sz="0" w:space="0" w:color="auto"/>
                <w:left w:val="none" w:sz="0" w:space="0" w:color="auto"/>
                <w:bottom w:val="none" w:sz="0" w:space="0" w:color="auto"/>
                <w:right w:val="none" w:sz="0" w:space="0" w:color="auto"/>
              </w:divBdr>
              <w:divsChild>
                <w:div w:id="214701019">
                  <w:marLeft w:val="0"/>
                  <w:marRight w:val="0"/>
                  <w:marTop w:val="0"/>
                  <w:marBottom w:val="0"/>
                  <w:divBdr>
                    <w:top w:val="none" w:sz="0" w:space="0" w:color="auto"/>
                    <w:left w:val="none" w:sz="0" w:space="0" w:color="auto"/>
                    <w:bottom w:val="none" w:sz="0" w:space="0" w:color="auto"/>
                    <w:right w:val="none" w:sz="0" w:space="0" w:color="auto"/>
                  </w:divBdr>
                  <w:divsChild>
                    <w:div w:id="615986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830535">
      <w:bodyDiv w:val="1"/>
      <w:marLeft w:val="0"/>
      <w:marRight w:val="0"/>
      <w:marTop w:val="0"/>
      <w:marBottom w:val="0"/>
      <w:divBdr>
        <w:top w:val="none" w:sz="0" w:space="0" w:color="auto"/>
        <w:left w:val="none" w:sz="0" w:space="0" w:color="auto"/>
        <w:bottom w:val="none" w:sz="0" w:space="0" w:color="auto"/>
        <w:right w:val="none" w:sz="0" w:space="0" w:color="auto"/>
      </w:divBdr>
    </w:div>
    <w:div w:id="1985311957">
      <w:bodyDiv w:val="1"/>
      <w:marLeft w:val="0"/>
      <w:marRight w:val="0"/>
      <w:marTop w:val="0"/>
      <w:marBottom w:val="0"/>
      <w:divBdr>
        <w:top w:val="none" w:sz="0" w:space="0" w:color="auto"/>
        <w:left w:val="none" w:sz="0" w:space="0" w:color="auto"/>
        <w:bottom w:val="none" w:sz="0" w:space="0" w:color="auto"/>
        <w:right w:val="none" w:sz="0" w:space="0" w:color="auto"/>
      </w:divBdr>
      <w:divsChild>
        <w:div w:id="569580632">
          <w:marLeft w:val="0"/>
          <w:marRight w:val="0"/>
          <w:marTop w:val="0"/>
          <w:marBottom w:val="0"/>
          <w:divBdr>
            <w:top w:val="none" w:sz="0" w:space="0" w:color="auto"/>
            <w:left w:val="none" w:sz="0" w:space="0" w:color="auto"/>
            <w:bottom w:val="none" w:sz="0" w:space="0" w:color="auto"/>
            <w:right w:val="none" w:sz="0" w:space="0" w:color="auto"/>
          </w:divBdr>
          <w:divsChild>
            <w:div w:id="1399668771">
              <w:marLeft w:val="0"/>
              <w:marRight w:val="0"/>
              <w:marTop w:val="0"/>
              <w:marBottom w:val="0"/>
              <w:divBdr>
                <w:top w:val="none" w:sz="0" w:space="0" w:color="auto"/>
                <w:left w:val="none" w:sz="0" w:space="0" w:color="auto"/>
                <w:bottom w:val="none" w:sz="0" w:space="0" w:color="auto"/>
                <w:right w:val="none" w:sz="0" w:space="0" w:color="auto"/>
              </w:divBdr>
              <w:divsChild>
                <w:div w:id="2060737278">
                  <w:marLeft w:val="0"/>
                  <w:marRight w:val="0"/>
                  <w:marTop w:val="0"/>
                  <w:marBottom w:val="0"/>
                  <w:divBdr>
                    <w:top w:val="none" w:sz="0" w:space="0" w:color="auto"/>
                    <w:left w:val="none" w:sz="0" w:space="0" w:color="auto"/>
                    <w:bottom w:val="none" w:sz="0" w:space="0" w:color="auto"/>
                    <w:right w:val="none" w:sz="0" w:space="0" w:color="auto"/>
                  </w:divBdr>
                  <w:divsChild>
                    <w:div w:id="1593467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2101819">
      <w:bodyDiv w:val="1"/>
      <w:marLeft w:val="0"/>
      <w:marRight w:val="0"/>
      <w:marTop w:val="0"/>
      <w:marBottom w:val="0"/>
      <w:divBdr>
        <w:top w:val="none" w:sz="0" w:space="0" w:color="auto"/>
        <w:left w:val="none" w:sz="0" w:space="0" w:color="auto"/>
        <w:bottom w:val="none" w:sz="0" w:space="0" w:color="auto"/>
        <w:right w:val="none" w:sz="0" w:space="0" w:color="auto"/>
      </w:divBdr>
    </w:div>
    <w:div w:id="2051150931">
      <w:bodyDiv w:val="1"/>
      <w:marLeft w:val="0"/>
      <w:marRight w:val="0"/>
      <w:marTop w:val="0"/>
      <w:marBottom w:val="0"/>
      <w:divBdr>
        <w:top w:val="none" w:sz="0" w:space="0" w:color="auto"/>
        <w:left w:val="none" w:sz="0" w:space="0" w:color="auto"/>
        <w:bottom w:val="none" w:sz="0" w:space="0" w:color="auto"/>
        <w:right w:val="none" w:sz="0" w:space="0" w:color="auto"/>
      </w:divBdr>
      <w:divsChild>
        <w:div w:id="889922609">
          <w:marLeft w:val="0"/>
          <w:marRight w:val="0"/>
          <w:marTop w:val="0"/>
          <w:marBottom w:val="0"/>
          <w:divBdr>
            <w:top w:val="none" w:sz="0" w:space="0" w:color="auto"/>
            <w:left w:val="none" w:sz="0" w:space="0" w:color="auto"/>
            <w:bottom w:val="none" w:sz="0" w:space="0" w:color="auto"/>
            <w:right w:val="none" w:sz="0" w:space="0" w:color="auto"/>
          </w:divBdr>
          <w:divsChild>
            <w:div w:id="900601919">
              <w:marLeft w:val="0"/>
              <w:marRight w:val="0"/>
              <w:marTop w:val="0"/>
              <w:marBottom w:val="0"/>
              <w:divBdr>
                <w:top w:val="none" w:sz="0" w:space="0" w:color="auto"/>
                <w:left w:val="none" w:sz="0" w:space="0" w:color="auto"/>
                <w:bottom w:val="none" w:sz="0" w:space="0" w:color="auto"/>
                <w:right w:val="none" w:sz="0" w:space="0" w:color="auto"/>
              </w:divBdr>
              <w:divsChild>
                <w:div w:id="8814773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829713">
      <w:bodyDiv w:val="1"/>
      <w:marLeft w:val="0"/>
      <w:marRight w:val="0"/>
      <w:marTop w:val="0"/>
      <w:marBottom w:val="0"/>
      <w:divBdr>
        <w:top w:val="none" w:sz="0" w:space="0" w:color="auto"/>
        <w:left w:val="none" w:sz="0" w:space="0" w:color="auto"/>
        <w:bottom w:val="none" w:sz="0" w:space="0" w:color="auto"/>
        <w:right w:val="none" w:sz="0" w:space="0" w:color="auto"/>
      </w:divBdr>
      <w:divsChild>
        <w:div w:id="820469003">
          <w:marLeft w:val="0"/>
          <w:marRight w:val="0"/>
          <w:marTop w:val="0"/>
          <w:marBottom w:val="0"/>
          <w:divBdr>
            <w:top w:val="none" w:sz="0" w:space="0" w:color="auto"/>
            <w:left w:val="none" w:sz="0" w:space="0" w:color="auto"/>
            <w:bottom w:val="none" w:sz="0" w:space="0" w:color="auto"/>
            <w:right w:val="none" w:sz="0" w:space="0" w:color="auto"/>
          </w:divBdr>
          <w:divsChild>
            <w:div w:id="80223408">
              <w:marLeft w:val="0"/>
              <w:marRight w:val="0"/>
              <w:marTop w:val="0"/>
              <w:marBottom w:val="0"/>
              <w:divBdr>
                <w:top w:val="none" w:sz="0" w:space="0" w:color="auto"/>
                <w:left w:val="none" w:sz="0" w:space="0" w:color="auto"/>
                <w:bottom w:val="none" w:sz="0" w:space="0" w:color="auto"/>
                <w:right w:val="none" w:sz="0" w:space="0" w:color="auto"/>
              </w:divBdr>
              <w:divsChild>
                <w:div w:id="1367875174">
                  <w:marLeft w:val="0"/>
                  <w:marRight w:val="0"/>
                  <w:marTop w:val="0"/>
                  <w:marBottom w:val="0"/>
                  <w:divBdr>
                    <w:top w:val="none" w:sz="0" w:space="0" w:color="auto"/>
                    <w:left w:val="none" w:sz="0" w:space="0" w:color="auto"/>
                    <w:bottom w:val="none" w:sz="0" w:space="0" w:color="auto"/>
                    <w:right w:val="none" w:sz="0" w:space="0" w:color="auto"/>
                  </w:divBdr>
                  <w:divsChild>
                    <w:div w:id="1513646016">
                      <w:marLeft w:val="0"/>
                      <w:marRight w:val="0"/>
                      <w:marTop w:val="0"/>
                      <w:marBottom w:val="0"/>
                      <w:divBdr>
                        <w:top w:val="none" w:sz="0" w:space="0" w:color="auto"/>
                        <w:left w:val="none" w:sz="0" w:space="0" w:color="auto"/>
                        <w:bottom w:val="none" w:sz="0" w:space="0" w:color="auto"/>
                        <w:right w:val="none" w:sz="0" w:space="0" w:color="auto"/>
                      </w:divBdr>
                    </w:div>
                  </w:divsChild>
                </w:div>
                <w:div w:id="1605071503">
                  <w:marLeft w:val="0"/>
                  <w:marRight w:val="0"/>
                  <w:marTop w:val="0"/>
                  <w:marBottom w:val="0"/>
                  <w:divBdr>
                    <w:top w:val="none" w:sz="0" w:space="0" w:color="auto"/>
                    <w:left w:val="none" w:sz="0" w:space="0" w:color="auto"/>
                    <w:bottom w:val="none" w:sz="0" w:space="0" w:color="auto"/>
                    <w:right w:val="none" w:sz="0" w:space="0" w:color="auto"/>
                  </w:divBdr>
                  <w:divsChild>
                    <w:div w:id="1288853663">
                      <w:marLeft w:val="0"/>
                      <w:marRight w:val="0"/>
                      <w:marTop w:val="0"/>
                      <w:marBottom w:val="0"/>
                      <w:divBdr>
                        <w:top w:val="none" w:sz="0" w:space="0" w:color="auto"/>
                        <w:left w:val="none" w:sz="0" w:space="0" w:color="auto"/>
                        <w:bottom w:val="none" w:sz="0" w:space="0" w:color="auto"/>
                        <w:right w:val="none" w:sz="0" w:space="0" w:color="auto"/>
                      </w:divBdr>
                    </w:div>
                  </w:divsChild>
                </w:div>
                <w:div w:id="2003461685">
                  <w:marLeft w:val="0"/>
                  <w:marRight w:val="0"/>
                  <w:marTop w:val="0"/>
                  <w:marBottom w:val="0"/>
                  <w:divBdr>
                    <w:top w:val="none" w:sz="0" w:space="0" w:color="auto"/>
                    <w:left w:val="none" w:sz="0" w:space="0" w:color="auto"/>
                    <w:bottom w:val="none" w:sz="0" w:space="0" w:color="auto"/>
                    <w:right w:val="none" w:sz="0" w:space="0" w:color="auto"/>
                  </w:divBdr>
                  <w:divsChild>
                    <w:div w:id="88434748">
                      <w:marLeft w:val="0"/>
                      <w:marRight w:val="0"/>
                      <w:marTop w:val="0"/>
                      <w:marBottom w:val="0"/>
                      <w:divBdr>
                        <w:top w:val="none" w:sz="0" w:space="0" w:color="auto"/>
                        <w:left w:val="none" w:sz="0" w:space="0" w:color="auto"/>
                        <w:bottom w:val="none" w:sz="0" w:space="0" w:color="auto"/>
                        <w:right w:val="none" w:sz="0" w:space="0" w:color="auto"/>
                      </w:divBdr>
                    </w:div>
                  </w:divsChild>
                </w:div>
                <w:div w:id="402412116">
                  <w:marLeft w:val="0"/>
                  <w:marRight w:val="0"/>
                  <w:marTop w:val="0"/>
                  <w:marBottom w:val="0"/>
                  <w:divBdr>
                    <w:top w:val="none" w:sz="0" w:space="0" w:color="auto"/>
                    <w:left w:val="none" w:sz="0" w:space="0" w:color="auto"/>
                    <w:bottom w:val="none" w:sz="0" w:space="0" w:color="auto"/>
                    <w:right w:val="none" w:sz="0" w:space="0" w:color="auto"/>
                  </w:divBdr>
                  <w:divsChild>
                    <w:div w:id="5115356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190189">
              <w:marLeft w:val="0"/>
              <w:marRight w:val="0"/>
              <w:marTop w:val="0"/>
              <w:marBottom w:val="0"/>
              <w:divBdr>
                <w:top w:val="none" w:sz="0" w:space="0" w:color="auto"/>
                <w:left w:val="none" w:sz="0" w:space="0" w:color="auto"/>
                <w:bottom w:val="none" w:sz="0" w:space="0" w:color="auto"/>
                <w:right w:val="none" w:sz="0" w:space="0" w:color="auto"/>
              </w:divBdr>
              <w:divsChild>
                <w:div w:id="1714889320">
                  <w:marLeft w:val="0"/>
                  <w:marRight w:val="0"/>
                  <w:marTop w:val="0"/>
                  <w:marBottom w:val="0"/>
                  <w:divBdr>
                    <w:top w:val="none" w:sz="0" w:space="0" w:color="auto"/>
                    <w:left w:val="none" w:sz="0" w:space="0" w:color="auto"/>
                    <w:bottom w:val="none" w:sz="0" w:space="0" w:color="auto"/>
                    <w:right w:val="none" w:sz="0" w:space="0" w:color="auto"/>
                  </w:divBdr>
                  <w:divsChild>
                    <w:div w:id="5227914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697530">
          <w:marLeft w:val="0"/>
          <w:marRight w:val="0"/>
          <w:marTop w:val="0"/>
          <w:marBottom w:val="0"/>
          <w:divBdr>
            <w:top w:val="none" w:sz="0" w:space="0" w:color="auto"/>
            <w:left w:val="none" w:sz="0" w:space="0" w:color="auto"/>
            <w:bottom w:val="none" w:sz="0" w:space="0" w:color="auto"/>
            <w:right w:val="none" w:sz="0" w:space="0" w:color="auto"/>
          </w:divBdr>
          <w:divsChild>
            <w:div w:id="2135560067">
              <w:marLeft w:val="0"/>
              <w:marRight w:val="0"/>
              <w:marTop w:val="0"/>
              <w:marBottom w:val="0"/>
              <w:divBdr>
                <w:top w:val="none" w:sz="0" w:space="0" w:color="auto"/>
                <w:left w:val="none" w:sz="0" w:space="0" w:color="auto"/>
                <w:bottom w:val="none" w:sz="0" w:space="0" w:color="auto"/>
                <w:right w:val="none" w:sz="0" w:space="0" w:color="auto"/>
              </w:divBdr>
              <w:divsChild>
                <w:div w:id="194730304">
                  <w:marLeft w:val="0"/>
                  <w:marRight w:val="0"/>
                  <w:marTop w:val="0"/>
                  <w:marBottom w:val="0"/>
                  <w:divBdr>
                    <w:top w:val="none" w:sz="0" w:space="0" w:color="auto"/>
                    <w:left w:val="none" w:sz="0" w:space="0" w:color="auto"/>
                    <w:bottom w:val="none" w:sz="0" w:space="0" w:color="auto"/>
                    <w:right w:val="none" w:sz="0" w:space="0" w:color="auto"/>
                  </w:divBdr>
                  <w:divsChild>
                    <w:div w:id="5768599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2893799">
      <w:bodyDiv w:val="1"/>
      <w:marLeft w:val="0"/>
      <w:marRight w:val="0"/>
      <w:marTop w:val="0"/>
      <w:marBottom w:val="0"/>
      <w:divBdr>
        <w:top w:val="none" w:sz="0" w:space="0" w:color="auto"/>
        <w:left w:val="none" w:sz="0" w:space="0" w:color="auto"/>
        <w:bottom w:val="none" w:sz="0" w:space="0" w:color="auto"/>
        <w:right w:val="none" w:sz="0" w:space="0" w:color="auto"/>
      </w:divBdr>
      <w:divsChild>
        <w:div w:id="1280991976">
          <w:marLeft w:val="0"/>
          <w:marRight w:val="0"/>
          <w:marTop w:val="0"/>
          <w:marBottom w:val="0"/>
          <w:divBdr>
            <w:top w:val="none" w:sz="0" w:space="0" w:color="auto"/>
            <w:left w:val="none" w:sz="0" w:space="0" w:color="auto"/>
            <w:bottom w:val="none" w:sz="0" w:space="0" w:color="auto"/>
            <w:right w:val="none" w:sz="0" w:space="0" w:color="auto"/>
          </w:divBdr>
          <w:divsChild>
            <w:div w:id="274602381">
              <w:marLeft w:val="0"/>
              <w:marRight w:val="0"/>
              <w:marTop w:val="0"/>
              <w:marBottom w:val="0"/>
              <w:divBdr>
                <w:top w:val="none" w:sz="0" w:space="0" w:color="auto"/>
                <w:left w:val="none" w:sz="0" w:space="0" w:color="auto"/>
                <w:bottom w:val="none" w:sz="0" w:space="0" w:color="auto"/>
                <w:right w:val="none" w:sz="0" w:space="0" w:color="auto"/>
              </w:divBdr>
              <w:divsChild>
                <w:div w:id="1298414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2384695">
      <w:bodyDiv w:val="1"/>
      <w:marLeft w:val="0"/>
      <w:marRight w:val="0"/>
      <w:marTop w:val="0"/>
      <w:marBottom w:val="0"/>
      <w:divBdr>
        <w:top w:val="none" w:sz="0" w:space="0" w:color="auto"/>
        <w:left w:val="none" w:sz="0" w:space="0" w:color="auto"/>
        <w:bottom w:val="none" w:sz="0" w:space="0" w:color="auto"/>
        <w:right w:val="none" w:sz="0" w:space="0" w:color="auto"/>
      </w:divBdr>
    </w:div>
    <w:div w:id="2144886898">
      <w:bodyDiv w:val="1"/>
      <w:marLeft w:val="0"/>
      <w:marRight w:val="0"/>
      <w:marTop w:val="0"/>
      <w:marBottom w:val="0"/>
      <w:divBdr>
        <w:top w:val="none" w:sz="0" w:space="0" w:color="auto"/>
        <w:left w:val="none" w:sz="0" w:space="0" w:color="auto"/>
        <w:bottom w:val="none" w:sz="0" w:space="0" w:color="auto"/>
        <w:right w:val="none" w:sz="0" w:space="0" w:color="auto"/>
      </w:divBdr>
      <w:divsChild>
        <w:div w:id="110635151">
          <w:marLeft w:val="0"/>
          <w:marRight w:val="0"/>
          <w:marTop w:val="0"/>
          <w:marBottom w:val="0"/>
          <w:divBdr>
            <w:top w:val="none" w:sz="0" w:space="0" w:color="auto"/>
            <w:left w:val="none" w:sz="0" w:space="0" w:color="auto"/>
            <w:bottom w:val="none" w:sz="0" w:space="0" w:color="auto"/>
            <w:right w:val="none" w:sz="0" w:space="0" w:color="auto"/>
          </w:divBdr>
          <w:divsChild>
            <w:div w:id="1827865864">
              <w:marLeft w:val="0"/>
              <w:marRight w:val="0"/>
              <w:marTop w:val="0"/>
              <w:marBottom w:val="0"/>
              <w:divBdr>
                <w:top w:val="none" w:sz="0" w:space="0" w:color="auto"/>
                <w:left w:val="none" w:sz="0" w:space="0" w:color="auto"/>
                <w:bottom w:val="none" w:sz="0" w:space="0" w:color="auto"/>
                <w:right w:val="none" w:sz="0" w:space="0" w:color="auto"/>
              </w:divBdr>
              <w:divsChild>
                <w:div w:id="502818122">
                  <w:marLeft w:val="0"/>
                  <w:marRight w:val="0"/>
                  <w:marTop w:val="0"/>
                  <w:marBottom w:val="0"/>
                  <w:divBdr>
                    <w:top w:val="none" w:sz="0" w:space="0" w:color="auto"/>
                    <w:left w:val="none" w:sz="0" w:space="0" w:color="auto"/>
                    <w:bottom w:val="none" w:sz="0" w:space="0" w:color="auto"/>
                    <w:right w:val="none" w:sz="0" w:space="0" w:color="auto"/>
                  </w:divBdr>
                  <w:divsChild>
                    <w:div w:id="2016497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s://www.unesco.org/en/articles/smashing-gender-stereotypes-and-bias-and-through-education" TargetMode="Externa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21</Pages>
  <Words>6288</Words>
  <Characters>35847</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James (0851498)</dc:creator>
  <cp:keywords/>
  <dc:description/>
  <cp:lastModifiedBy>Hannah James (0851498)</cp:lastModifiedBy>
  <cp:revision>3</cp:revision>
  <dcterms:created xsi:type="dcterms:W3CDTF">2024-05-06T21:34:00Z</dcterms:created>
  <dcterms:modified xsi:type="dcterms:W3CDTF">2024-05-06T21:40:00Z</dcterms:modified>
</cp:coreProperties>
</file>