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130D49" w14:textId="77777777" w:rsidR="00F41568" w:rsidRPr="009F2FB7" w:rsidRDefault="00EB6460" w:rsidP="00EB6460">
      <w:pPr>
        <w:jc w:val="right"/>
        <w:rPr>
          <w:rFonts w:ascii="Arial" w:hAnsi="Arial" w:cs="Arial"/>
          <w:sz w:val="22"/>
          <w:szCs w:val="22"/>
        </w:rPr>
      </w:pPr>
      <w:r w:rsidRPr="009F2FB7">
        <w:rPr>
          <w:rFonts w:ascii="Arial" w:hAnsi="Arial" w:cs="Arial"/>
          <w:sz w:val="22"/>
          <w:szCs w:val="22"/>
        </w:rPr>
        <w:t>Tia Carson-Davies</w:t>
      </w:r>
    </w:p>
    <w:p w14:paraId="2DF156B4" w14:textId="4A3FF665" w:rsidR="00EB6460" w:rsidRPr="009F2FB7" w:rsidRDefault="001F6540" w:rsidP="00EB6460">
      <w:pPr>
        <w:rPr>
          <w:rFonts w:ascii="Arial" w:hAnsi="Arial" w:cs="Arial"/>
          <w:b/>
          <w:sz w:val="22"/>
          <w:szCs w:val="22"/>
        </w:rPr>
      </w:pPr>
      <w:r w:rsidRPr="009F2FB7">
        <w:rPr>
          <w:rFonts w:ascii="Arial" w:hAnsi="Arial" w:cs="Arial"/>
          <w:b/>
          <w:sz w:val="22"/>
          <w:szCs w:val="22"/>
        </w:rPr>
        <w:t xml:space="preserve">2250 words </w:t>
      </w:r>
      <w:r w:rsidR="00EB6460" w:rsidRPr="009F2FB7">
        <w:rPr>
          <w:rFonts w:ascii="Arial" w:hAnsi="Arial" w:cs="Arial"/>
          <w:b/>
          <w:sz w:val="22"/>
          <w:szCs w:val="22"/>
          <w:u w:val="single"/>
        </w:rPr>
        <w:t>What is bad faith?</w:t>
      </w:r>
    </w:p>
    <w:p w14:paraId="3D19DC62" w14:textId="06093642" w:rsidR="001F6540" w:rsidRPr="009F2FB7" w:rsidRDefault="001F6540" w:rsidP="00EB6460">
      <w:pPr>
        <w:rPr>
          <w:rFonts w:ascii="Arial" w:hAnsi="Arial" w:cs="Arial"/>
          <w:sz w:val="22"/>
          <w:szCs w:val="22"/>
        </w:rPr>
      </w:pPr>
    </w:p>
    <w:p w14:paraId="5A3AC716" w14:textId="3286978F" w:rsidR="009966D9" w:rsidRPr="009F2FB7" w:rsidRDefault="009966D9" w:rsidP="009966D9">
      <w:pPr>
        <w:rPr>
          <w:rFonts w:ascii="Arial" w:eastAsia="Times New Roman" w:hAnsi="Arial" w:cs="Arial"/>
          <w:sz w:val="22"/>
          <w:szCs w:val="22"/>
        </w:rPr>
      </w:pPr>
      <w:r w:rsidRPr="009F2FB7">
        <w:rPr>
          <w:rFonts w:ascii="Arial" w:hAnsi="Arial" w:cs="Arial"/>
          <w:sz w:val="22"/>
          <w:szCs w:val="22"/>
        </w:rPr>
        <w:t xml:space="preserve">I am going to be writing agreeing with </w:t>
      </w:r>
      <w:r w:rsidR="00CB3472">
        <w:rPr>
          <w:rFonts w:ascii="Arial" w:hAnsi="Arial" w:cs="Arial"/>
          <w:sz w:val="22"/>
          <w:szCs w:val="22"/>
        </w:rPr>
        <w:t>this</w:t>
      </w:r>
      <w:r w:rsidRPr="009F2FB7">
        <w:rPr>
          <w:rFonts w:ascii="Arial" w:hAnsi="Arial" w:cs="Arial"/>
          <w:sz w:val="22"/>
          <w:szCs w:val="22"/>
        </w:rPr>
        <w:t xml:space="preserve"> definition that bad faith is </w:t>
      </w:r>
      <w:r w:rsidRPr="009F2FB7">
        <w:rPr>
          <w:rFonts w:ascii="Arial" w:eastAsia="Times New Roman" w:hAnsi="Arial" w:cs="Arial"/>
          <w:bCs/>
          <w:color w:val="222222"/>
          <w:sz w:val="22"/>
          <w:szCs w:val="22"/>
        </w:rPr>
        <w:t>“</w:t>
      </w:r>
      <w:r w:rsidR="00151FA8" w:rsidRPr="009F2FB7">
        <w:rPr>
          <w:rFonts w:ascii="Arial" w:eastAsia="Times New Roman" w:hAnsi="Arial" w:cs="Arial"/>
          <w:bCs/>
          <w:color w:val="222222"/>
          <w:sz w:val="22"/>
          <w:szCs w:val="22"/>
        </w:rPr>
        <w:t>a philosophical</w:t>
      </w:r>
      <w:r w:rsidR="00CB3472">
        <w:rPr>
          <w:rFonts w:ascii="Arial" w:eastAsia="Times New Roman" w:hAnsi="Arial" w:cs="Arial"/>
          <w:bCs/>
          <w:color w:val="222222"/>
          <w:sz w:val="22"/>
          <w:szCs w:val="22"/>
        </w:rPr>
        <w:t xml:space="preserve"> concept utilized by</w:t>
      </w:r>
      <w:r w:rsidR="00151FA8" w:rsidRPr="009F2FB7">
        <w:rPr>
          <w:rFonts w:ascii="Arial" w:eastAsia="Times New Roman" w:hAnsi="Arial" w:cs="Arial"/>
          <w:bCs/>
          <w:color w:val="222222"/>
          <w:sz w:val="22"/>
          <w:szCs w:val="22"/>
        </w:rPr>
        <w:t xml:space="preserve"> </w:t>
      </w:r>
      <w:r w:rsidR="00151FA8" w:rsidRPr="009F2FB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existentialist philosophers Simone de Beauvoir and Jean-Paul </w:t>
      </w:r>
      <w:proofErr w:type="spellStart"/>
      <w:r w:rsidR="00151FA8" w:rsidRPr="009F2FB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Satre</w:t>
      </w:r>
      <w:proofErr w:type="spellEnd"/>
      <w:r w:rsidR="00151FA8" w:rsidRPr="009F2FB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to</w:t>
      </w:r>
      <w:r w:rsidRPr="009F2FB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 xml:space="preserve"> describe the phenomenon in which human beings, under pressure from social forces, adopt false values and disown their innate freedom, hence </w:t>
      </w:r>
      <w:r w:rsidR="00151FA8" w:rsidRPr="009F2FB7">
        <w:rPr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t>acting inauthentically”</w:t>
      </w:r>
      <w:r w:rsidR="00151FA8" w:rsidRPr="009F2FB7">
        <w:rPr>
          <w:rStyle w:val="FootnoteReference"/>
          <w:rFonts w:ascii="Arial" w:eastAsia="Times New Roman" w:hAnsi="Arial" w:cs="Arial"/>
          <w:color w:val="222222"/>
          <w:sz w:val="22"/>
          <w:szCs w:val="22"/>
          <w:shd w:val="clear" w:color="auto" w:fill="FFFFFF"/>
        </w:rPr>
        <w:footnoteReference w:id="1"/>
      </w:r>
    </w:p>
    <w:p w14:paraId="782AAB5A" w14:textId="17FC99F4" w:rsidR="009966D9" w:rsidRPr="009F2FB7" w:rsidRDefault="009966D9" w:rsidP="00EB6460">
      <w:pPr>
        <w:rPr>
          <w:rFonts w:ascii="Arial" w:hAnsi="Arial" w:cs="Arial"/>
          <w:sz w:val="22"/>
          <w:szCs w:val="22"/>
        </w:rPr>
      </w:pPr>
    </w:p>
    <w:p w14:paraId="6C154C61" w14:textId="0039A755" w:rsidR="00151FA8" w:rsidRPr="009F2FB7" w:rsidRDefault="009966D9" w:rsidP="00EB6460">
      <w:pPr>
        <w:rPr>
          <w:rFonts w:ascii="Arial" w:hAnsi="Arial" w:cs="Arial"/>
          <w:sz w:val="22"/>
          <w:szCs w:val="22"/>
        </w:rPr>
      </w:pPr>
      <w:r w:rsidRPr="009F2FB7">
        <w:rPr>
          <w:rFonts w:ascii="Arial" w:eastAsia="Times New Roman" w:hAnsi="Arial" w:cs="Arial"/>
          <w:bCs/>
          <w:color w:val="222222"/>
          <w:sz w:val="22"/>
          <w:szCs w:val="22"/>
        </w:rPr>
        <w:t xml:space="preserve">We are aware of the fact that we have free will and the freedom to make </w:t>
      </w:r>
      <w:r w:rsidR="00151FA8" w:rsidRPr="009F2FB7">
        <w:rPr>
          <w:rFonts w:ascii="Arial" w:eastAsia="Times New Roman" w:hAnsi="Arial" w:cs="Arial"/>
          <w:bCs/>
          <w:color w:val="222222"/>
          <w:sz w:val="22"/>
          <w:szCs w:val="22"/>
        </w:rPr>
        <w:t>o</w:t>
      </w:r>
      <w:r w:rsidRPr="009F2FB7">
        <w:rPr>
          <w:rFonts w:ascii="Arial" w:eastAsia="Times New Roman" w:hAnsi="Arial" w:cs="Arial"/>
          <w:bCs/>
          <w:color w:val="222222"/>
          <w:sz w:val="22"/>
          <w:szCs w:val="22"/>
        </w:rPr>
        <w:t>ur own choices, however we are also aware that with these choices come consequences. The</w:t>
      </w:r>
      <w:r w:rsidR="00CB3472">
        <w:rPr>
          <w:rFonts w:ascii="Arial" w:eastAsia="Times New Roman" w:hAnsi="Arial" w:cs="Arial"/>
          <w:bCs/>
          <w:color w:val="222222"/>
          <w:sz w:val="22"/>
          <w:szCs w:val="22"/>
        </w:rPr>
        <w:t xml:space="preserve"> thought</w:t>
      </w:r>
      <w:r w:rsidRPr="009F2FB7">
        <w:rPr>
          <w:rFonts w:ascii="Arial" w:eastAsia="Times New Roman" w:hAnsi="Arial" w:cs="Arial"/>
          <w:bCs/>
          <w:color w:val="222222"/>
          <w:sz w:val="22"/>
          <w:szCs w:val="22"/>
        </w:rPr>
        <w:t xml:space="preserve"> of these consequences creates anguish, leading to us becoming </w:t>
      </w:r>
      <w:r w:rsidR="00944B40">
        <w:rPr>
          <w:rFonts w:ascii="Arial" w:eastAsia="Times New Roman" w:hAnsi="Arial" w:cs="Arial"/>
          <w:bCs/>
          <w:color w:val="222222"/>
          <w:sz w:val="22"/>
          <w:szCs w:val="22"/>
        </w:rPr>
        <w:t>a ‘</w:t>
      </w:r>
      <w:r w:rsidRPr="009F2FB7">
        <w:rPr>
          <w:rFonts w:ascii="Arial" w:eastAsia="Times New Roman" w:hAnsi="Arial" w:cs="Arial"/>
          <w:bCs/>
          <w:color w:val="222222"/>
          <w:sz w:val="22"/>
          <w:szCs w:val="22"/>
        </w:rPr>
        <w:t>being in-itself</w:t>
      </w:r>
      <w:r w:rsidR="00944B40">
        <w:rPr>
          <w:rFonts w:ascii="Arial" w:eastAsia="Times New Roman" w:hAnsi="Arial" w:cs="Arial"/>
          <w:bCs/>
          <w:color w:val="222222"/>
          <w:sz w:val="22"/>
          <w:szCs w:val="22"/>
        </w:rPr>
        <w:t>’ rather than a ‘being for-itself’</w:t>
      </w:r>
      <w:r w:rsidRPr="009F2FB7">
        <w:rPr>
          <w:rFonts w:ascii="Arial" w:eastAsia="Times New Roman" w:hAnsi="Arial" w:cs="Arial"/>
          <w:bCs/>
          <w:color w:val="222222"/>
          <w:sz w:val="22"/>
          <w:szCs w:val="22"/>
        </w:rPr>
        <w:t>, limiting ourselves</w:t>
      </w:r>
      <w:r w:rsidR="00151FA8" w:rsidRPr="009F2FB7">
        <w:rPr>
          <w:rFonts w:ascii="Arial" w:eastAsia="Times New Roman" w:hAnsi="Arial" w:cs="Arial"/>
          <w:bCs/>
          <w:color w:val="222222"/>
          <w:sz w:val="22"/>
          <w:szCs w:val="22"/>
        </w:rPr>
        <w:t>, t</w:t>
      </w:r>
      <w:r w:rsidR="00151FA8" w:rsidRPr="009F2FB7">
        <w:rPr>
          <w:rFonts w:ascii="Arial" w:hAnsi="Arial" w:cs="Arial"/>
          <w:sz w:val="22"/>
          <w:szCs w:val="22"/>
        </w:rPr>
        <w:t>hus bad faith is created.</w:t>
      </w:r>
      <w:r w:rsidR="009F2FB7">
        <w:rPr>
          <w:rStyle w:val="FootnoteReference"/>
          <w:rFonts w:ascii="Arial" w:hAnsi="Arial" w:cs="Arial"/>
          <w:sz w:val="22"/>
          <w:szCs w:val="22"/>
        </w:rPr>
        <w:footnoteReference w:id="2"/>
      </w:r>
    </w:p>
    <w:p w14:paraId="25273FDD" w14:textId="70712914" w:rsidR="00151FA8" w:rsidRDefault="00151FA8" w:rsidP="00EB6460">
      <w:pPr>
        <w:rPr>
          <w:rFonts w:ascii="Arial" w:eastAsia="Times New Roman" w:hAnsi="Arial" w:cs="Arial"/>
          <w:b/>
          <w:bCs/>
          <w:color w:val="222222"/>
          <w:sz w:val="22"/>
          <w:szCs w:val="22"/>
        </w:rPr>
      </w:pPr>
    </w:p>
    <w:p w14:paraId="1EE658B6" w14:textId="433F7844" w:rsidR="00944B40" w:rsidRPr="002126B5" w:rsidRDefault="0067455F" w:rsidP="002126B5">
      <w:pPr>
        <w:autoSpaceDE w:val="0"/>
        <w:autoSpaceDN w:val="0"/>
        <w:adjustRightInd w:val="0"/>
        <w:rPr>
          <w:sz w:val="22"/>
          <w:szCs w:val="22"/>
        </w:rPr>
      </w:pPr>
      <w:r w:rsidRPr="0067455F">
        <w:rPr>
          <w:rFonts w:ascii="Arial" w:eastAsia="Times New Roman" w:hAnsi="Arial" w:cs="Arial"/>
          <w:bCs/>
          <w:color w:val="222222"/>
          <w:sz w:val="22"/>
          <w:szCs w:val="22"/>
        </w:rPr>
        <w:t xml:space="preserve">In </w:t>
      </w:r>
      <w:proofErr w:type="spellStart"/>
      <w:r w:rsidRPr="0067455F">
        <w:rPr>
          <w:rFonts w:ascii="Arial" w:eastAsia="Times New Roman" w:hAnsi="Arial" w:cs="Arial"/>
          <w:bCs/>
          <w:color w:val="222222"/>
          <w:sz w:val="22"/>
          <w:szCs w:val="22"/>
        </w:rPr>
        <w:t>Satre’s</w:t>
      </w:r>
      <w:proofErr w:type="spellEnd"/>
      <w:r w:rsidRPr="0067455F">
        <w:rPr>
          <w:rFonts w:ascii="Arial" w:eastAsia="Times New Roman" w:hAnsi="Arial" w:cs="Arial"/>
          <w:bCs/>
          <w:color w:val="222222"/>
          <w:sz w:val="22"/>
          <w:szCs w:val="22"/>
        </w:rPr>
        <w:t xml:space="preserve"> </w:t>
      </w:r>
      <w:r>
        <w:rPr>
          <w:rFonts w:ascii="Arial" w:eastAsia="Times New Roman" w:hAnsi="Arial" w:cs="Arial"/>
          <w:bCs/>
          <w:i/>
          <w:color w:val="222222"/>
          <w:sz w:val="22"/>
          <w:szCs w:val="22"/>
        </w:rPr>
        <w:t>‘</w:t>
      </w:r>
      <w:r w:rsidRPr="0067455F">
        <w:rPr>
          <w:rFonts w:ascii="Arial" w:eastAsia="Times New Roman" w:hAnsi="Arial" w:cs="Arial"/>
          <w:bCs/>
          <w:i/>
          <w:color w:val="222222"/>
          <w:sz w:val="22"/>
          <w:szCs w:val="22"/>
        </w:rPr>
        <w:t>Being and Nothingness’</w:t>
      </w:r>
      <w:r w:rsidRPr="0067455F">
        <w:rPr>
          <w:rFonts w:ascii="Arial" w:eastAsia="Times New Roman" w:hAnsi="Arial" w:cs="Arial"/>
          <w:bCs/>
          <w:color w:val="222222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  <w:lang w:val="en-US"/>
        </w:rPr>
        <w:t xml:space="preserve">he gives the example of a waiter in a café, describing how a waiter plays at being </w:t>
      </w:r>
      <w:r w:rsidRPr="0004332A">
        <w:rPr>
          <w:rFonts w:ascii="Arial" w:hAnsi="Arial" w:cs="Arial"/>
          <w:sz w:val="22"/>
          <w:szCs w:val="22"/>
          <w:lang w:val="en-US"/>
        </w:rPr>
        <w:t xml:space="preserve">a waiter. It is clear that he is playing at being a waiter as </w:t>
      </w:r>
      <w:proofErr w:type="spellStart"/>
      <w:r w:rsidRPr="0004332A">
        <w:rPr>
          <w:rFonts w:ascii="Arial" w:hAnsi="Arial" w:cs="Arial"/>
          <w:sz w:val="22"/>
          <w:szCs w:val="22"/>
          <w:lang w:val="en-US"/>
        </w:rPr>
        <w:t>Satre</w:t>
      </w:r>
      <w:proofErr w:type="spellEnd"/>
      <w:r w:rsidRPr="0004332A">
        <w:rPr>
          <w:rFonts w:ascii="Arial" w:hAnsi="Arial" w:cs="Arial"/>
          <w:sz w:val="22"/>
          <w:szCs w:val="22"/>
          <w:lang w:val="en-US"/>
        </w:rPr>
        <w:t xml:space="preserve"> describes his movements as “</w:t>
      </w:r>
      <w:r w:rsidRPr="0004332A">
        <w:rPr>
          <w:sz w:val="22"/>
          <w:szCs w:val="22"/>
        </w:rPr>
        <w:t>a little too precise, a little too rapi</w:t>
      </w:r>
      <w:r w:rsidRPr="0004332A">
        <w:rPr>
          <w:sz w:val="22"/>
          <w:szCs w:val="22"/>
        </w:rPr>
        <w:t>d” and “</w:t>
      </w:r>
      <w:r w:rsidRPr="0004332A">
        <w:rPr>
          <w:sz w:val="22"/>
          <w:szCs w:val="22"/>
        </w:rPr>
        <w:t>a little too eagerly</w:t>
      </w:r>
      <w:r w:rsidRPr="0004332A">
        <w:rPr>
          <w:sz w:val="22"/>
          <w:szCs w:val="22"/>
        </w:rPr>
        <w:t>”, “trying to imitate</w:t>
      </w:r>
      <w:r w:rsidR="002126B5" w:rsidRPr="0004332A">
        <w:rPr>
          <w:sz w:val="22"/>
          <w:szCs w:val="22"/>
        </w:rPr>
        <w:t xml:space="preserve"> a tight-rope-walker”</w:t>
      </w:r>
      <w:r w:rsidR="0004332A" w:rsidRPr="0004332A">
        <w:rPr>
          <w:rStyle w:val="FootnoteReference"/>
          <w:sz w:val="22"/>
          <w:szCs w:val="22"/>
        </w:rPr>
        <w:footnoteReference w:id="3"/>
      </w:r>
      <w:r w:rsidR="002126B5" w:rsidRPr="0004332A">
        <w:rPr>
          <w:sz w:val="22"/>
          <w:szCs w:val="22"/>
        </w:rPr>
        <w:t xml:space="preserve">. He is playing at being a waiter because he has convinced himself that he </w:t>
      </w:r>
      <w:r w:rsidR="002126B5" w:rsidRPr="0004332A">
        <w:rPr>
          <w:i/>
          <w:sz w:val="22"/>
          <w:szCs w:val="22"/>
        </w:rPr>
        <w:t>has</w:t>
      </w:r>
      <w:r w:rsidR="002126B5" w:rsidRPr="0004332A">
        <w:rPr>
          <w:sz w:val="22"/>
          <w:szCs w:val="22"/>
        </w:rPr>
        <w:t xml:space="preserve"> to. He is merely a “representation” of the waiter, playing at being a waiter each time he returns to the café. </w:t>
      </w:r>
      <w:r w:rsidR="00944B40" w:rsidRPr="0004332A">
        <w:rPr>
          <w:rFonts w:ascii="Arial" w:hAnsi="Arial" w:cs="Arial"/>
          <w:sz w:val="22"/>
          <w:szCs w:val="22"/>
        </w:rPr>
        <w:t>Bad faith is to deny ourselves of our free will</w:t>
      </w:r>
      <w:r w:rsidR="002126B5" w:rsidRPr="0004332A">
        <w:rPr>
          <w:rFonts w:ascii="Arial" w:hAnsi="Arial" w:cs="Arial"/>
          <w:sz w:val="22"/>
          <w:szCs w:val="22"/>
        </w:rPr>
        <w:t>, “</w:t>
      </w:r>
      <w:r w:rsidR="002126B5" w:rsidRPr="0004332A">
        <w:rPr>
          <w:sz w:val="22"/>
          <w:szCs w:val="22"/>
        </w:rPr>
        <w:t>But if I represent myself as him, I am not he</w:t>
      </w:r>
      <w:r w:rsidR="002126B5" w:rsidRPr="0004332A">
        <w:rPr>
          <w:sz w:val="22"/>
          <w:szCs w:val="22"/>
        </w:rPr>
        <w:t xml:space="preserve">”. </w:t>
      </w:r>
      <w:proofErr w:type="spellStart"/>
      <w:r w:rsidR="002126B5" w:rsidRPr="0004332A">
        <w:rPr>
          <w:sz w:val="22"/>
          <w:szCs w:val="22"/>
        </w:rPr>
        <w:t>Satre</w:t>
      </w:r>
      <w:proofErr w:type="spellEnd"/>
      <w:r w:rsidR="002126B5" w:rsidRPr="0004332A">
        <w:rPr>
          <w:sz w:val="22"/>
          <w:szCs w:val="22"/>
        </w:rPr>
        <w:t xml:space="preserve"> explains that the waiter </w:t>
      </w:r>
      <w:r w:rsidR="0004332A" w:rsidRPr="0004332A">
        <w:rPr>
          <w:sz w:val="22"/>
          <w:szCs w:val="22"/>
        </w:rPr>
        <w:t>sees himself</w:t>
      </w:r>
      <w:r w:rsidR="002126B5" w:rsidRPr="0004332A">
        <w:rPr>
          <w:sz w:val="22"/>
          <w:szCs w:val="22"/>
        </w:rPr>
        <w:t xml:space="preserve"> “</w:t>
      </w:r>
      <w:r w:rsidR="002126B5" w:rsidRPr="0004332A">
        <w:rPr>
          <w:sz w:val="22"/>
          <w:szCs w:val="22"/>
        </w:rPr>
        <w:t>a being-in-itself of the café waiter</w:t>
      </w:r>
      <w:r w:rsidR="002126B5" w:rsidRPr="0004332A">
        <w:rPr>
          <w:sz w:val="22"/>
          <w:szCs w:val="22"/>
        </w:rPr>
        <w:t>”</w:t>
      </w:r>
      <w:r w:rsidR="0004332A" w:rsidRPr="0004332A">
        <w:rPr>
          <w:sz w:val="22"/>
          <w:szCs w:val="22"/>
        </w:rPr>
        <w:t xml:space="preserve">, that the waiter </w:t>
      </w:r>
      <w:r w:rsidR="0004332A" w:rsidRPr="0004332A">
        <w:rPr>
          <w:i/>
          <w:sz w:val="22"/>
          <w:szCs w:val="22"/>
        </w:rPr>
        <w:t>chooses</w:t>
      </w:r>
      <w:r w:rsidR="0004332A" w:rsidRPr="0004332A">
        <w:rPr>
          <w:sz w:val="22"/>
          <w:szCs w:val="22"/>
        </w:rPr>
        <w:t xml:space="preserve"> to get up every morning for work as if he wouldn’t get fired if he did otherwise.</w:t>
      </w:r>
      <w:r w:rsidR="0004332A" w:rsidRPr="0004332A">
        <w:rPr>
          <w:rStyle w:val="FootnoteReference"/>
          <w:sz w:val="22"/>
          <w:szCs w:val="22"/>
        </w:rPr>
        <w:footnoteReference w:id="4"/>
      </w:r>
    </w:p>
    <w:p w14:paraId="61B722C9" w14:textId="45061AC5" w:rsidR="00944B40" w:rsidRDefault="0004332A" w:rsidP="00EB646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 the waiter is in fact a being-for-itself but hides away from his freedom in bad faith.</w:t>
      </w:r>
    </w:p>
    <w:p w14:paraId="163DD335" w14:textId="5CDC5159" w:rsidR="0004332A" w:rsidRDefault="0004332A" w:rsidP="00EB6460">
      <w:pPr>
        <w:rPr>
          <w:rFonts w:ascii="Arial" w:hAnsi="Arial" w:cs="Arial"/>
          <w:sz w:val="22"/>
          <w:szCs w:val="22"/>
        </w:rPr>
      </w:pPr>
    </w:p>
    <w:p w14:paraId="0B29ACE9" w14:textId="0C3CCC19" w:rsidR="0004332A" w:rsidRDefault="0004332A" w:rsidP="00EB646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‘Bad faith’ can also be explained discussing ‘other people’/’the other’.</w:t>
      </w:r>
    </w:p>
    <w:p w14:paraId="290FB2FA" w14:textId="5A51F5DD" w:rsidR="0004332A" w:rsidRDefault="0004332A" w:rsidP="00EB6460">
      <w:pPr>
        <w:rPr>
          <w:rFonts w:ascii="Arial" w:hAnsi="Arial" w:cs="Arial"/>
          <w:sz w:val="22"/>
          <w:szCs w:val="22"/>
        </w:rPr>
      </w:pPr>
    </w:p>
    <w:p w14:paraId="1551FF59" w14:textId="77777777" w:rsidR="0004332A" w:rsidRDefault="0004332A" w:rsidP="00EB6460">
      <w:pPr>
        <w:rPr>
          <w:rFonts w:ascii="Arial" w:hAnsi="Arial" w:cs="Arial"/>
          <w:sz w:val="22"/>
          <w:szCs w:val="22"/>
        </w:rPr>
      </w:pPr>
    </w:p>
    <w:p w14:paraId="196528E3" w14:textId="05E5F365" w:rsidR="001E4DF4" w:rsidRPr="009F2FB7" w:rsidRDefault="001E4DF4" w:rsidP="00EB6460">
      <w:pPr>
        <w:rPr>
          <w:rFonts w:ascii="Arial" w:hAnsi="Arial" w:cs="Arial"/>
          <w:sz w:val="22"/>
          <w:szCs w:val="22"/>
        </w:rPr>
      </w:pPr>
      <w:r w:rsidRPr="009F2FB7">
        <w:rPr>
          <w:rFonts w:ascii="Arial" w:hAnsi="Arial" w:cs="Arial"/>
          <w:sz w:val="22"/>
          <w:szCs w:val="22"/>
        </w:rPr>
        <w:t>Conclusion</w:t>
      </w:r>
    </w:p>
    <w:p w14:paraId="6E9A0E76" w14:textId="369E839C" w:rsidR="00944B40" w:rsidRPr="00944B40" w:rsidRDefault="0004332A" w:rsidP="00944B40">
      <w:pPr>
        <w:rPr>
          <w:rFonts w:ascii="Times New Roman" w:eastAsia="Times New Roman" w:hAnsi="Times New Roman" w:cs="Times New Roman"/>
          <w:sz w:val="22"/>
          <w:szCs w:val="22"/>
        </w:rPr>
      </w:pPr>
      <w:r>
        <w:rPr>
          <w:rFonts w:ascii="Arial" w:eastAsia="Times New Roman" w:hAnsi="Arial" w:cs="Arial"/>
          <w:color w:val="2C2D30"/>
          <w:sz w:val="22"/>
          <w:szCs w:val="22"/>
          <w:shd w:val="clear" w:color="auto" w:fill="FFFFFF"/>
        </w:rPr>
        <w:t>To conclude, t</w:t>
      </w:r>
      <w:r w:rsidR="00944B40" w:rsidRPr="00944B40">
        <w:rPr>
          <w:rFonts w:ascii="Arial" w:eastAsia="Times New Roman" w:hAnsi="Arial" w:cs="Arial"/>
          <w:color w:val="2C2D30"/>
          <w:sz w:val="22"/>
          <w:szCs w:val="22"/>
          <w:shd w:val="clear" w:color="auto" w:fill="FFFFFF"/>
        </w:rPr>
        <w:t>he 20th century French philosopher Jean-Paul Sartre called it </w:t>
      </w:r>
      <w:proofErr w:type="spellStart"/>
      <w:r w:rsidR="00944B40" w:rsidRPr="00944B40">
        <w:rPr>
          <w:rFonts w:ascii="Arial" w:eastAsia="Times New Roman" w:hAnsi="Arial" w:cs="Arial"/>
          <w:i/>
          <w:iCs/>
          <w:color w:val="2C2D30"/>
          <w:sz w:val="22"/>
          <w:szCs w:val="22"/>
        </w:rPr>
        <w:t>mauvaise</w:t>
      </w:r>
      <w:proofErr w:type="spellEnd"/>
      <w:r w:rsidR="00944B40" w:rsidRPr="00944B40">
        <w:rPr>
          <w:rFonts w:ascii="Arial" w:eastAsia="Times New Roman" w:hAnsi="Arial" w:cs="Arial"/>
          <w:i/>
          <w:iCs/>
          <w:color w:val="2C2D30"/>
          <w:sz w:val="22"/>
          <w:szCs w:val="22"/>
        </w:rPr>
        <w:t xml:space="preserve"> </w:t>
      </w:r>
      <w:proofErr w:type="spellStart"/>
      <w:r w:rsidR="00944B40" w:rsidRPr="00944B40">
        <w:rPr>
          <w:rFonts w:ascii="Arial" w:eastAsia="Times New Roman" w:hAnsi="Arial" w:cs="Arial"/>
          <w:i/>
          <w:iCs/>
          <w:color w:val="2C2D30"/>
          <w:sz w:val="22"/>
          <w:szCs w:val="22"/>
        </w:rPr>
        <w:t>foi</w:t>
      </w:r>
      <w:proofErr w:type="spellEnd"/>
      <w:r w:rsidR="00944B40" w:rsidRPr="00944B40">
        <w:rPr>
          <w:rFonts w:ascii="Arial" w:eastAsia="Times New Roman" w:hAnsi="Arial" w:cs="Arial"/>
          <w:i/>
          <w:iCs/>
          <w:color w:val="2C2D30"/>
          <w:sz w:val="22"/>
          <w:szCs w:val="22"/>
        </w:rPr>
        <w:t> </w:t>
      </w:r>
      <w:r w:rsidR="00944B40" w:rsidRPr="00944B40">
        <w:rPr>
          <w:rFonts w:ascii="Arial" w:eastAsia="Times New Roman" w:hAnsi="Arial" w:cs="Arial"/>
          <w:color w:val="2C2D30"/>
          <w:sz w:val="22"/>
          <w:szCs w:val="22"/>
          <w:shd w:val="clear" w:color="auto" w:fill="FFFFFF"/>
        </w:rPr>
        <w:t>('bad faith'), the habit that people have of deceiving themselves into thinking that they do not have the freedom to make choices for fear of the potential consequences of making a choice</w:t>
      </w:r>
    </w:p>
    <w:p w14:paraId="728A9AE5" w14:textId="18175378" w:rsidR="001F6540" w:rsidRPr="009F2FB7" w:rsidRDefault="00CB3472" w:rsidP="00EB6460">
      <w:pPr>
        <w:rPr>
          <w:rFonts w:ascii="Arial" w:hAnsi="Arial" w:cs="Arial"/>
          <w:sz w:val="22"/>
          <w:szCs w:val="22"/>
        </w:rPr>
      </w:pPr>
      <w:r w:rsidRPr="00CB3472">
        <w:rPr>
          <w:rFonts w:ascii="Arial" w:hAnsi="Arial" w:cs="Arial"/>
          <w:sz w:val="22"/>
          <w:szCs w:val="22"/>
          <w:highlight w:val="magenta"/>
        </w:rPr>
        <w:t xml:space="preserve">Neel Burton M.D. </w:t>
      </w:r>
      <w:r w:rsidRPr="00CB3472">
        <w:rPr>
          <w:rFonts w:ascii="Arial" w:hAnsi="Arial" w:cs="Arial"/>
          <w:i/>
          <w:sz w:val="22"/>
          <w:szCs w:val="22"/>
          <w:highlight w:val="magenta"/>
        </w:rPr>
        <w:t xml:space="preserve">In search of authenticity, individuality, and </w:t>
      </w:r>
      <w:proofErr w:type="spellStart"/>
      <w:r w:rsidRPr="00CB3472">
        <w:rPr>
          <w:rFonts w:ascii="Arial" w:hAnsi="Arial" w:cs="Arial"/>
          <w:i/>
          <w:sz w:val="22"/>
          <w:szCs w:val="22"/>
          <w:highlight w:val="magenta"/>
        </w:rPr>
        <w:t>self realization</w:t>
      </w:r>
      <w:proofErr w:type="spellEnd"/>
      <w:r w:rsidRPr="00CB3472">
        <w:rPr>
          <w:rFonts w:ascii="Arial" w:hAnsi="Arial" w:cs="Arial"/>
          <w:i/>
          <w:sz w:val="22"/>
          <w:szCs w:val="22"/>
          <w:highlight w:val="magenta"/>
        </w:rPr>
        <w:t xml:space="preserve"> </w:t>
      </w:r>
      <w:hyperlink r:id="rId8" w:history="1">
        <w:r w:rsidRPr="00CB3472">
          <w:rPr>
            <w:rStyle w:val="Hyperlink"/>
            <w:rFonts w:ascii="Arial" w:hAnsi="Arial" w:cs="Arial"/>
            <w:sz w:val="22"/>
            <w:szCs w:val="22"/>
            <w:highlight w:val="magenta"/>
          </w:rPr>
          <w:t>https://www.psychologytoday.com/gb/blog/hide-and-seek/201203/jean-paul-sartre-bad-faith</w:t>
        </w:r>
      </w:hyperlink>
      <w:r w:rsidRPr="00CB3472">
        <w:rPr>
          <w:rFonts w:ascii="Arial" w:hAnsi="Arial" w:cs="Arial"/>
          <w:sz w:val="22"/>
          <w:szCs w:val="22"/>
          <w:highlight w:val="magenta"/>
        </w:rPr>
        <w:t xml:space="preserve"> (2012)</w:t>
      </w:r>
    </w:p>
    <w:p w14:paraId="58DE5CF0" w14:textId="77777777" w:rsidR="001F6540" w:rsidRPr="009F2FB7" w:rsidRDefault="001F6540" w:rsidP="00EB6460">
      <w:pPr>
        <w:rPr>
          <w:rFonts w:ascii="Arial" w:hAnsi="Arial" w:cs="Arial"/>
          <w:sz w:val="22"/>
          <w:szCs w:val="22"/>
        </w:rPr>
      </w:pPr>
    </w:p>
    <w:p w14:paraId="059291B1" w14:textId="77777777" w:rsidR="001F6540" w:rsidRPr="009F2FB7" w:rsidRDefault="001F6540">
      <w:pPr>
        <w:rPr>
          <w:rFonts w:ascii="Arial" w:hAnsi="Arial" w:cs="Arial"/>
          <w:sz w:val="22"/>
          <w:szCs w:val="22"/>
        </w:rPr>
      </w:pPr>
      <w:r w:rsidRPr="009F2FB7">
        <w:rPr>
          <w:rFonts w:ascii="Arial" w:hAnsi="Arial" w:cs="Arial"/>
          <w:sz w:val="22"/>
          <w:szCs w:val="22"/>
        </w:rPr>
        <w:br w:type="page"/>
      </w:r>
    </w:p>
    <w:p w14:paraId="65A0402C" w14:textId="62EBE86C" w:rsidR="001E4DF4" w:rsidRPr="009F2FB7" w:rsidRDefault="001E4DF4" w:rsidP="00EB6460">
      <w:pPr>
        <w:rPr>
          <w:rFonts w:ascii="Arial" w:hAnsi="Arial" w:cs="Arial"/>
          <w:b/>
        </w:rPr>
      </w:pPr>
      <w:r w:rsidRPr="009F2FB7">
        <w:rPr>
          <w:rFonts w:ascii="Arial" w:hAnsi="Arial" w:cs="Arial"/>
          <w:b/>
        </w:rPr>
        <w:lastRenderedPageBreak/>
        <w:t>Bibliography</w:t>
      </w:r>
    </w:p>
    <w:p w14:paraId="0F406F1F" w14:textId="77777777" w:rsidR="001F6540" w:rsidRPr="009F2FB7" w:rsidRDefault="001F6540" w:rsidP="00EB6460">
      <w:pPr>
        <w:rPr>
          <w:rFonts w:ascii="Arial" w:hAnsi="Arial" w:cs="Arial"/>
        </w:rPr>
      </w:pPr>
    </w:p>
    <w:p w14:paraId="494D73A9" w14:textId="70683C65" w:rsidR="003E5C1C" w:rsidRPr="003E5C1C" w:rsidRDefault="003E5C1C" w:rsidP="003E5C1C">
      <w:pPr>
        <w:autoSpaceDE w:val="0"/>
        <w:autoSpaceDN w:val="0"/>
        <w:adjustRightInd w:val="0"/>
        <w:rPr>
          <w:rFonts w:ascii="Arial" w:hAnsi="Arial" w:cs="Arial"/>
          <w:sz w:val="22"/>
          <w:szCs w:val="22"/>
          <w:lang w:val="en-US"/>
        </w:rPr>
      </w:pPr>
      <w:bookmarkStart w:id="0" w:name="_GoBack"/>
      <w:bookmarkEnd w:id="0"/>
    </w:p>
    <w:p w14:paraId="17272BF3" w14:textId="77777777" w:rsidR="003E5C1C" w:rsidRPr="0004332A" w:rsidRDefault="003E5C1C" w:rsidP="003E5C1C">
      <w:pPr>
        <w:pStyle w:val="FootnoteText"/>
        <w:rPr>
          <w:rFonts w:cstheme="minorHAnsi"/>
          <w:i/>
        </w:rPr>
      </w:pPr>
      <w:r w:rsidRPr="0004332A">
        <w:rPr>
          <w:rStyle w:val="FootnoteReference"/>
          <w:rFonts w:cstheme="minorHAnsi"/>
        </w:rPr>
        <w:footnoteRef/>
      </w:r>
      <w:r w:rsidRPr="0004332A">
        <w:rPr>
          <w:rFonts w:cstheme="minorHAnsi"/>
        </w:rPr>
        <w:t xml:space="preserve"> J. Childers, G </w:t>
      </w:r>
      <w:proofErr w:type="spellStart"/>
      <w:r w:rsidRPr="0004332A">
        <w:rPr>
          <w:rFonts w:cstheme="minorHAnsi"/>
        </w:rPr>
        <w:t>Hentzi</w:t>
      </w:r>
      <w:proofErr w:type="spellEnd"/>
      <w:r w:rsidRPr="0004332A">
        <w:rPr>
          <w:rFonts w:cstheme="minorHAnsi"/>
        </w:rPr>
        <w:t xml:space="preserve">, </w:t>
      </w:r>
      <w:r w:rsidRPr="0004332A">
        <w:rPr>
          <w:rFonts w:cstheme="minorHAnsi"/>
          <w:i/>
        </w:rPr>
        <w:t xml:space="preserve">The Columbia Dictionary of Modern Literary and Cultural Criticism </w:t>
      </w:r>
      <w:r w:rsidRPr="0004332A">
        <w:rPr>
          <w:rFonts w:cstheme="minorHAnsi"/>
        </w:rPr>
        <w:t>(1995) p. 103</w:t>
      </w:r>
    </w:p>
    <w:p w14:paraId="54CDCCDD" w14:textId="77777777" w:rsidR="003E5C1C" w:rsidRPr="0004332A" w:rsidRDefault="003E5C1C" w:rsidP="003E5C1C">
      <w:pPr>
        <w:pStyle w:val="FootnoteText"/>
        <w:rPr>
          <w:rFonts w:cstheme="minorHAnsi"/>
          <w:i/>
        </w:rPr>
      </w:pPr>
      <w:r w:rsidRPr="0004332A">
        <w:rPr>
          <w:rStyle w:val="FootnoteReference"/>
          <w:rFonts w:cstheme="minorHAnsi"/>
        </w:rPr>
        <w:footnoteRef/>
      </w:r>
      <w:r w:rsidRPr="0004332A">
        <w:rPr>
          <w:rFonts w:cstheme="minorHAnsi"/>
        </w:rPr>
        <w:t xml:space="preserve"> J. Reynolds, </w:t>
      </w:r>
      <w:r w:rsidRPr="0004332A">
        <w:rPr>
          <w:rFonts w:cstheme="minorHAnsi"/>
          <w:i/>
        </w:rPr>
        <w:t xml:space="preserve">Understanding Existentialism </w:t>
      </w:r>
      <w:r w:rsidRPr="0004332A">
        <w:rPr>
          <w:rFonts w:cstheme="minorHAnsi"/>
        </w:rPr>
        <w:t>(2006) p.73</w:t>
      </w:r>
    </w:p>
    <w:p w14:paraId="76390DFA" w14:textId="77777777" w:rsidR="003E5C1C" w:rsidRPr="0004332A" w:rsidRDefault="003E5C1C" w:rsidP="003E5C1C">
      <w:pPr>
        <w:pStyle w:val="FootnoteText"/>
        <w:rPr>
          <w:rFonts w:cstheme="minorHAnsi"/>
        </w:rPr>
      </w:pPr>
      <w:r w:rsidRPr="0004332A">
        <w:rPr>
          <w:rStyle w:val="FootnoteReference"/>
          <w:rFonts w:cstheme="minorHAnsi"/>
        </w:rPr>
        <w:footnoteRef/>
      </w:r>
      <w:r w:rsidRPr="0004332A">
        <w:rPr>
          <w:rFonts w:cstheme="minorHAnsi"/>
        </w:rPr>
        <w:t xml:space="preserve"> </w:t>
      </w:r>
      <w:r w:rsidRPr="0004332A">
        <w:rPr>
          <w:rFonts w:cstheme="minorHAnsi"/>
          <w:lang w:val="en-US"/>
        </w:rPr>
        <w:t xml:space="preserve">Jean-Paul Sartre, </w:t>
      </w:r>
      <w:r w:rsidRPr="0004332A">
        <w:rPr>
          <w:rFonts w:cstheme="minorHAnsi"/>
          <w:i/>
          <w:lang w:val="en-US"/>
        </w:rPr>
        <w:t>Being and Nothingness</w:t>
      </w:r>
      <w:r w:rsidRPr="0004332A">
        <w:rPr>
          <w:rFonts w:cstheme="minorHAnsi"/>
          <w:lang w:val="en-US"/>
        </w:rPr>
        <w:t>, tr. Hazel E. Barnes, introduction by Mary Warnock, preface by Richard Eyre (London and New York: Routledge, 2003 [1943]), p. 82</w:t>
      </w:r>
    </w:p>
    <w:p w14:paraId="69E1D14B" w14:textId="05DA2BE8" w:rsidR="003E5C1C" w:rsidRPr="003E5C1C" w:rsidRDefault="003E5C1C" w:rsidP="003E5C1C">
      <w:pPr>
        <w:autoSpaceDE w:val="0"/>
        <w:autoSpaceDN w:val="0"/>
        <w:adjustRightInd w:val="0"/>
        <w:rPr>
          <w:sz w:val="22"/>
          <w:szCs w:val="22"/>
          <w:lang w:val="en-US"/>
        </w:rPr>
      </w:pPr>
      <w:r w:rsidRPr="0004332A">
        <w:rPr>
          <w:rStyle w:val="FootnoteReference"/>
          <w:rFonts w:cstheme="minorHAnsi"/>
          <w:sz w:val="20"/>
          <w:szCs w:val="20"/>
        </w:rPr>
        <w:footnoteRef/>
      </w:r>
      <w:r w:rsidRPr="0004332A">
        <w:rPr>
          <w:rFonts w:cstheme="minorHAnsi"/>
          <w:sz w:val="20"/>
          <w:szCs w:val="20"/>
        </w:rPr>
        <w:t xml:space="preserve"> </w:t>
      </w:r>
      <w:r w:rsidRPr="0004332A">
        <w:rPr>
          <w:rFonts w:cstheme="minorHAnsi"/>
          <w:sz w:val="20"/>
          <w:szCs w:val="20"/>
          <w:lang w:val="en-US"/>
        </w:rPr>
        <w:t xml:space="preserve">Jean-Paul Sartre, </w:t>
      </w:r>
      <w:r w:rsidRPr="0004332A">
        <w:rPr>
          <w:rFonts w:cstheme="minorHAnsi"/>
          <w:i/>
          <w:sz w:val="20"/>
          <w:szCs w:val="20"/>
          <w:lang w:val="en-US"/>
        </w:rPr>
        <w:t>Being and Nothingness</w:t>
      </w:r>
      <w:r w:rsidRPr="0004332A">
        <w:rPr>
          <w:rFonts w:cstheme="minorHAnsi"/>
          <w:sz w:val="20"/>
          <w:szCs w:val="20"/>
          <w:lang w:val="en-US"/>
        </w:rPr>
        <w:t>, tr. Hazel E. Barnes, introduction by Mary Warnock, preface by Richard Eyre (London and New York: Routledge, 2003 [1943]), p. 83</w:t>
      </w:r>
    </w:p>
    <w:sectPr w:rsidR="003E5C1C" w:rsidRPr="003E5C1C" w:rsidSect="0073365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81450F" w14:textId="77777777" w:rsidR="00A663A6" w:rsidRDefault="00A663A6" w:rsidP="00151FA8">
      <w:r>
        <w:separator/>
      </w:r>
    </w:p>
  </w:endnote>
  <w:endnote w:type="continuationSeparator" w:id="0">
    <w:p w14:paraId="295A7559" w14:textId="77777777" w:rsidR="00A663A6" w:rsidRDefault="00A663A6" w:rsidP="00151F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50A1C8" w14:textId="77777777" w:rsidR="00A663A6" w:rsidRDefault="00A663A6" w:rsidP="00151FA8">
      <w:r>
        <w:separator/>
      </w:r>
    </w:p>
  </w:footnote>
  <w:footnote w:type="continuationSeparator" w:id="0">
    <w:p w14:paraId="1EB2B317" w14:textId="77777777" w:rsidR="00A663A6" w:rsidRDefault="00A663A6" w:rsidP="00151FA8">
      <w:r>
        <w:continuationSeparator/>
      </w:r>
    </w:p>
  </w:footnote>
  <w:footnote w:id="1">
    <w:p w14:paraId="5137A520" w14:textId="703CEAF5" w:rsidR="00151FA8" w:rsidRPr="0004332A" w:rsidRDefault="00151FA8">
      <w:pPr>
        <w:pStyle w:val="FootnoteText"/>
        <w:rPr>
          <w:rFonts w:cstheme="minorHAnsi"/>
          <w:i/>
        </w:rPr>
      </w:pPr>
      <w:r w:rsidRPr="0004332A">
        <w:rPr>
          <w:rStyle w:val="FootnoteReference"/>
          <w:rFonts w:cstheme="minorHAnsi"/>
        </w:rPr>
        <w:footnoteRef/>
      </w:r>
      <w:r w:rsidRPr="0004332A">
        <w:rPr>
          <w:rFonts w:cstheme="minorHAnsi"/>
        </w:rPr>
        <w:t xml:space="preserve"> J. Childers, G </w:t>
      </w:r>
      <w:proofErr w:type="spellStart"/>
      <w:r w:rsidRPr="0004332A">
        <w:rPr>
          <w:rFonts w:cstheme="minorHAnsi"/>
        </w:rPr>
        <w:t>Hentzi</w:t>
      </w:r>
      <w:proofErr w:type="spellEnd"/>
      <w:r w:rsidR="009F2FB7" w:rsidRPr="0004332A">
        <w:rPr>
          <w:rFonts w:cstheme="minorHAnsi"/>
        </w:rPr>
        <w:t xml:space="preserve">, </w:t>
      </w:r>
      <w:r w:rsidR="009F2FB7" w:rsidRPr="0004332A">
        <w:rPr>
          <w:rFonts w:cstheme="minorHAnsi"/>
          <w:i/>
        </w:rPr>
        <w:t xml:space="preserve">The Columbia Dictionary of Modern Literary and Cultural Criticism </w:t>
      </w:r>
      <w:r w:rsidR="009F2FB7" w:rsidRPr="0004332A">
        <w:rPr>
          <w:rFonts w:cstheme="minorHAnsi"/>
        </w:rPr>
        <w:t>(1995) p. 103</w:t>
      </w:r>
    </w:p>
  </w:footnote>
  <w:footnote w:id="2">
    <w:p w14:paraId="38C6FC0A" w14:textId="2CD5E50F" w:rsidR="009F2FB7" w:rsidRPr="0004332A" w:rsidRDefault="009F2FB7">
      <w:pPr>
        <w:pStyle w:val="FootnoteText"/>
        <w:rPr>
          <w:rFonts w:cstheme="minorHAnsi"/>
          <w:i/>
        </w:rPr>
      </w:pPr>
      <w:r w:rsidRPr="0004332A">
        <w:rPr>
          <w:rStyle w:val="FootnoteReference"/>
          <w:rFonts w:cstheme="minorHAnsi"/>
        </w:rPr>
        <w:footnoteRef/>
      </w:r>
      <w:r w:rsidRPr="0004332A">
        <w:rPr>
          <w:rFonts w:cstheme="minorHAnsi"/>
        </w:rPr>
        <w:t xml:space="preserve"> J. Reynolds, </w:t>
      </w:r>
      <w:r w:rsidRPr="0004332A">
        <w:rPr>
          <w:rFonts w:cstheme="minorHAnsi"/>
          <w:i/>
        </w:rPr>
        <w:t xml:space="preserve">Understanding Existentialism </w:t>
      </w:r>
      <w:r w:rsidRPr="0004332A">
        <w:rPr>
          <w:rFonts w:cstheme="minorHAnsi"/>
        </w:rPr>
        <w:t>(2006) p.73</w:t>
      </w:r>
    </w:p>
  </w:footnote>
  <w:footnote w:id="3">
    <w:p w14:paraId="111822FA" w14:textId="018BDE97" w:rsidR="0004332A" w:rsidRPr="0004332A" w:rsidRDefault="0004332A">
      <w:pPr>
        <w:pStyle w:val="FootnoteText"/>
        <w:rPr>
          <w:rFonts w:cstheme="minorHAnsi"/>
        </w:rPr>
      </w:pPr>
      <w:r w:rsidRPr="0004332A">
        <w:rPr>
          <w:rStyle w:val="FootnoteReference"/>
          <w:rFonts w:cstheme="minorHAnsi"/>
        </w:rPr>
        <w:footnoteRef/>
      </w:r>
      <w:r w:rsidRPr="0004332A">
        <w:rPr>
          <w:rFonts w:cstheme="minorHAnsi"/>
        </w:rPr>
        <w:t xml:space="preserve"> </w:t>
      </w:r>
      <w:r w:rsidRPr="0004332A">
        <w:rPr>
          <w:rFonts w:cstheme="minorHAnsi"/>
          <w:lang w:val="en-US"/>
        </w:rPr>
        <w:t xml:space="preserve">Jean-Paul Sartre, </w:t>
      </w:r>
      <w:r w:rsidRPr="0004332A">
        <w:rPr>
          <w:rFonts w:cstheme="minorHAnsi"/>
          <w:i/>
          <w:lang w:val="en-US"/>
        </w:rPr>
        <w:t>Being and Nothingness</w:t>
      </w:r>
      <w:r w:rsidRPr="0004332A">
        <w:rPr>
          <w:rFonts w:cstheme="minorHAnsi"/>
          <w:lang w:val="en-US"/>
        </w:rPr>
        <w:t>, tr. Hazel E. Barnes, introduction by Mary Warnock, preface by Richard Eyre (London and New York: Routledge, 2003 [1943]), p. 82</w:t>
      </w:r>
    </w:p>
  </w:footnote>
  <w:footnote w:id="4">
    <w:p w14:paraId="74F59713" w14:textId="0BC9D736" w:rsidR="0004332A" w:rsidRPr="0004332A" w:rsidRDefault="0004332A">
      <w:pPr>
        <w:pStyle w:val="FootnoteText"/>
        <w:rPr>
          <w:rFonts w:cstheme="minorHAnsi"/>
        </w:rPr>
      </w:pPr>
      <w:r w:rsidRPr="0004332A">
        <w:rPr>
          <w:rStyle w:val="FootnoteReference"/>
          <w:rFonts w:cstheme="minorHAnsi"/>
        </w:rPr>
        <w:footnoteRef/>
      </w:r>
      <w:r w:rsidRPr="0004332A">
        <w:rPr>
          <w:rFonts w:cstheme="minorHAnsi"/>
        </w:rPr>
        <w:t xml:space="preserve"> </w:t>
      </w:r>
      <w:r w:rsidRPr="0004332A">
        <w:rPr>
          <w:rFonts w:cstheme="minorHAnsi"/>
          <w:lang w:val="en-US"/>
        </w:rPr>
        <w:t xml:space="preserve">Jean-Paul Sartre, </w:t>
      </w:r>
      <w:r w:rsidRPr="0004332A">
        <w:rPr>
          <w:rFonts w:cstheme="minorHAnsi"/>
          <w:i/>
          <w:lang w:val="en-US"/>
        </w:rPr>
        <w:t>Being and Nothingness</w:t>
      </w:r>
      <w:r w:rsidRPr="0004332A">
        <w:rPr>
          <w:rFonts w:cstheme="minorHAnsi"/>
          <w:lang w:val="en-US"/>
        </w:rPr>
        <w:t>, tr. Hazel E. Barnes, introduction by Mary Warnock, preface by Richard Eyre (London and New York: Routledge, 2003 [1943]), p. 8</w:t>
      </w:r>
      <w:r w:rsidRPr="0004332A">
        <w:rPr>
          <w:rFonts w:cstheme="minorHAnsi"/>
          <w:lang w:val="en-US"/>
        </w:rPr>
        <w:t>3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4D1112"/>
    <w:multiLevelType w:val="hybridMultilevel"/>
    <w:tmpl w:val="2AEE6FEC"/>
    <w:lvl w:ilvl="0" w:tplc="C096F36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6460"/>
    <w:rsid w:val="0004332A"/>
    <w:rsid w:val="00151FA8"/>
    <w:rsid w:val="001E4DF4"/>
    <w:rsid w:val="001F6540"/>
    <w:rsid w:val="002126B5"/>
    <w:rsid w:val="003E5C1C"/>
    <w:rsid w:val="005A4594"/>
    <w:rsid w:val="00626CB7"/>
    <w:rsid w:val="0067455F"/>
    <w:rsid w:val="0073365E"/>
    <w:rsid w:val="00892857"/>
    <w:rsid w:val="00944B40"/>
    <w:rsid w:val="009966D9"/>
    <w:rsid w:val="009F2FB7"/>
    <w:rsid w:val="00A663A6"/>
    <w:rsid w:val="00CB3472"/>
    <w:rsid w:val="00DC4FD7"/>
    <w:rsid w:val="00EB64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34D510"/>
  <w15:chartTrackingRefBased/>
  <w15:docId w15:val="{BA2FAEF5-D4D0-F549-8161-25807C669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6540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9966D9"/>
  </w:style>
  <w:style w:type="character" w:styleId="Hyperlink">
    <w:name w:val="Hyperlink"/>
    <w:basedOn w:val="DefaultParagraphFont"/>
    <w:uiPriority w:val="99"/>
    <w:unhideWhenUsed/>
    <w:rsid w:val="009966D9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51FA8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51FA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51FA8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944B40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CB34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87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7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69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8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sychologytoday.com/gb/blog/hide-and-seek/201203/jean-paul-sartre-bad-faith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3AE22A5-03E7-634B-BA93-9DAC774DAC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2</Pages>
  <Words>416</Words>
  <Characters>2377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Carson-davies (1801650)</dc:creator>
  <cp:keywords/>
  <dc:description/>
  <cp:lastModifiedBy>Tia Carson-davies (1801650)</cp:lastModifiedBy>
  <cp:revision>4</cp:revision>
  <dcterms:created xsi:type="dcterms:W3CDTF">2019-11-15T11:19:00Z</dcterms:created>
  <dcterms:modified xsi:type="dcterms:W3CDTF">2019-11-15T16:55:00Z</dcterms:modified>
</cp:coreProperties>
</file>