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FB5F82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C1D98">
              <w:rPr>
                <w:rFonts w:ascii="Times New Roman" w:hAnsi="Times New Roman" w:cs="Times New Roman"/>
                <w:b/>
                <w:color w:val="auto"/>
                <w:sz w:val="48"/>
              </w:rPr>
              <w:t>Kayleigh Goodall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2DC525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C1D98">
              <w:rPr>
                <w:rFonts w:ascii="Times New Roman" w:hAnsi="Times New Roman" w:cs="Times New Roman"/>
                <w:b/>
                <w:color w:val="auto"/>
                <w:sz w:val="48"/>
              </w:rPr>
              <w:t>kgoodall@carmarthenshire.gov.uk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3B0E12A" w14:textId="77777777" w:rsidR="002C1D98" w:rsidRDefault="0085230E" w:rsidP="002C1D98">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C1D98">
              <w:rPr>
                <w:rFonts w:ascii="Times New Roman" w:hAnsi="Times New Roman" w:cs="Times New Roman"/>
                <w:b/>
                <w:color w:val="auto"/>
                <w:sz w:val="48"/>
              </w:rPr>
              <w:t xml:space="preserve"> </w:t>
            </w:r>
          </w:p>
          <w:p w14:paraId="622FD17A" w14:textId="0C04982D" w:rsidR="0085230E" w:rsidRPr="005D3F07" w:rsidRDefault="002C1D9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1050914</w:t>
            </w:r>
          </w:p>
          <w:p w14:paraId="5F84129B" w14:textId="274EB0B8"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2C1D98">
              <w:rPr>
                <w:rFonts w:ascii="Times New Roman" w:hAnsi="Times New Roman" w:cs="Times New Roman"/>
                <w:b/>
                <w:color w:val="auto"/>
                <w:sz w:val="48"/>
              </w:rPr>
              <w:t xml:space="preserve"> </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6D8CB8AF" w14:textId="53501B40" w:rsidR="00FC0334" w:rsidRDefault="00FC0334" w:rsidP="00FF7EBB">
            <w:pPr>
              <w:jc w:val="both"/>
              <w:rPr>
                <w:sz w:val="24"/>
                <w:szCs w:val="24"/>
              </w:rPr>
            </w:pPr>
          </w:p>
          <w:p w14:paraId="6D548FF5" w14:textId="77777777" w:rsidR="005360E5" w:rsidRPr="005360E5" w:rsidRDefault="005360E5" w:rsidP="005360E5">
            <w:pPr>
              <w:jc w:val="both"/>
              <w:rPr>
                <w:sz w:val="24"/>
                <w:szCs w:val="24"/>
              </w:rPr>
            </w:pPr>
            <w:r w:rsidRPr="005360E5">
              <w:rPr>
                <w:sz w:val="24"/>
                <w:szCs w:val="24"/>
              </w:rPr>
              <w:t>This essay explores my understanding of the professional social work role in relation to safeguarding children at risk. Safeguarding is a core responsibility within social work practice, requiring practitioners to balance the protection of children with the provision of support to families, while working within clear legal and ethical frameworks. In Wales and across the UK, safeguarding practice is underpinned by key legislation including the Social Services and Well-being (Wales) Act (SSWB(W)A) 2014, the Children Act (CA) 1989 and Children Act (CA) 2004, alongside Welsh safeguarding legislation and statutory guidance such as the Safeguarding Vulnerable Groups Act (SVG) 2006 and the All Wales Safeguarding Procedures (WSP) (2019). These frameworks establish the legal duties of professionals and agencies to safeguard and promote the welfare of children.</w:t>
            </w:r>
          </w:p>
          <w:p w14:paraId="6023A94E" w14:textId="77777777" w:rsidR="005360E5" w:rsidRPr="005360E5" w:rsidRDefault="005360E5" w:rsidP="005360E5">
            <w:pPr>
              <w:jc w:val="both"/>
              <w:rPr>
                <w:sz w:val="24"/>
                <w:szCs w:val="24"/>
              </w:rPr>
            </w:pPr>
            <w:r w:rsidRPr="005360E5">
              <w:rPr>
                <w:sz w:val="24"/>
                <w:szCs w:val="24"/>
              </w:rPr>
              <w:t>I will reflect on how these legislative and policy frameworks inform my understanding of professional accountability, inter-agency collaboration, and ethical decision-making in social work practice when supporting children who may be at risk of harm, abuse or neglect.</w:t>
            </w:r>
          </w:p>
          <w:p w14:paraId="5323068D" w14:textId="2857D372" w:rsidR="005360E5" w:rsidRPr="005360E5" w:rsidRDefault="005360E5" w:rsidP="005360E5">
            <w:pPr>
              <w:jc w:val="both"/>
              <w:rPr>
                <w:sz w:val="24"/>
                <w:szCs w:val="24"/>
              </w:rPr>
            </w:pPr>
            <w:r w:rsidRPr="005360E5">
              <w:rPr>
                <w:sz w:val="24"/>
                <w:szCs w:val="24"/>
              </w:rPr>
              <w:t>Building on this framework, my understanding of the professional social work role in safeguarding children is grounded in both statutory duties and professional values. The SSWB(W)A 2014 places a clear duty on local authorities to promote the well-being of children and to take preventative action where there is a risk of harm (Welsh Government, 2014). SSWB(W)A 2014</w:t>
            </w:r>
            <w:r w:rsidR="00BF0A13">
              <w:rPr>
                <w:sz w:val="24"/>
                <w:szCs w:val="24"/>
              </w:rPr>
              <w:t xml:space="preserve">, </w:t>
            </w:r>
            <w:r w:rsidRPr="005360E5">
              <w:rPr>
                <w:sz w:val="24"/>
                <w:szCs w:val="24"/>
              </w:rPr>
              <w:t>S130, specifically defines a “child at risk” and requires practitioners to report concerns without delay. Similarly, the CA 1989</w:t>
            </w:r>
            <w:r w:rsidR="00BF0A13">
              <w:rPr>
                <w:sz w:val="24"/>
                <w:szCs w:val="24"/>
              </w:rPr>
              <w:t xml:space="preserve">, </w:t>
            </w:r>
            <w:r w:rsidRPr="005360E5">
              <w:rPr>
                <w:sz w:val="24"/>
                <w:szCs w:val="24"/>
              </w:rPr>
              <w:t>S1 establishes that the child’s welfare is paramount and outlines duties under S17 (children in need) and S47 (child protection enquiries). The CA 2004 further strengthens multi-agency cooperation, reflecting the reality that safeguarding is a shared responsibility. In Wales, the SVG Act 2006 supports safer recruitment and prevents unsuitable individuals from working with children, underpinning organisational safeguarding responsibilities. The WSP (2019) provides clear guidance on reporting, strategy discussions, and child protection conferences, ensuring consistency in practice across agencies.</w:t>
            </w:r>
          </w:p>
          <w:p w14:paraId="01BF3AAD" w14:textId="77777777" w:rsidR="005360E5" w:rsidRPr="005360E5" w:rsidRDefault="005360E5" w:rsidP="005360E5">
            <w:pPr>
              <w:jc w:val="both"/>
              <w:rPr>
                <w:sz w:val="24"/>
                <w:szCs w:val="24"/>
              </w:rPr>
            </w:pPr>
            <w:r w:rsidRPr="005360E5">
              <w:rPr>
                <w:sz w:val="24"/>
                <w:szCs w:val="24"/>
              </w:rPr>
              <w:t xml:space="preserve">Reflecting on these frameworks, I recognise that effective safeguarding requires more than procedural compliance. Munro (2011) emphasises that social work practice must balance </w:t>
            </w:r>
            <w:r w:rsidRPr="005360E5">
              <w:rPr>
                <w:sz w:val="24"/>
                <w:szCs w:val="24"/>
              </w:rPr>
              <w:lastRenderedPageBreak/>
              <w:t>professional judgement with bureaucratic requirements, highlighting the importance of critical thinking and reflective practice in assessing risk and making defensible decisions. Furthermore, Thompson (2018) stresses the significance of anti-oppressive practice, reminding social workers to consider how poverty, discrimination, and inequality may increase vulnerability while avoiding blame-focused approaches. Safeguarding duties also align with professional standards set by the Welsh government: Social Care Wales (SCW) 2019, which require social workers to act with integrity, prioritise the rights and well-being of children, and work collaboratively with families and partner agencies.</w:t>
            </w:r>
          </w:p>
          <w:p w14:paraId="203A9E18" w14:textId="77777777" w:rsidR="005360E5" w:rsidRPr="005360E5" w:rsidRDefault="005360E5" w:rsidP="005360E5">
            <w:pPr>
              <w:jc w:val="both"/>
              <w:rPr>
                <w:sz w:val="24"/>
                <w:szCs w:val="24"/>
              </w:rPr>
            </w:pPr>
            <w:r w:rsidRPr="005360E5">
              <w:rPr>
                <w:sz w:val="24"/>
                <w:szCs w:val="24"/>
              </w:rPr>
              <w:t>Overall, my developing knowledge demonstrates that safeguarding children at risk involves the integration of legislation, policy, ethical principles, and professional judgement. It requires confidence in applying statutory powers under the SSWB(W)A 2014 and the CA 1989, effective inter-agency communication as reinforced within the CA 2004, and ongoing reflective practice in line with professional standards set by SCW, and reflective practice theory (Schön, 1983). Together, these frameworks and theoretical perspectives emphasise that safeguarding is not solely procedural, but a dynamic and ethically informed process in which the child’s welfare must remain central to all decision-making.</w:t>
            </w:r>
          </w:p>
          <w:p w14:paraId="65799148" w14:textId="77777777" w:rsidR="005360E5" w:rsidRDefault="005360E5" w:rsidP="005360E5">
            <w:pPr>
              <w:jc w:val="both"/>
              <w:rPr>
                <w:sz w:val="24"/>
                <w:szCs w:val="24"/>
              </w:rPr>
            </w:pPr>
          </w:p>
          <w:p w14:paraId="206514B9" w14:textId="660B15A7" w:rsidR="00FC0334" w:rsidRPr="007651D2" w:rsidRDefault="00482E88" w:rsidP="00FF7EBB">
            <w:pPr>
              <w:jc w:val="both"/>
              <w:rPr>
                <w:i/>
                <w:iCs/>
                <w:sz w:val="24"/>
                <w:szCs w:val="24"/>
              </w:rPr>
            </w:pPr>
            <w:r w:rsidRPr="00CE2D4D">
              <w:rPr>
                <w:i/>
                <w:iCs/>
                <w:sz w:val="24"/>
                <w:szCs w:val="24"/>
              </w:rPr>
              <w:t xml:space="preserve">Word count </w:t>
            </w:r>
            <w:r w:rsidR="00CE2D4D" w:rsidRPr="00CE2D4D">
              <w:rPr>
                <w:i/>
                <w:iCs/>
                <w:sz w:val="24"/>
                <w:szCs w:val="24"/>
              </w:rPr>
              <w:t>5</w:t>
            </w:r>
            <w:r w:rsidR="00F03697">
              <w:rPr>
                <w:i/>
                <w:iCs/>
                <w:sz w:val="24"/>
                <w:szCs w:val="24"/>
              </w:rPr>
              <w:t>21</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795C6051" w14:textId="7CEAB15A"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r w:rsidR="00393D81">
              <w:rPr>
                <w:sz w:val="24"/>
                <w:szCs w:val="24"/>
              </w:rPr>
              <w:t>.</w:t>
            </w:r>
          </w:p>
          <w:p w14:paraId="67E7ED72" w14:textId="77777777" w:rsidR="00FC0334" w:rsidRDefault="00FC0334" w:rsidP="00FC0334">
            <w:pPr>
              <w:jc w:val="both"/>
              <w:rPr>
                <w:sz w:val="24"/>
                <w:szCs w:val="24"/>
              </w:rPr>
            </w:pPr>
          </w:p>
          <w:p w14:paraId="57682E37" w14:textId="5A72A501" w:rsidR="0074096C" w:rsidRPr="0074096C" w:rsidRDefault="0074096C" w:rsidP="0074096C">
            <w:pPr>
              <w:jc w:val="both"/>
              <w:rPr>
                <w:sz w:val="24"/>
                <w:szCs w:val="24"/>
              </w:rPr>
            </w:pPr>
            <w:r w:rsidRPr="0074096C">
              <w:rPr>
                <w:sz w:val="24"/>
                <w:szCs w:val="24"/>
              </w:rPr>
              <w:t xml:space="preserve">An essential aspect of professional social work practice is the ability to identify children at risk of harm, neglect, or abuse. According to the </w:t>
            </w:r>
            <w:r w:rsidR="00393D81">
              <w:rPr>
                <w:sz w:val="24"/>
                <w:szCs w:val="24"/>
              </w:rPr>
              <w:t>CA</w:t>
            </w:r>
            <w:r w:rsidRPr="0074096C">
              <w:rPr>
                <w:sz w:val="24"/>
                <w:szCs w:val="24"/>
              </w:rPr>
              <w:t xml:space="preserve"> 1989 and 2004, a child is considered at risk when their health, safety, or development may be impaired due to the actions or inactions of parents or carers</w:t>
            </w:r>
            <w:r w:rsidR="00BD61B8">
              <w:rPr>
                <w:sz w:val="24"/>
                <w:szCs w:val="24"/>
              </w:rPr>
              <w:t>. Furthermore, t</w:t>
            </w:r>
            <w:r w:rsidR="00110BB7">
              <w:rPr>
                <w:sz w:val="24"/>
                <w:szCs w:val="24"/>
              </w:rPr>
              <w:t xml:space="preserve">he </w:t>
            </w:r>
            <w:r w:rsidRPr="0074096C">
              <w:rPr>
                <w:sz w:val="24"/>
                <w:szCs w:val="24"/>
              </w:rPr>
              <w:t>C</w:t>
            </w:r>
            <w:r w:rsidR="00683268">
              <w:rPr>
                <w:sz w:val="24"/>
                <w:szCs w:val="24"/>
              </w:rPr>
              <w:t>A</w:t>
            </w:r>
            <w:r w:rsidRPr="0074096C">
              <w:rPr>
                <w:sz w:val="24"/>
                <w:szCs w:val="24"/>
              </w:rPr>
              <w:t xml:space="preserve"> 1989</w:t>
            </w:r>
            <w:r w:rsidR="00AA44F3">
              <w:rPr>
                <w:sz w:val="24"/>
                <w:szCs w:val="24"/>
              </w:rPr>
              <w:t xml:space="preserve">, </w:t>
            </w:r>
            <w:r w:rsidR="00683268">
              <w:rPr>
                <w:sz w:val="24"/>
                <w:szCs w:val="24"/>
              </w:rPr>
              <w:t>S31</w:t>
            </w:r>
            <w:r w:rsidRPr="0074096C">
              <w:rPr>
                <w:sz w:val="24"/>
                <w:szCs w:val="24"/>
              </w:rPr>
              <w:t xml:space="preserve"> establishes the concept of </w:t>
            </w:r>
            <w:r w:rsidRPr="0074096C">
              <w:rPr>
                <w:b/>
                <w:bCs/>
                <w:sz w:val="24"/>
                <w:szCs w:val="24"/>
              </w:rPr>
              <w:t>“</w:t>
            </w:r>
            <w:r w:rsidRPr="0074096C">
              <w:rPr>
                <w:sz w:val="24"/>
                <w:szCs w:val="24"/>
              </w:rPr>
              <w:t>significant harm</w:t>
            </w:r>
            <w:r w:rsidRPr="0074096C">
              <w:rPr>
                <w:b/>
                <w:bCs/>
                <w:sz w:val="24"/>
                <w:szCs w:val="24"/>
              </w:rPr>
              <w:t>”</w:t>
            </w:r>
            <w:r w:rsidRPr="0074096C">
              <w:rPr>
                <w:sz w:val="24"/>
                <w:szCs w:val="24"/>
              </w:rPr>
              <w:t>, which is the threshold for initiating child protection proceedings. Significant harm may arise from physical, sexual, or emotional abuse, neglect, or a combination of these factors, and it serves as the legal benchmark for local authorities to intervene and, where necessary, apply for care or supervision orders</w:t>
            </w:r>
            <w:r w:rsidR="00BD61B8">
              <w:rPr>
                <w:sz w:val="24"/>
                <w:szCs w:val="24"/>
              </w:rPr>
              <w:t xml:space="preserve">. </w:t>
            </w:r>
            <w:r w:rsidRPr="0074096C">
              <w:rPr>
                <w:sz w:val="24"/>
                <w:szCs w:val="24"/>
              </w:rPr>
              <w:t>Risk factors may include parental substance misuse, domestic violence, mental health issues, poor parenting capacity, social isolation, or previous safeguarding concerns (Thompson, 2018). Recognising these factors requires careful observation, assessment, and professional judgement to distinguish between temporary challenges and ongoing risk to the child’s welfare.</w:t>
            </w:r>
          </w:p>
          <w:p w14:paraId="52C1E7E5" w14:textId="42036C75" w:rsidR="0074096C" w:rsidRPr="0074096C" w:rsidRDefault="0074096C" w:rsidP="0074096C">
            <w:pPr>
              <w:jc w:val="both"/>
              <w:rPr>
                <w:sz w:val="24"/>
                <w:szCs w:val="24"/>
              </w:rPr>
            </w:pPr>
            <w:r w:rsidRPr="0074096C">
              <w:rPr>
                <w:sz w:val="24"/>
                <w:szCs w:val="24"/>
              </w:rPr>
              <w:t>Effective safeguarding requires that practitioners remain vigilant to both obvious and subtle indicators and are confident to escalate concerns according to statutory guidance, in</w:t>
            </w:r>
            <w:r w:rsidR="00C23A33">
              <w:rPr>
                <w:sz w:val="24"/>
                <w:szCs w:val="24"/>
              </w:rPr>
              <w:t xml:space="preserve"> line with (WSP, 2019).</w:t>
            </w:r>
          </w:p>
          <w:p w14:paraId="73EA15F4" w14:textId="723CCA06" w:rsidR="0074096C" w:rsidRPr="0074096C" w:rsidRDefault="0074096C" w:rsidP="0074096C">
            <w:pPr>
              <w:jc w:val="both"/>
              <w:rPr>
                <w:sz w:val="24"/>
                <w:szCs w:val="24"/>
              </w:rPr>
            </w:pPr>
            <w:r w:rsidRPr="0074096C">
              <w:rPr>
                <w:sz w:val="24"/>
                <w:szCs w:val="24"/>
              </w:rPr>
              <w:t>Establishing preferred outcomes of safeguarding interventions is crucial for children, families, and carers. Interventions should aim to ensure the child’s immediate safety, promote long-term well-being, and strengthen family resilience where possible</w:t>
            </w:r>
            <w:r w:rsidR="00B12971" w:rsidRPr="00B12971">
              <w:t xml:space="preserve"> </w:t>
            </w:r>
            <w:r w:rsidR="00B12971" w:rsidRPr="00B12971">
              <w:rPr>
                <w:sz w:val="24"/>
                <w:szCs w:val="24"/>
              </w:rPr>
              <w:t>(Firmin, 2017).</w:t>
            </w:r>
            <w:r w:rsidRPr="0074096C">
              <w:rPr>
                <w:sz w:val="24"/>
                <w:szCs w:val="24"/>
              </w:rPr>
              <w:t xml:space="preserve"> Engaging </w:t>
            </w:r>
            <w:r w:rsidRPr="0074096C">
              <w:rPr>
                <w:sz w:val="24"/>
                <w:szCs w:val="24"/>
              </w:rPr>
              <w:lastRenderedPageBreak/>
              <w:t>families in the safeguarding process can facilitate positive change and reduce the likelihood of repeated harm, while clearly communicating the outcomes helps manage expectations and supports transparency (Schön, 1983). For carers with support needs, safeguarding interventions may also involve linking to services that improve parenting capacity or address underlying vulnerabilities, thus reducing risk factors and promoting stability.</w:t>
            </w:r>
          </w:p>
          <w:p w14:paraId="765922B4" w14:textId="5419275C" w:rsidR="0074096C" w:rsidRPr="0074096C" w:rsidRDefault="0074096C" w:rsidP="0074096C">
            <w:pPr>
              <w:jc w:val="both"/>
              <w:rPr>
                <w:sz w:val="24"/>
                <w:szCs w:val="24"/>
              </w:rPr>
            </w:pPr>
            <w:r w:rsidRPr="0074096C">
              <w:rPr>
                <w:sz w:val="24"/>
                <w:szCs w:val="24"/>
              </w:rPr>
              <w:t xml:space="preserve">In adult safeguarding, legislative frameworks such as the Mental Capacity Act (MCA) 2005 Mental Health Act </w:t>
            </w:r>
            <w:r w:rsidR="009277AA">
              <w:rPr>
                <w:sz w:val="24"/>
                <w:szCs w:val="24"/>
              </w:rPr>
              <w:t>(MHA)</w:t>
            </w:r>
            <w:r w:rsidRPr="0074096C">
              <w:rPr>
                <w:sz w:val="24"/>
                <w:szCs w:val="24"/>
              </w:rPr>
              <w:t xml:space="preserve">1983 (amended 2007) </w:t>
            </w:r>
            <w:r w:rsidR="002272C9">
              <w:rPr>
                <w:sz w:val="24"/>
                <w:szCs w:val="24"/>
              </w:rPr>
              <w:t>and the SSWBWA 2014</w:t>
            </w:r>
            <w:r w:rsidR="00B90098">
              <w:rPr>
                <w:sz w:val="24"/>
                <w:szCs w:val="24"/>
              </w:rPr>
              <w:t xml:space="preserve">, </w:t>
            </w:r>
            <w:r w:rsidR="002272C9">
              <w:rPr>
                <w:sz w:val="24"/>
                <w:szCs w:val="24"/>
              </w:rPr>
              <w:t xml:space="preserve">S126 </w:t>
            </w:r>
            <w:r w:rsidRPr="0074096C">
              <w:rPr>
                <w:sz w:val="24"/>
                <w:szCs w:val="24"/>
              </w:rPr>
              <w:t>guide decision-making when individuals may lack capacity or require intervention to prevent serious harm</w:t>
            </w:r>
            <w:r w:rsidR="000A6472">
              <w:rPr>
                <w:sz w:val="24"/>
                <w:szCs w:val="24"/>
              </w:rPr>
              <w:t xml:space="preserve"> or risk of abuse. </w:t>
            </w:r>
            <w:r w:rsidRPr="0074096C">
              <w:rPr>
                <w:sz w:val="24"/>
                <w:szCs w:val="24"/>
              </w:rPr>
              <w:t>While adults are presumed to have autonomy, interventions must balance protection with respect for choice and consent, particularly when assessing risk or providing support. Understanding the interplay between child and adult safeguarding legislation ensures that social workers can make informed, legally compliant, and ethically sound decisions across different client groups</w:t>
            </w:r>
            <w:r w:rsidR="00CD3A2F">
              <w:rPr>
                <w:sz w:val="24"/>
                <w:szCs w:val="24"/>
              </w:rPr>
              <w:t xml:space="preserve"> </w:t>
            </w:r>
            <w:r w:rsidR="003A1B71" w:rsidRPr="003A1B71">
              <w:rPr>
                <w:sz w:val="24"/>
                <w:szCs w:val="24"/>
              </w:rPr>
              <w:t>(Brandon et al., 2012).</w:t>
            </w:r>
          </w:p>
          <w:p w14:paraId="54955757" w14:textId="79AD32FC" w:rsidR="0074096C" w:rsidRDefault="0074096C" w:rsidP="0074096C">
            <w:pPr>
              <w:jc w:val="both"/>
              <w:rPr>
                <w:sz w:val="24"/>
                <w:szCs w:val="24"/>
              </w:rPr>
            </w:pPr>
            <w:r w:rsidRPr="0074096C">
              <w:rPr>
                <w:sz w:val="24"/>
                <w:szCs w:val="24"/>
              </w:rPr>
              <w:t>Ultimately, identifying risk, recognising indicators of harm, and establishing clear outcomes are central to safeguarding practice. These processes</w:t>
            </w:r>
            <w:r w:rsidR="0028670E">
              <w:rPr>
                <w:sz w:val="24"/>
                <w:szCs w:val="24"/>
              </w:rPr>
              <w:t xml:space="preserve"> are</w:t>
            </w:r>
            <w:r w:rsidRPr="0074096C">
              <w:rPr>
                <w:sz w:val="24"/>
                <w:szCs w:val="24"/>
              </w:rPr>
              <w:t xml:space="preserve"> guided by the C</w:t>
            </w:r>
            <w:r w:rsidR="007238F7">
              <w:rPr>
                <w:sz w:val="24"/>
                <w:szCs w:val="24"/>
              </w:rPr>
              <w:t>A</w:t>
            </w:r>
            <w:r w:rsidRPr="0074096C">
              <w:rPr>
                <w:sz w:val="24"/>
                <w:szCs w:val="24"/>
              </w:rPr>
              <w:t xml:space="preserve"> 1989</w:t>
            </w:r>
            <w:r w:rsidR="00B90098">
              <w:rPr>
                <w:sz w:val="24"/>
                <w:szCs w:val="24"/>
              </w:rPr>
              <w:t xml:space="preserve">, </w:t>
            </w:r>
            <w:r w:rsidR="00AC5B16">
              <w:rPr>
                <w:sz w:val="24"/>
                <w:szCs w:val="24"/>
              </w:rPr>
              <w:t>S31</w:t>
            </w:r>
            <w:r w:rsidRPr="0074096C">
              <w:rPr>
                <w:sz w:val="24"/>
                <w:szCs w:val="24"/>
              </w:rPr>
              <w:t xml:space="preserve">, the SSWB(W)A 2014, the MCA 2005, and the </w:t>
            </w:r>
            <w:r w:rsidR="009277AA">
              <w:rPr>
                <w:sz w:val="24"/>
                <w:szCs w:val="24"/>
              </w:rPr>
              <w:t>MHA 1983</w:t>
            </w:r>
            <w:r w:rsidR="00A67E12">
              <w:rPr>
                <w:sz w:val="24"/>
                <w:szCs w:val="24"/>
              </w:rPr>
              <w:t xml:space="preserve"> amended 2007</w:t>
            </w:r>
            <w:r w:rsidRPr="0074096C">
              <w:rPr>
                <w:sz w:val="24"/>
                <w:szCs w:val="24"/>
              </w:rPr>
              <w:t xml:space="preserve">, </w:t>
            </w:r>
            <w:r w:rsidR="00AC5B16">
              <w:rPr>
                <w:sz w:val="24"/>
                <w:szCs w:val="24"/>
              </w:rPr>
              <w:t xml:space="preserve">which </w:t>
            </w:r>
            <w:r w:rsidRPr="0074096C">
              <w:rPr>
                <w:sz w:val="24"/>
                <w:szCs w:val="24"/>
              </w:rPr>
              <w:t>enable social workers to intervene effectively, protect vulnerable children, support families, and maintain professional accountability.</w:t>
            </w:r>
          </w:p>
          <w:p w14:paraId="6B2CEF4D" w14:textId="48FF0CD5" w:rsidR="005B6AF6" w:rsidRPr="0074096C" w:rsidRDefault="005B6AF6" w:rsidP="00444700">
            <w:pPr>
              <w:jc w:val="both"/>
              <w:rPr>
                <w:sz w:val="24"/>
                <w:szCs w:val="24"/>
              </w:rPr>
            </w:pPr>
            <w:r w:rsidRPr="005360E5">
              <w:rPr>
                <w:sz w:val="24"/>
                <w:szCs w:val="24"/>
              </w:rPr>
              <w:t>Safeguarding is a complex, multi-faceted responsibility requiring social workers to integrate legislation, ethical principles, and professional judgement. By understanding the legal frameworks for children and adults, recognising risk indicators, and establishing clear intervention outcomes, practitioners can protect vulnerable individuals while promoting empowerment, family resilience, and long-term well-being.</w:t>
            </w:r>
          </w:p>
          <w:p w14:paraId="478D2F84"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4407FA96" w:rsidR="00FC0334" w:rsidRPr="002703DB" w:rsidRDefault="002703DB" w:rsidP="00FC0334">
            <w:pPr>
              <w:jc w:val="both"/>
              <w:rPr>
                <w:i/>
                <w:iCs/>
                <w:sz w:val="24"/>
                <w:szCs w:val="24"/>
              </w:rPr>
            </w:pPr>
            <w:r w:rsidRPr="002703DB">
              <w:rPr>
                <w:i/>
                <w:iCs/>
                <w:sz w:val="24"/>
                <w:szCs w:val="24"/>
              </w:rPr>
              <w:t>Word count 4</w:t>
            </w:r>
            <w:r w:rsidR="00F03697">
              <w:rPr>
                <w:i/>
                <w:iCs/>
                <w:sz w:val="24"/>
                <w:szCs w:val="24"/>
              </w:rPr>
              <w:t>71</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623A60" w14:textId="77777777" w:rsidR="004E71B5" w:rsidRDefault="004E71B5">
      <w:r>
        <w:separator/>
      </w:r>
    </w:p>
  </w:endnote>
  <w:endnote w:type="continuationSeparator" w:id="0">
    <w:p w14:paraId="101A7D56" w14:textId="77777777" w:rsidR="004E71B5" w:rsidRDefault="004E7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52A541" w14:textId="77777777" w:rsidR="004E71B5" w:rsidRDefault="004E71B5">
      <w:r>
        <w:separator/>
      </w:r>
    </w:p>
  </w:footnote>
  <w:footnote w:type="continuationSeparator" w:id="0">
    <w:p w14:paraId="32936C4C" w14:textId="77777777" w:rsidR="004E71B5" w:rsidRDefault="004E71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6472"/>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0BB7"/>
    <w:rsid w:val="00112391"/>
    <w:rsid w:val="00114F52"/>
    <w:rsid w:val="00130119"/>
    <w:rsid w:val="00132812"/>
    <w:rsid w:val="00134328"/>
    <w:rsid w:val="001347F8"/>
    <w:rsid w:val="001359EE"/>
    <w:rsid w:val="00137BB5"/>
    <w:rsid w:val="00137E05"/>
    <w:rsid w:val="001447F6"/>
    <w:rsid w:val="00147DE3"/>
    <w:rsid w:val="00150794"/>
    <w:rsid w:val="00151DA6"/>
    <w:rsid w:val="001608C4"/>
    <w:rsid w:val="00164832"/>
    <w:rsid w:val="00171418"/>
    <w:rsid w:val="001772BF"/>
    <w:rsid w:val="001772DE"/>
    <w:rsid w:val="00184582"/>
    <w:rsid w:val="00186626"/>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272C9"/>
    <w:rsid w:val="00230439"/>
    <w:rsid w:val="00232A09"/>
    <w:rsid w:val="00235176"/>
    <w:rsid w:val="00236061"/>
    <w:rsid w:val="0024100E"/>
    <w:rsid w:val="00241C1B"/>
    <w:rsid w:val="0024288B"/>
    <w:rsid w:val="00243DB0"/>
    <w:rsid w:val="00247265"/>
    <w:rsid w:val="00260663"/>
    <w:rsid w:val="002657E9"/>
    <w:rsid w:val="0026665E"/>
    <w:rsid w:val="002703DB"/>
    <w:rsid w:val="0027147E"/>
    <w:rsid w:val="002761F4"/>
    <w:rsid w:val="002775E1"/>
    <w:rsid w:val="00277979"/>
    <w:rsid w:val="0028670E"/>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1D98"/>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AEF"/>
    <w:rsid w:val="00337FEF"/>
    <w:rsid w:val="00344F9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3D81"/>
    <w:rsid w:val="0039762B"/>
    <w:rsid w:val="00397A76"/>
    <w:rsid w:val="003A0C37"/>
    <w:rsid w:val="003A1B6B"/>
    <w:rsid w:val="003A1B71"/>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EC5"/>
    <w:rsid w:val="00430DE3"/>
    <w:rsid w:val="004348AE"/>
    <w:rsid w:val="004376C0"/>
    <w:rsid w:val="0044223A"/>
    <w:rsid w:val="00444289"/>
    <w:rsid w:val="00444700"/>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2E88"/>
    <w:rsid w:val="00484CE3"/>
    <w:rsid w:val="004911B4"/>
    <w:rsid w:val="0049196A"/>
    <w:rsid w:val="004923DA"/>
    <w:rsid w:val="00492EEB"/>
    <w:rsid w:val="00493434"/>
    <w:rsid w:val="0049374F"/>
    <w:rsid w:val="004968E2"/>
    <w:rsid w:val="004A2A49"/>
    <w:rsid w:val="004A32F3"/>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1B5"/>
    <w:rsid w:val="004E7B8B"/>
    <w:rsid w:val="004E7BDD"/>
    <w:rsid w:val="004F1966"/>
    <w:rsid w:val="004F1E21"/>
    <w:rsid w:val="004F2542"/>
    <w:rsid w:val="004F2A13"/>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60E5"/>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6AF6"/>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3268"/>
    <w:rsid w:val="00684732"/>
    <w:rsid w:val="00684B16"/>
    <w:rsid w:val="00687016"/>
    <w:rsid w:val="006872A0"/>
    <w:rsid w:val="0069625A"/>
    <w:rsid w:val="00696A88"/>
    <w:rsid w:val="00696F65"/>
    <w:rsid w:val="00697572"/>
    <w:rsid w:val="006B4496"/>
    <w:rsid w:val="006B5E67"/>
    <w:rsid w:val="006B6612"/>
    <w:rsid w:val="006C2EB5"/>
    <w:rsid w:val="006C573D"/>
    <w:rsid w:val="006D18A3"/>
    <w:rsid w:val="006D5970"/>
    <w:rsid w:val="006E481E"/>
    <w:rsid w:val="006E795F"/>
    <w:rsid w:val="006F0862"/>
    <w:rsid w:val="006F1438"/>
    <w:rsid w:val="006F2A9E"/>
    <w:rsid w:val="006F5ED3"/>
    <w:rsid w:val="00700249"/>
    <w:rsid w:val="007038F2"/>
    <w:rsid w:val="007069CD"/>
    <w:rsid w:val="00706BB5"/>
    <w:rsid w:val="0071231A"/>
    <w:rsid w:val="00712E90"/>
    <w:rsid w:val="00713B7E"/>
    <w:rsid w:val="00713D27"/>
    <w:rsid w:val="007238F7"/>
    <w:rsid w:val="0072678F"/>
    <w:rsid w:val="007276E5"/>
    <w:rsid w:val="00727C4C"/>
    <w:rsid w:val="00734809"/>
    <w:rsid w:val="0073714E"/>
    <w:rsid w:val="007374EF"/>
    <w:rsid w:val="007406E1"/>
    <w:rsid w:val="0074096C"/>
    <w:rsid w:val="00743E40"/>
    <w:rsid w:val="00745016"/>
    <w:rsid w:val="0075031F"/>
    <w:rsid w:val="00751263"/>
    <w:rsid w:val="007544FC"/>
    <w:rsid w:val="00755427"/>
    <w:rsid w:val="00756548"/>
    <w:rsid w:val="0075673A"/>
    <w:rsid w:val="0075704F"/>
    <w:rsid w:val="00763B2D"/>
    <w:rsid w:val="00764C84"/>
    <w:rsid w:val="007651D2"/>
    <w:rsid w:val="007710AD"/>
    <w:rsid w:val="00772924"/>
    <w:rsid w:val="0077706F"/>
    <w:rsid w:val="0078112D"/>
    <w:rsid w:val="007872F2"/>
    <w:rsid w:val="007873F9"/>
    <w:rsid w:val="007908E0"/>
    <w:rsid w:val="00793EB3"/>
    <w:rsid w:val="00794205"/>
    <w:rsid w:val="0079422A"/>
    <w:rsid w:val="007A1F6A"/>
    <w:rsid w:val="007A29FC"/>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731"/>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4B90"/>
    <w:rsid w:val="00880539"/>
    <w:rsid w:val="00881AB0"/>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215A"/>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277AA"/>
    <w:rsid w:val="0093018C"/>
    <w:rsid w:val="0094495F"/>
    <w:rsid w:val="009544C0"/>
    <w:rsid w:val="00954FA4"/>
    <w:rsid w:val="00956AE9"/>
    <w:rsid w:val="00964CC6"/>
    <w:rsid w:val="00967BFA"/>
    <w:rsid w:val="0098262C"/>
    <w:rsid w:val="00983718"/>
    <w:rsid w:val="0098427C"/>
    <w:rsid w:val="00986B43"/>
    <w:rsid w:val="00986C0B"/>
    <w:rsid w:val="00986D46"/>
    <w:rsid w:val="00991FDA"/>
    <w:rsid w:val="00992ACA"/>
    <w:rsid w:val="009A0911"/>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3A72"/>
    <w:rsid w:val="00A06422"/>
    <w:rsid w:val="00A10D56"/>
    <w:rsid w:val="00A12AAE"/>
    <w:rsid w:val="00A12F22"/>
    <w:rsid w:val="00A16DD1"/>
    <w:rsid w:val="00A17916"/>
    <w:rsid w:val="00A22441"/>
    <w:rsid w:val="00A23F3B"/>
    <w:rsid w:val="00A24406"/>
    <w:rsid w:val="00A249F1"/>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E12"/>
    <w:rsid w:val="00A732EA"/>
    <w:rsid w:val="00A7489E"/>
    <w:rsid w:val="00A8015F"/>
    <w:rsid w:val="00A85039"/>
    <w:rsid w:val="00A906AA"/>
    <w:rsid w:val="00A94C5E"/>
    <w:rsid w:val="00AA252C"/>
    <w:rsid w:val="00AA44F3"/>
    <w:rsid w:val="00AA666E"/>
    <w:rsid w:val="00AA7960"/>
    <w:rsid w:val="00AB5518"/>
    <w:rsid w:val="00AC3A0E"/>
    <w:rsid w:val="00AC4A04"/>
    <w:rsid w:val="00AC5679"/>
    <w:rsid w:val="00AC5B16"/>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2971"/>
    <w:rsid w:val="00B137BE"/>
    <w:rsid w:val="00B15998"/>
    <w:rsid w:val="00B17FA0"/>
    <w:rsid w:val="00B2292C"/>
    <w:rsid w:val="00B22C3C"/>
    <w:rsid w:val="00B24344"/>
    <w:rsid w:val="00B26769"/>
    <w:rsid w:val="00B2754B"/>
    <w:rsid w:val="00B31C91"/>
    <w:rsid w:val="00B3747F"/>
    <w:rsid w:val="00B42E76"/>
    <w:rsid w:val="00B43194"/>
    <w:rsid w:val="00B436BF"/>
    <w:rsid w:val="00B44025"/>
    <w:rsid w:val="00B47734"/>
    <w:rsid w:val="00B50FBA"/>
    <w:rsid w:val="00B558EB"/>
    <w:rsid w:val="00B577D3"/>
    <w:rsid w:val="00B60466"/>
    <w:rsid w:val="00B6548F"/>
    <w:rsid w:val="00B71A32"/>
    <w:rsid w:val="00B7502A"/>
    <w:rsid w:val="00B77305"/>
    <w:rsid w:val="00B774BD"/>
    <w:rsid w:val="00B82CC2"/>
    <w:rsid w:val="00B84A89"/>
    <w:rsid w:val="00B90098"/>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61B8"/>
    <w:rsid w:val="00BE0F7B"/>
    <w:rsid w:val="00BE10C2"/>
    <w:rsid w:val="00BE6727"/>
    <w:rsid w:val="00BF0A13"/>
    <w:rsid w:val="00BF0D6C"/>
    <w:rsid w:val="00C01D14"/>
    <w:rsid w:val="00C01D97"/>
    <w:rsid w:val="00C025B4"/>
    <w:rsid w:val="00C029EC"/>
    <w:rsid w:val="00C161FD"/>
    <w:rsid w:val="00C17C9F"/>
    <w:rsid w:val="00C23A33"/>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3A2F"/>
    <w:rsid w:val="00CD45E3"/>
    <w:rsid w:val="00CD4771"/>
    <w:rsid w:val="00CD5089"/>
    <w:rsid w:val="00CD5D3F"/>
    <w:rsid w:val="00CD7E1F"/>
    <w:rsid w:val="00CE2D4D"/>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0A9"/>
    <w:rsid w:val="00D65558"/>
    <w:rsid w:val="00D71201"/>
    <w:rsid w:val="00D720C7"/>
    <w:rsid w:val="00D84841"/>
    <w:rsid w:val="00D876E6"/>
    <w:rsid w:val="00D90958"/>
    <w:rsid w:val="00DA1025"/>
    <w:rsid w:val="00DA22EC"/>
    <w:rsid w:val="00DA5682"/>
    <w:rsid w:val="00DA5860"/>
    <w:rsid w:val="00DA5C0C"/>
    <w:rsid w:val="00DA68CC"/>
    <w:rsid w:val="00DB2767"/>
    <w:rsid w:val="00DC1B10"/>
    <w:rsid w:val="00DC2924"/>
    <w:rsid w:val="00DC4729"/>
    <w:rsid w:val="00DD31C5"/>
    <w:rsid w:val="00DD5020"/>
    <w:rsid w:val="00DD63BE"/>
    <w:rsid w:val="00DE4296"/>
    <w:rsid w:val="00DF0804"/>
    <w:rsid w:val="00DF2469"/>
    <w:rsid w:val="00DF7899"/>
    <w:rsid w:val="00E04B22"/>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1711"/>
    <w:rsid w:val="00E643C5"/>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3697"/>
    <w:rsid w:val="00F04053"/>
    <w:rsid w:val="00F06573"/>
    <w:rsid w:val="00F10A08"/>
    <w:rsid w:val="00F15354"/>
    <w:rsid w:val="00F22AC5"/>
    <w:rsid w:val="00F254D1"/>
    <w:rsid w:val="00F318C3"/>
    <w:rsid w:val="00F32B82"/>
    <w:rsid w:val="00F34C86"/>
    <w:rsid w:val="00F4043E"/>
    <w:rsid w:val="00F41795"/>
    <w:rsid w:val="00F41BBC"/>
    <w:rsid w:val="00F42A8D"/>
    <w:rsid w:val="00F43134"/>
    <w:rsid w:val="00F444F0"/>
    <w:rsid w:val="00F446FF"/>
    <w:rsid w:val="00F45521"/>
    <w:rsid w:val="00F50847"/>
    <w:rsid w:val="00F53F27"/>
    <w:rsid w:val="00F546D1"/>
    <w:rsid w:val="00F60281"/>
    <w:rsid w:val="00F66272"/>
    <w:rsid w:val="00F709C0"/>
    <w:rsid w:val="00F7262C"/>
    <w:rsid w:val="00F81FEC"/>
    <w:rsid w:val="00F927A1"/>
    <w:rsid w:val="00F92E4D"/>
    <w:rsid w:val="00F95D08"/>
    <w:rsid w:val="00FA0497"/>
    <w:rsid w:val="00FA23BD"/>
    <w:rsid w:val="00FA3764"/>
    <w:rsid w:val="00FA41C7"/>
    <w:rsid w:val="00FA4A79"/>
    <w:rsid w:val="00FA56ED"/>
    <w:rsid w:val="00FA6FEA"/>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4</Pages>
  <Words>1162</Words>
  <Characters>7475</Characters>
  <Application>Microsoft Office Word</Application>
  <DocSecurity>0</DocSecurity>
  <Lines>146</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Kayleigh Goodall</cp:lastModifiedBy>
  <cp:revision>63</cp:revision>
  <cp:lastPrinted>2020-02-11T19:20:00Z</cp:lastPrinted>
  <dcterms:created xsi:type="dcterms:W3CDTF">2026-02-03T17:48:00Z</dcterms:created>
  <dcterms:modified xsi:type="dcterms:W3CDTF">2026-02-24T22:43:00Z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