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55D" w:rsidRPr="00421B82" w:rsidRDefault="006F155D" w:rsidP="0098537E">
      <w:pPr>
        <w:shd w:val="clear" w:color="auto" w:fill="FFFFFF"/>
        <w:spacing w:line="480" w:lineRule="auto"/>
        <w:contextualSpacing/>
        <w:rPr>
          <w:rFonts w:ascii="Times New Roman" w:eastAsia="Times New Roman" w:hAnsi="Times New Roman" w:cs="Times New Roman"/>
        </w:rPr>
      </w:pPr>
      <w:r w:rsidRPr="00421B82">
        <w:rPr>
          <w:rFonts w:ascii="Times New Roman" w:eastAsia="Times New Roman" w:hAnsi="Times New Roman" w:cs="Times New Roman"/>
        </w:rPr>
        <w:t>Critically discuss the important role that ba</w:t>
      </w:r>
      <w:r w:rsidRPr="00421B82">
        <w:rPr>
          <w:rFonts w:ascii="Times New Roman" w:eastAsia="Times New Roman" w:hAnsi="Times New Roman" w:cs="Times New Roman"/>
        </w:rPr>
        <w:t>n</w:t>
      </w:r>
      <w:r w:rsidRPr="00421B82">
        <w:rPr>
          <w:rFonts w:ascii="Times New Roman" w:eastAsia="Times New Roman" w:hAnsi="Times New Roman" w:cs="Times New Roman"/>
        </w:rPr>
        <w:t>quets played with regard to status and social relationships in the Roman world.</w:t>
      </w:r>
    </w:p>
    <w:p w:rsidR="00182F59" w:rsidRPr="00421B82" w:rsidRDefault="00B8703A" w:rsidP="0098537E">
      <w:pPr>
        <w:spacing w:line="480" w:lineRule="auto"/>
        <w:contextualSpacing/>
        <w:rPr>
          <w:rFonts w:ascii="Times New Roman" w:eastAsia="Times New Roman" w:hAnsi="Times New Roman" w:cs="Times New Roman"/>
        </w:rPr>
      </w:pPr>
    </w:p>
    <w:p w:rsidR="006F155D" w:rsidRPr="00421B82" w:rsidRDefault="006F155D" w:rsidP="0098537E">
      <w:pPr>
        <w:spacing w:line="480" w:lineRule="auto"/>
        <w:contextualSpacing/>
        <w:rPr>
          <w:rFonts w:ascii="Times New Roman" w:hAnsi="Times New Roman" w:cs="Times New Roman"/>
        </w:rPr>
      </w:pPr>
      <w:r w:rsidRPr="00421B82">
        <w:rPr>
          <w:rFonts w:ascii="Times New Roman" w:hAnsi="Times New Roman" w:cs="Times New Roman"/>
        </w:rPr>
        <w:t xml:space="preserve">In this easy I will be discussing the multiple roles and influences that a Roman banquet would have had. I will be exploring how the attendance and hosting could have affected an individual’s standing within a community and wider society. I will also discuss the importance of demonstrating wealth, family </w:t>
      </w:r>
      <w:r w:rsidR="00347F1B" w:rsidRPr="00421B82">
        <w:rPr>
          <w:rFonts w:ascii="Times New Roman" w:hAnsi="Times New Roman" w:cs="Times New Roman"/>
        </w:rPr>
        <w:t>prestige</w:t>
      </w:r>
      <w:r w:rsidRPr="00421B82">
        <w:rPr>
          <w:rFonts w:ascii="Times New Roman" w:hAnsi="Times New Roman" w:cs="Times New Roman"/>
        </w:rPr>
        <w:t xml:space="preserve"> and education at such events, whilst balancing this out with good taste and moderation. Finally, I will discuss the etiquette and debauchery associated with Roman banquets and what influence Roman consumerism would have had on both the events and the sources depicting them.</w:t>
      </w:r>
    </w:p>
    <w:p w:rsidR="006F155D" w:rsidRPr="00421B82" w:rsidRDefault="006F155D" w:rsidP="0098537E">
      <w:pPr>
        <w:spacing w:line="480" w:lineRule="auto"/>
        <w:contextualSpacing/>
        <w:rPr>
          <w:rFonts w:ascii="Times New Roman" w:hAnsi="Times New Roman" w:cs="Times New Roman"/>
        </w:rPr>
      </w:pPr>
    </w:p>
    <w:p w:rsidR="006F155D" w:rsidRPr="00421B82" w:rsidRDefault="006F155D" w:rsidP="0098537E">
      <w:pPr>
        <w:pStyle w:val="NormalWeb"/>
        <w:spacing w:line="480" w:lineRule="auto"/>
      </w:pPr>
      <w:r w:rsidRPr="00421B82">
        <w:t>Roman banquets offered a variety of promotions to an individual’s social standing, both to host’s and gu</w:t>
      </w:r>
      <w:r w:rsidR="006E3643" w:rsidRPr="00421B82">
        <w:t>e</w:t>
      </w:r>
      <w:r w:rsidRPr="00421B82">
        <w:t>sts alike. Roman hosts often “strove to impress his guests with extravagant fare, luxurious tableware, and diverse forms of </w:t>
      </w:r>
      <w:r w:rsidRPr="00421B82">
        <w:t>entertainment</w:t>
      </w:r>
      <w:r w:rsidRPr="00421B82">
        <w:t>”</w:t>
      </w:r>
      <w:r w:rsidRPr="00421B82">
        <w:rPr>
          <w:rStyle w:val="FootnoteReference"/>
        </w:rPr>
        <w:footnoteReference w:id="1"/>
      </w:r>
      <w:r w:rsidRPr="00421B82">
        <w:t>, these forms of entertainment were created so that all members of the banquet could either join in or enjoy the spectacle as a group. Shows of acrobats and dancers may have been common amongst</w:t>
      </w:r>
      <w:r w:rsidR="007472E4" w:rsidRPr="00421B82">
        <w:t xml:space="preserve"> the elite alongside mo</w:t>
      </w:r>
      <w:r w:rsidRPr="00421B82">
        <w:t>re mundane and accessible games such as ‘wine throwing’ or music being played in the background. The host would have provided this to impress powerful and important quests to attend and thus gain social approval and acceptance from prominent members of their society. For the host the holding of the function allowed for a “relationship of exchange between parties of different social or economic status”</w:t>
      </w:r>
      <w:r w:rsidRPr="00421B82">
        <w:rPr>
          <w:rStyle w:val="FootnoteReference"/>
        </w:rPr>
        <w:footnoteReference w:id="2"/>
      </w:r>
      <w:r w:rsidRPr="00421B82">
        <w:t xml:space="preserve"> that would have inaccessible or inappropriate at another time. The banquet also opened the possibility of increasing social standing for the attendees as well. </w:t>
      </w:r>
      <w:r w:rsidRPr="00421B82">
        <w:t>Richard S. Ascough</w:t>
      </w:r>
      <w:r w:rsidR="006E3643" w:rsidRPr="00421B82">
        <w:t xml:space="preserve"> discussed how</w:t>
      </w:r>
      <w:r w:rsidRPr="00421B82">
        <w:t xml:space="preserve"> Roman banquets were </w:t>
      </w:r>
      <w:r w:rsidRPr="00421B82">
        <w:lastRenderedPageBreak/>
        <w:t xml:space="preserve">designed to “assert group </w:t>
      </w:r>
      <w:r w:rsidR="006E3643" w:rsidRPr="00421B82">
        <w:t>boundaries</w:t>
      </w:r>
      <w:r w:rsidRPr="00421B82">
        <w:t>”</w:t>
      </w:r>
      <w:r w:rsidRPr="00421B82">
        <w:rPr>
          <w:rStyle w:val="FootnoteReference"/>
        </w:rPr>
        <w:footnoteReference w:id="3"/>
      </w:r>
      <w:r w:rsidR="006E3643" w:rsidRPr="00421B82">
        <w:t xml:space="preserve"> to decide who was ‘in’ and ‘out’ of a social group. This would strengthen the relationship between the guest creating a friendship and acceptance of equality as there would be “identification with those with whom they eat”</w:t>
      </w:r>
      <w:r w:rsidR="006E3643" w:rsidRPr="00421B82">
        <w:rPr>
          <w:rStyle w:val="FootnoteReference"/>
        </w:rPr>
        <w:footnoteReference w:id="4"/>
      </w:r>
      <w:r w:rsidR="006E3643" w:rsidRPr="00421B82">
        <w:t>. This idea is supported by the writings of Pliny the Younger who discusses how all guests should receive equal treatment as he has “brought them as equals to the same table”</w:t>
      </w:r>
      <w:r w:rsidR="006E3643" w:rsidRPr="00421B82">
        <w:rPr>
          <w:rStyle w:val="FootnoteReference"/>
        </w:rPr>
        <w:footnoteReference w:id="5"/>
      </w:r>
      <w:r w:rsidR="006E3643" w:rsidRPr="00421B82">
        <w:t xml:space="preserve"> It is seen later in the text that some of Pliny’s companions protest to people being treated equally at a dinner party, but the levelling of a social expectations and requirements would have allowed for cross-class communication. </w:t>
      </w:r>
      <w:r w:rsidR="007363CF">
        <w:t xml:space="preserve">Hudson </w:t>
      </w:r>
      <w:r w:rsidR="006E3643" w:rsidRPr="00421B82">
        <w:t>also picks out that Plutarch emphasises how dinner parties were firstly designed to “make and re-affirm important social…political and economic connections”</w:t>
      </w:r>
      <w:r w:rsidR="006E3643" w:rsidRPr="00421B82">
        <w:rPr>
          <w:rStyle w:val="FootnoteReference"/>
        </w:rPr>
        <w:footnoteReference w:id="6"/>
      </w:r>
      <w:r w:rsidR="006E3643" w:rsidRPr="00421B82">
        <w:t xml:space="preserve"> and that the actual consumption of food was to be an afterthought to the process.</w:t>
      </w:r>
    </w:p>
    <w:p w:rsidR="005B78F0" w:rsidRPr="00421B82" w:rsidRDefault="005B78F0" w:rsidP="0098537E">
      <w:pPr>
        <w:pStyle w:val="NormalWeb"/>
        <w:spacing w:line="480" w:lineRule="auto"/>
      </w:pPr>
    </w:p>
    <w:p w:rsidR="00C34B7F" w:rsidRPr="00421B82" w:rsidRDefault="00C60C8F" w:rsidP="0098537E">
      <w:pPr>
        <w:spacing w:line="480" w:lineRule="auto"/>
        <w:contextualSpacing/>
        <w:rPr>
          <w:rFonts w:ascii="Times New Roman" w:hAnsi="Times New Roman" w:cs="Times New Roman"/>
        </w:rPr>
      </w:pPr>
      <w:r w:rsidRPr="00421B82">
        <w:rPr>
          <w:rFonts w:ascii="Times New Roman" w:hAnsi="Times New Roman" w:cs="Times New Roman"/>
        </w:rPr>
        <w:t>There are examples of individuals using dinners purely in order to announce or try and change their social or political standing. This was deemed to be somewhat un</w:t>
      </w:r>
      <w:r w:rsidR="00C34B7F" w:rsidRPr="00421B82">
        <w:rPr>
          <w:rFonts w:ascii="Times New Roman" w:hAnsi="Times New Roman" w:cs="Times New Roman"/>
        </w:rPr>
        <w:t>-r</w:t>
      </w:r>
      <w:r w:rsidRPr="00421B82">
        <w:rPr>
          <w:rFonts w:ascii="Times New Roman" w:hAnsi="Times New Roman" w:cs="Times New Roman"/>
        </w:rPr>
        <w:t xml:space="preserve">eputable and not </w:t>
      </w:r>
      <w:r w:rsidR="00C34B7F" w:rsidRPr="00421B82">
        <w:rPr>
          <w:rFonts w:ascii="Times New Roman" w:hAnsi="Times New Roman" w:cs="Times New Roman"/>
        </w:rPr>
        <w:t>in</w:t>
      </w:r>
      <w:r w:rsidRPr="00421B82">
        <w:rPr>
          <w:rFonts w:ascii="Times New Roman" w:hAnsi="Times New Roman" w:cs="Times New Roman"/>
        </w:rPr>
        <w:t xml:space="preserve"> good faith. </w:t>
      </w:r>
      <w:r w:rsidR="00C34B7F" w:rsidRPr="00421B82">
        <w:rPr>
          <w:rFonts w:ascii="Times New Roman" w:hAnsi="Times New Roman" w:cs="Times New Roman"/>
        </w:rPr>
        <w:t>Certainly,</w:t>
      </w:r>
      <w:r w:rsidRPr="00421B82">
        <w:rPr>
          <w:rFonts w:ascii="Times New Roman" w:hAnsi="Times New Roman" w:cs="Times New Roman"/>
        </w:rPr>
        <w:t xml:space="preserve"> authors of the roman times liked to stress either the importance of dinners for an academic and philosophical discussion or just as a means of forming </w:t>
      </w:r>
      <w:r w:rsidR="00C34B7F" w:rsidRPr="00421B82">
        <w:rPr>
          <w:rFonts w:ascii="Times New Roman" w:hAnsi="Times New Roman" w:cs="Times New Roman"/>
        </w:rPr>
        <w:t>friendships</w:t>
      </w:r>
      <w:r w:rsidRPr="00421B82">
        <w:rPr>
          <w:rStyle w:val="FootnoteReference"/>
          <w:rFonts w:ascii="Times New Roman" w:hAnsi="Times New Roman" w:cs="Times New Roman"/>
        </w:rPr>
        <w:footnoteReference w:id="7"/>
      </w:r>
      <w:r w:rsidRPr="00421B82">
        <w:rPr>
          <w:rFonts w:ascii="Times New Roman" w:hAnsi="Times New Roman" w:cs="Times New Roman"/>
        </w:rPr>
        <w:t xml:space="preserve">. </w:t>
      </w:r>
      <w:r w:rsidR="00C34B7F" w:rsidRPr="00421B82">
        <w:rPr>
          <w:rFonts w:ascii="Times New Roman" w:hAnsi="Times New Roman" w:cs="Times New Roman"/>
        </w:rPr>
        <w:t>However,</w:t>
      </w:r>
      <w:r w:rsidRPr="00421B82">
        <w:rPr>
          <w:rFonts w:ascii="Times New Roman" w:hAnsi="Times New Roman" w:cs="Times New Roman"/>
        </w:rPr>
        <w:t xml:space="preserve"> </w:t>
      </w:r>
      <w:r w:rsidR="00C34B7F" w:rsidRPr="00421B82">
        <w:rPr>
          <w:rFonts w:ascii="Times New Roman" w:hAnsi="Times New Roman" w:cs="Times New Roman"/>
        </w:rPr>
        <w:t>there</w:t>
      </w:r>
      <w:r w:rsidRPr="00421B82">
        <w:rPr>
          <w:rFonts w:ascii="Times New Roman" w:hAnsi="Times New Roman" w:cs="Times New Roman"/>
        </w:rPr>
        <w:t xml:space="preserve"> are other literary sources that depict hosts and guests alike as yearning for the </w:t>
      </w:r>
      <w:r w:rsidR="00C34B7F" w:rsidRPr="00421B82">
        <w:rPr>
          <w:rFonts w:ascii="Times New Roman" w:hAnsi="Times New Roman" w:cs="Times New Roman"/>
        </w:rPr>
        <w:t>approval</w:t>
      </w:r>
      <w:r w:rsidRPr="00421B82">
        <w:rPr>
          <w:rFonts w:ascii="Times New Roman" w:hAnsi="Times New Roman" w:cs="Times New Roman"/>
        </w:rPr>
        <w:t xml:space="preserve"> of their peers and betters. One of the most </w:t>
      </w:r>
      <w:r w:rsidR="00C34B7F" w:rsidRPr="00421B82">
        <w:rPr>
          <w:rFonts w:ascii="Times New Roman" w:hAnsi="Times New Roman" w:cs="Times New Roman"/>
        </w:rPr>
        <w:t>notable</w:t>
      </w:r>
      <w:r w:rsidRPr="00421B82">
        <w:rPr>
          <w:rFonts w:ascii="Times New Roman" w:hAnsi="Times New Roman" w:cs="Times New Roman"/>
        </w:rPr>
        <w:t xml:space="preserve"> examples of this it the satire by </w:t>
      </w:r>
      <w:r w:rsidR="00C34B7F" w:rsidRPr="00421B82">
        <w:rPr>
          <w:rFonts w:ascii="Times New Roman" w:hAnsi="Times New Roman" w:cs="Times New Roman"/>
        </w:rPr>
        <w:t>Petronius</w:t>
      </w:r>
      <w:r w:rsidR="005B78F0" w:rsidRPr="00421B82">
        <w:rPr>
          <w:rFonts w:ascii="Times New Roman" w:hAnsi="Times New Roman" w:cs="Times New Roman"/>
        </w:rPr>
        <w:t>, Tri</w:t>
      </w:r>
      <w:r w:rsidRPr="00421B82">
        <w:rPr>
          <w:rFonts w:ascii="Times New Roman" w:hAnsi="Times New Roman" w:cs="Times New Roman"/>
        </w:rPr>
        <w:t xml:space="preserve">malchio’s Feast. The </w:t>
      </w:r>
      <w:r w:rsidR="00C34B7F" w:rsidRPr="00421B82">
        <w:rPr>
          <w:rFonts w:ascii="Times New Roman" w:hAnsi="Times New Roman" w:cs="Times New Roman"/>
        </w:rPr>
        <w:t>satire</w:t>
      </w:r>
      <w:r w:rsidRPr="00421B82">
        <w:rPr>
          <w:rFonts w:ascii="Times New Roman" w:hAnsi="Times New Roman" w:cs="Times New Roman"/>
        </w:rPr>
        <w:t xml:space="preserve"> has multiple displays of the lengths to </w:t>
      </w:r>
      <w:r w:rsidR="00C34B7F" w:rsidRPr="00421B82">
        <w:rPr>
          <w:rFonts w:ascii="Times New Roman" w:hAnsi="Times New Roman" w:cs="Times New Roman"/>
        </w:rPr>
        <w:t>which</w:t>
      </w:r>
      <w:r w:rsidRPr="00421B82">
        <w:rPr>
          <w:rFonts w:ascii="Times New Roman" w:hAnsi="Times New Roman" w:cs="Times New Roman"/>
        </w:rPr>
        <w:t xml:space="preserve"> host</w:t>
      </w:r>
      <w:r w:rsidR="00C34B7F" w:rsidRPr="00421B82">
        <w:rPr>
          <w:rFonts w:ascii="Times New Roman" w:hAnsi="Times New Roman" w:cs="Times New Roman"/>
        </w:rPr>
        <w:t>s</w:t>
      </w:r>
      <w:r w:rsidRPr="00421B82">
        <w:rPr>
          <w:rFonts w:ascii="Times New Roman" w:hAnsi="Times New Roman" w:cs="Times New Roman"/>
        </w:rPr>
        <w:t xml:space="preserve"> may have gone to in or</w:t>
      </w:r>
      <w:r w:rsidR="005B78F0" w:rsidRPr="00421B82">
        <w:rPr>
          <w:rFonts w:ascii="Times New Roman" w:hAnsi="Times New Roman" w:cs="Times New Roman"/>
        </w:rPr>
        <w:t>der to impress their guests. Tri</w:t>
      </w:r>
      <w:r w:rsidRPr="00421B82">
        <w:rPr>
          <w:rFonts w:ascii="Times New Roman" w:hAnsi="Times New Roman" w:cs="Times New Roman"/>
        </w:rPr>
        <w:t>malchio is a freedman who invites a large dining party to his home to celebrate his success and wealth. Inviting over such a large party was unusual in the Roman era</w:t>
      </w:r>
      <w:r w:rsidR="00C34B7F" w:rsidRPr="00421B82">
        <w:rPr>
          <w:rFonts w:ascii="Times New Roman" w:hAnsi="Times New Roman" w:cs="Times New Roman"/>
        </w:rPr>
        <w:t xml:space="preserve">, nine guests was generally common for a </w:t>
      </w:r>
      <w:r w:rsidR="00C34B7F" w:rsidRPr="00421B82">
        <w:rPr>
          <w:rFonts w:ascii="Times New Roman" w:hAnsi="Times New Roman" w:cs="Times New Roman"/>
        </w:rPr>
        <w:lastRenderedPageBreak/>
        <w:t>banquet</w:t>
      </w:r>
      <w:r w:rsidR="00C34B7F" w:rsidRPr="00421B82">
        <w:rPr>
          <w:rStyle w:val="FootnoteReference"/>
          <w:rFonts w:ascii="Times New Roman" w:hAnsi="Times New Roman" w:cs="Times New Roman"/>
        </w:rPr>
        <w:footnoteReference w:id="8"/>
      </w:r>
      <w:r w:rsidRPr="00421B82">
        <w:rPr>
          <w:rFonts w:ascii="Times New Roman" w:hAnsi="Times New Roman" w:cs="Times New Roman"/>
        </w:rPr>
        <w:t xml:space="preserve">. </w:t>
      </w:r>
      <w:r w:rsidR="005B78F0" w:rsidRPr="00421B82">
        <w:rPr>
          <w:rFonts w:ascii="Times New Roman" w:hAnsi="Times New Roman" w:cs="Times New Roman"/>
        </w:rPr>
        <w:t>Trimalchio</w:t>
      </w:r>
      <w:r w:rsidRPr="00421B82">
        <w:rPr>
          <w:rFonts w:ascii="Times New Roman" w:hAnsi="Times New Roman" w:cs="Times New Roman"/>
        </w:rPr>
        <w:t xml:space="preserve"> </w:t>
      </w:r>
      <w:r w:rsidR="00C34B7F" w:rsidRPr="00421B82">
        <w:rPr>
          <w:rFonts w:ascii="Times New Roman" w:hAnsi="Times New Roman" w:cs="Times New Roman"/>
        </w:rPr>
        <w:t>g</w:t>
      </w:r>
      <w:r w:rsidRPr="00421B82">
        <w:rPr>
          <w:rFonts w:ascii="Times New Roman" w:hAnsi="Times New Roman" w:cs="Times New Roman"/>
        </w:rPr>
        <w:t>oes to great lengths and constantly piles on expenses fo</w:t>
      </w:r>
      <w:r w:rsidR="00C34B7F" w:rsidRPr="00421B82">
        <w:rPr>
          <w:rFonts w:ascii="Times New Roman" w:hAnsi="Times New Roman" w:cs="Times New Roman"/>
        </w:rPr>
        <w:t>r the dinner party, t</w:t>
      </w:r>
      <w:r w:rsidR="00CB302A" w:rsidRPr="00421B82">
        <w:rPr>
          <w:rFonts w:ascii="Times New Roman" w:hAnsi="Times New Roman" w:cs="Times New Roman"/>
        </w:rPr>
        <w:t xml:space="preserve">his is a clear example of a host trying too hard to elevate his standing by presenting his guests with the luxuries the poorer end of society couldn’t </w:t>
      </w:r>
      <w:r w:rsidR="00C34B7F" w:rsidRPr="00421B82">
        <w:rPr>
          <w:rFonts w:ascii="Times New Roman" w:hAnsi="Times New Roman" w:cs="Times New Roman"/>
        </w:rPr>
        <w:t xml:space="preserve">afford. </w:t>
      </w:r>
      <w:r w:rsidR="0013543C" w:rsidRPr="00421B82">
        <w:rPr>
          <w:rFonts w:ascii="Times New Roman" w:hAnsi="Times New Roman" w:cs="Times New Roman"/>
        </w:rPr>
        <w:t>W</w:t>
      </w:r>
      <w:r w:rsidR="00CB302A" w:rsidRPr="00421B82">
        <w:rPr>
          <w:rFonts w:ascii="Times New Roman" w:hAnsi="Times New Roman" w:cs="Times New Roman"/>
        </w:rPr>
        <w:t xml:space="preserve">hilst </w:t>
      </w:r>
      <w:r w:rsidR="00C34B7F" w:rsidRPr="00421B82">
        <w:rPr>
          <w:rFonts w:ascii="Times New Roman" w:hAnsi="Times New Roman" w:cs="Times New Roman"/>
        </w:rPr>
        <w:t>wealth could have elevated the status of certain individuals the satire makes it clear that an over ostentatious banquet may have actually harmed the individuals standing in society</w:t>
      </w:r>
      <w:r w:rsidR="00CB302A" w:rsidRPr="00421B82">
        <w:rPr>
          <w:rFonts w:ascii="Times New Roman" w:hAnsi="Times New Roman" w:cs="Times New Roman"/>
        </w:rPr>
        <w:t>.</w:t>
      </w:r>
    </w:p>
    <w:p w:rsidR="00C34B7F" w:rsidRPr="00421B82" w:rsidRDefault="00C34B7F" w:rsidP="0098537E">
      <w:pPr>
        <w:spacing w:line="480" w:lineRule="auto"/>
        <w:contextualSpacing/>
        <w:rPr>
          <w:rFonts w:ascii="Times New Roman" w:hAnsi="Times New Roman" w:cs="Times New Roman"/>
        </w:rPr>
      </w:pPr>
    </w:p>
    <w:p w:rsidR="00C34B7F" w:rsidRPr="00421B82" w:rsidRDefault="005B78F0" w:rsidP="0098537E">
      <w:pPr>
        <w:spacing w:after="100" w:afterAutospacing="1" w:line="480" w:lineRule="auto"/>
        <w:contextualSpacing/>
        <w:rPr>
          <w:rFonts w:ascii="Times New Roman" w:hAnsi="Times New Roman" w:cs="Times New Roman"/>
        </w:rPr>
      </w:pPr>
      <w:r w:rsidRPr="00421B82">
        <w:rPr>
          <w:rFonts w:ascii="Times New Roman" w:hAnsi="Times New Roman" w:cs="Times New Roman"/>
        </w:rPr>
        <w:t>Trimalchio</w:t>
      </w:r>
      <w:r w:rsidR="00C34B7F" w:rsidRPr="00421B82">
        <w:rPr>
          <w:rFonts w:ascii="Times New Roman" w:hAnsi="Times New Roman" w:cs="Times New Roman"/>
        </w:rPr>
        <w:t xml:space="preserve"> also tries to mimic the elite by showing off his knowledge and education by boasting of his libraries and retelling Homeric verse</w:t>
      </w:r>
      <w:r w:rsidR="00C34B7F" w:rsidRPr="00421B82">
        <w:rPr>
          <w:rStyle w:val="FootnoteReference"/>
          <w:rFonts w:ascii="Times New Roman" w:hAnsi="Times New Roman" w:cs="Times New Roman"/>
        </w:rPr>
        <w:footnoteReference w:id="9"/>
      </w:r>
      <w:r w:rsidR="00C34B7F" w:rsidRPr="00421B82">
        <w:rPr>
          <w:rFonts w:ascii="Times New Roman" w:hAnsi="Times New Roman" w:cs="Times New Roman"/>
        </w:rPr>
        <w:t xml:space="preserve">. It was common place for Roman hosts to try and show off their education, this as only the very pinnacles of society were able to afford and maintain a formal education. However, </w:t>
      </w:r>
      <w:r w:rsidRPr="00421B82">
        <w:rPr>
          <w:rFonts w:ascii="Times New Roman" w:hAnsi="Times New Roman" w:cs="Times New Roman"/>
        </w:rPr>
        <w:t>Trimalchio</w:t>
      </w:r>
      <w:r w:rsidR="00C34B7F" w:rsidRPr="00421B82">
        <w:rPr>
          <w:rFonts w:ascii="Times New Roman" w:hAnsi="Times New Roman" w:cs="Times New Roman"/>
        </w:rPr>
        <w:t xml:space="preserve"> is here used as a mockery of individuals who used banquets to show off whilst not actually knowing the real story of the images portrayed. Real world examples of Romans displaying their education to their guests is discussed by Martin Beckmann, who argues that the Alexander mosaic, displayed in the House of Faun in Pompeii, was “evidence of the tastes, interests and desires of the wealthy Romans during the late Republic"</w:t>
      </w:r>
      <w:r w:rsidR="00C34B7F" w:rsidRPr="00421B82">
        <w:rPr>
          <w:rStyle w:val="FootnoteReference"/>
          <w:rFonts w:ascii="Times New Roman" w:hAnsi="Times New Roman" w:cs="Times New Roman"/>
        </w:rPr>
        <w:footnoteReference w:id="10"/>
      </w:r>
      <w:r w:rsidR="00C34B7F" w:rsidRPr="00421B82">
        <w:rPr>
          <w:rFonts w:ascii="Times New Roman" w:hAnsi="Times New Roman" w:cs="Times New Roman"/>
        </w:rPr>
        <w:t>. He later discusses the patches worn away in the mosaic are most likely where the host and guests would have stood to appreciate and discuss the images presented. The discussion of such myths and historical events would elevate the prestige of the hosts to the guests and increase their standing within their society</w:t>
      </w:r>
    </w:p>
    <w:p w:rsidR="006F155D" w:rsidRPr="00421B82" w:rsidRDefault="006F155D" w:rsidP="0098537E">
      <w:pPr>
        <w:spacing w:line="480" w:lineRule="auto"/>
        <w:contextualSpacing/>
        <w:rPr>
          <w:rFonts w:ascii="Times New Roman" w:hAnsi="Times New Roman" w:cs="Times New Roman"/>
        </w:rPr>
      </w:pPr>
    </w:p>
    <w:p w:rsidR="00DA3E69" w:rsidRPr="00421B82" w:rsidRDefault="007472E4" w:rsidP="0098537E">
      <w:pPr>
        <w:spacing w:line="480" w:lineRule="auto"/>
        <w:contextualSpacing/>
        <w:rPr>
          <w:rFonts w:ascii="Times New Roman" w:hAnsi="Times New Roman" w:cs="Times New Roman"/>
        </w:rPr>
      </w:pPr>
      <w:r w:rsidRPr="00421B82">
        <w:rPr>
          <w:rFonts w:ascii="Times New Roman" w:hAnsi="Times New Roman" w:cs="Times New Roman"/>
        </w:rPr>
        <w:t>Roman views on banquets were often split between the more ostentatious lifestyle of the elite and the more epicurean mo</w:t>
      </w:r>
      <w:r w:rsidR="00DA3E69" w:rsidRPr="00421B82">
        <w:rPr>
          <w:rFonts w:ascii="Times New Roman" w:hAnsi="Times New Roman" w:cs="Times New Roman"/>
        </w:rPr>
        <w:t>rals of the Philosophers and tra</w:t>
      </w:r>
      <w:r w:rsidRPr="00421B82">
        <w:rPr>
          <w:rFonts w:ascii="Times New Roman" w:hAnsi="Times New Roman" w:cs="Times New Roman"/>
        </w:rPr>
        <w:t xml:space="preserve">ditionalists. Morris Silver argues that wealthiest Romans “sought status through various forms of </w:t>
      </w:r>
      <w:r w:rsidRPr="00421B82">
        <w:rPr>
          <w:rFonts w:ascii="Times New Roman" w:hAnsi="Times New Roman" w:cs="Times New Roman"/>
          <w:i/>
        </w:rPr>
        <w:t>luxuria</w:t>
      </w:r>
      <w:r w:rsidRPr="00421B82">
        <w:rPr>
          <w:rFonts w:ascii="Times New Roman" w:hAnsi="Times New Roman" w:cs="Times New Roman"/>
        </w:rPr>
        <w:t>”</w:t>
      </w:r>
      <w:r w:rsidRPr="00421B82">
        <w:rPr>
          <w:rStyle w:val="FootnoteReference"/>
          <w:rFonts w:ascii="Times New Roman" w:hAnsi="Times New Roman" w:cs="Times New Roman"/>
        </w:rPr>
        <w:footnoteReference w:id="11"/>
      </w:r>
      <w:r w:rsidRPr="00421B82">
        <w:rPr>
          <w:rFonts w:ascii="Times New Roman" w:hAnsi="Times New Roman" w:cs="Times New Roman"/>
        </w:rPr>
        <w:t xml:space="preserve"> and explains such expenditure was done as to impress peers of their own community. Ideas surrounding greed </w:t>
      </w:r>
      <w:r w:rsidRPr="00421B82">
        <w:rPr>
          <w:rFonts w:ascii="Times New Roman" w:hAnsi="Times New Roman" w:cs="Times New Roman"/>
        </w:rPr>
        <w:lastRenderedPageBreak/>
        <w:t>were often of concern to satirists and moralists alike. Horace in satire 8 describes how one individual, Porcius, is seen swallowing whole cakes at a time</w:t>
      </w:r>
      <w:r w:rsidRPr="00421B82">
        <w:rPr>
          <w:rStyle w:val="FootnoteReference"/>
          <w:rFonts w:ascii="Times New Roman" w:hAnsi="Times New Roman" w:cs="Times New Roman"/>
        </w:rPr>
        <w:footnoteReference w:id="12"/>
      </w:r>
      <w:r w:rsidRPr="00421B82">
        <w:rPr>
          <w:rFonts w:ascii="Times New Roman" w:hAnsi="Times New Roman" w:cs="Times New Roman"/>
        </w:rPr>
        <w:t>. Despite the fact that the elaborate food has been displayed to impress the guests, h</w:t>
      </w:r>
      <w:r w:rsidRPr="00421B82">
        <w:rPr>
          <w:rFonts w:ascii="Times New Roman" w:hAnsi="Times New Roman" w:cs="Times New Roman"/>
        </w:rPr>
        <w:t>is greed is mocked by the guests</w:t>
      </w:r>
      <w:r w:rsidRPr="00421B82">
        <w:rPr>
          <w:rFonts w:ascii="Times New Roman" w:hAnsi="Times New Roman" w:cs="Times New Roman"/>
        </w:rPr>
        <w:t xml:space="preserve"> and by associating himself with someone so greedy the hosts’ own status has been negatively impacted. L</w:t>
      </w:r>
      <w:r w:rsidR="0098537E" w:rsidRPr="00421B82">
        <w:rPr>
          <w:rFonts w:ascii="Times New Roman" w:hAnsi="Times New Roman" w:cs="Times New Roman"/>
        </w:rPr>
        <w:t>a</w:t>
      </w:r>
      <w:r w:rsidRPr="00421B82">
        <w:rPr>
          <w:rFonts w:ascii="Times New Roman" w:hAnsi="Times New Roman" w:cs="Times New Roman"/>
        </w:rPr>
        <w:t xml:space="preserve">ter writers such as Suetonius also comment on how the character of a man was ruined by over </w:t>
      </w:r>
      <w:r w:rsidR="0098537E" w:rsidRPr="00421B82">
        <w:rPr>
          <w:rFonts w:ascii="Times New Roman" w:hAnsi="Times New Roman" w:cs="Times New Roman"/>
        </w:rPr>
        <w:t>indulgence</w:t>
      </w:r>
      <w:r w:rsidRPr="00421B82">
        <w:rPr>
          <w:rFonts w:ascii="Times New Roman" w:hAnsi="Times New Roman" w:cs="Times New Roman"/>
        </w:rPr>
        <w:t xml:space="preserve"> with grotesque descriptions of the E</w:t>
      </w:r>
      <w:r w:rsidR="0098537E" w:rsidRPr="00421B82">
        <w:rPr>
          <w:rFonts w:ascii="Times New Roman" w:hAnsi="Times New Roman" w:cs="Times New Roman"/>
        </w:rPr>
        <w:t>m</w:t>
      </w:r>
      <w:r w:rsidRPr="00421B82">
        <w:rPr>
          <w:rFonts w:ascii="Times New Roman" w:hAnsi="Times New Roman" w:cs="Times New Roman"/>
        </w:rPr>
        <w:t>peror Claudius “gorged and sodden”</w:t>
      </w:r>
      <w:r w:rsidRPr="00421B82">
        <w:rPr>
          <w:rStyle w:val="FootnoteReference"/>
          <w:rFonts w:ascii="Times New Roman" w:hAnsi="Times New Roman" w:cs="Times New Roman"/>
        </w:rPr>
        <w:footnoteReference w:id="13"/>
      </w:r>
      <w:r w:rsidRPr="00421B82">
        <w:rPr>
          <w:rFonts w:ascii="Times New Roman" w:hAnsi="Times New Roman" w:cs="Times New Roman"/>
        </w:rPr>
        <w:t xml:space="preserve"> after a banquet and how he would have to purge himself of the excess food through vomiting. Epicur</w:t>
      </w:r>
      <w:r w:rsidR="00DA3E69" w:rsidRPr="00421B82">
        <w:rPr>
          <w:rFonts w:ascii="Times New Roman" w:hAnsi="Times New Roman" w:cs="Times New Roman"/>
        </w:rPr>
        <w:t>e</w:t>
      </w:r>
      <w:r w:rsidRPr="00421B82">
        <w:rPr>
          <w:rFonts w:ascii="Times New Roman" w:hAnsi="Times New Roman" w:cs="Times New Roman"/>
        </w:rPr>
        <w:t>an views held by Plutarch discuss that those who wish to enjoy a banquet should partake with their mind as much as well as their stomachs or they would make the “occasion incomplete and unrewarding”</w:t>
      </w:r>
      <w:r w:rsidRPr="00421B82">
        <w:rPr>
          <w:rStyle w:val="FootnoteReference"/>
          <w:rFonts w:ascii="Times New Roman" w:hAnsi="Times New Roman" w:cs="Times New Roman"/>
        </w:rPr>
        <w:footnoteReference w:id="14"/>
      </w:r>
      <w:r w:rsidR="0098537E" w:rsidRPr="00421B82">
        <w:rPr>
          <w:rFonts w:ascii="Times New Roman" w:hAnsi="Times New Roman" w:cs="Times New Roman"/>
        </w:rPr>
        <w:t>. The individuals who behaved in a dignified manner and avoided the more problematic aspects that surrounded banquets such as dover indulgence and vulgarity, were more likely to make the important social connections than those who gave into the vices surrounding them.</w:t>
      </w:r>
    </w:p>
    <w:p w:rsidR="00DA3E69" w:rsidRPr="00421B82" w:rsidRDefault="00DA3E69" w:rsidP="0098537E">
      <w:pPr>
        <w:spacing w:line="480" w:lineRule="auto"/>
        <w:contextualSpacing/>
        <w:rPr>
          <w:rFonts w:ascii="Times New Roman" w:hAnsi="Times New Roman" w:cs="Times New Roman"/>
        </w:rPr>
      </w:pPr>
    </w:p>
    <w:p w:rsidR="007472E4" w:rsidRPr="00421B82" w:rsidRDefault="0098537E" w:rsidP="0098537E">
      <w:pPr>
        <w:spacing w:line="480" w:lineRule="auto"/>
        <w:contextualSpacing/>
        <w:rPr>
          <w:rFonts w:ascii="Times New Roman" w:hAnsi="Times New Roman" w:cs="Times New Roman"/>
        </w:rPr>
      </w:pPr>
      <w:r w:rsidRPr="00421B82">
        <w:rPr>
          <w:rFonts w:ascii="Times New Roman" w:hAnsi="Times New Roman" w:cs="Times New Roman"/>
        </w:rPr>
        <w:t xml:space="preserve">The more ‘moral’ views held by some Romans can be seen in </w:t>
      </w:r>
      <w:r w:rsidR="009F2461" w:rsidRPr="00421B82">
        <w:rPr>
          <w:rFonts w:ascii="Times New Roman" w:hAnsi="Times New Roman" w:cs="Times New Roman"/>
        </w:rPr>
        <w:t>Horace’s</w:t>
      </w:r>
      <w:r w:rsidRPr="00421B82">
        <w:rPr>
          <w:rFonts w:ascii="Times New Roman" w:hAnsi="Times New Roman" w:cs="Times New Roman"/>
        </w:rPr>
        <w:t>’ satire 2 where the importance of a plain living is stressed as a better way of gaining the respect and friendship of those who are important in your society. Here it is noted that the peasant foods “cheap eggs and black olives”</w:t>
      </w:r>
      <w:r w:rsidRPr="00421B82">
        <w:rPr>
          <w:rStyle w:val="FootnoteReference"/>
          <w:rFonts w:ascii="Times New Roman" w:hAnsi="Times New Roman" w:cs="Times New Roman"/>
        </w:rPr>
        <w:footnoteReference w:id="15"/>
      </w:r>
      <w:r w:rsidRPr="00421B82">
        <w:rPr>
          <w:rFonts w:ascii="Times New Roman" w:hAnsi="Times New Roman" w:cs="Times New Roman"/>
        </w:rPr>
        <w:t xml:space="preserve"> still grace the tables of the elite, questioning whether the expense of the food matters to impress a guest over the conversations and discussi</w:t>
      </w:r>
      <w:r w:rsidR="00DA3E69" w:rsidRPr="00421B82">
        <w:rPr>
          <w:rFonts w:ascii="Times New Roman" w:hAnsi="Times New Roman" w:cs="Times New Roman"/>
        </w:rPr>
        <w:t>ons had between them. Here it m</w:t>
      </w:r>
      <w:r w:rsidRPr="00421B82">
        <w:rPr>
          <w:rFonts w:ascii="Times New Roman" w:hAnsi="Times New Roman" w:cs="Times New Roman"/>
        </w:rPr>
        <w:t xml:space="preserve">ust be asked whether the elite gave such elaborate banquets in order to show off their wealth to everyone, or if they didn’t care about the alienation of certain groups in Roman society because their ostentatious lifestyle </w:t>
      </w:r>
      <w:r w:rsidR="00DA3E69" w:rsidRPr="00421B82">
        <w:rPr>
          <w:rFonts w:ascii="Times New Roman" w:hAnsi="Times New Roman" w:cs="Times New Roman"/>
        </w:rPr>
        <w:t>would have</w:t>
      </w:r>
      <w:r w:rsidRPr="00421B82">
        <w:rPr>
          <w:rFonts w:ascii="Times New Roman" w:hAnsi="Times New Roman" w:cs="Times New Roman"/>
        </w:rPr>
        <w:t xml:space="preserve"> impressed those </w:t>
      </w:r>
      <w:r w:rsidR="00DA3E69" w:rsidRPr="00421B82">
        <w:rPr>
          <w:rFonts w:ascii="Times New Roman" w:hAnsi="Times New Roman" w:cs="Times New Roman"/>
        </w:rPr>
        <w:t xml:space="preserve">linked </w:t>
      </w:r>
      <w:r w:rsidRPr="00421B82">
        <w:rPr>
          <w:rFonts w:ascii="Times New Roman" w:hAnsi="Times New Roman" w:cs="Times New Roman"/>
        </w:rPr>
        <w:t xml:space="preserve">within their social </w:t>
      </w:r>
      <w:r w:rsidR="00DA3E69" w:rsidRPr="00421B82">
        <w:rPr>
          <w:rFonts w:ascii="Times New Roman" w:hAnsi="Times New Roman" w:cs="Times New Roman"/>
        </w:rPr>
        <w:t>relationships</w:t>
      </w:r>
      <w:r w:rsidRPr="00421B82">
        <w:rPr>
          <w:rFonts w:ascii="Times New Roman" w:hAnsi="Times New Roman" w:cs="Times New Roman"/>
        </w:rPr>
        <w:t xml:space="preserve">. </w:t>
      </w:r>
    </w:p>
    <w:p w:rsidR="0098537E" w:rsidRPr="00421B82" w:rsidRDefault="0098537E" w:rsidP="0098537E">
      <w:pPr>
        <w:spacing w:line="480" w:lineRule="auto"/>
        <w:contextualSpacing/>
        <w:rPr>
          <w:rFonts w:ascii="Times New Roman" w:hAnsi="Times New Roman" w:cs="Times New Roman"/>
        </w:rPr>
      </w:pPr>
    </w:p>
    <w:p w:rsidR="00347F1B" w:rsidRPr="00421B82" w:rsidRDefault="00347F1B" w:rsidP="0098537E">
      <w:pPr>
        <w:spacing w:line="480" w:lineRule="auto"/>
        <w:contextualSpacing/>
        <w:rPr>
          <w:rFonts w:ascii="Times New Roman" w:hAnsi="Times New Roman" w:cs="Times New Roman"/>
        </w:rPr>
      </w:pPr>
      <w:r w:rsidRPr="00421B82">
        <w:rPr>
          <w:rFonts w:ascii="Times New Roman" w:hAnsi="Times New Roman" w:cs="Times New Roman"/>
        </w:rPr>
        <w:t xml:space="preserve">Food played a vital Role in the roman banquet when it came to impressing quests. As displayed in literary sources, like </w:t>
      </w:r>
      <w:r w:rsidR="005B78F0" w:rsidRPr="00421B82">
        <w:rPr>
          <w:rFonts w:ascii="Times New Roman" w:hAnsi="Times New Roman" w:cs="Times New Roman"/>
        </w:rPr>
        <w:t>Trimalchio</w:t>
      </w:r>
      <w:r w:rsidRPr="00421B82">
        <w:rPr>
          <w:rFonts w:ascii="Times New Roman" w:hAnsi="Times New Roman" w:cs="Times New Roman"/>
        </w:rPr>
        <w:t xml:space="preserve"> feast</w:t>
      </w:r>
      <w:r w:rsidRPr="00421B82">
        <w:rPr>
          <w:rStyle w:val="FootnoteReference"/>
          <w:rFonts w:ascii="Times New Roman" w:hAnsi="Times New Roman" w:cs="Times New Roman"/>
        </w:rPr>
        <w:footnoteReference w:id="16"/>
      </w:r>
      <w:r w:rsidRPr="00421B82">
        <w:rPr>
          <w:rFonts w:ascii="Times New Roman" w:hAnsi="Times New Roman" w:cs="Times New Roman"/>
        </w:rPr>
        <w:t xml:space="preserve"> or </w:t>
      </w:r>
      <w:r w:rsidR="005B78F0" w:rsidRPr="00421B82">
        <w:rPr>
          <w:rFonts w:ascii="Times New Roman" w:hAnsi="Times New Roman" w:cs="Times New Roman"/>
        </w:rPr>
        <w:t>Horace’s</w:t>
      </w:r>
      <w:r w:rsidR="009F2461" w:rsidRPr="00421B82">
        <w:rPr>
          <w:rFonts w:ascii="Times New Roman" w:hAnsi="Times New Roman" w:cs="Times New Roman"/>
        </w:rPr>
        <w:t xml:space="preserve"> satire</w:t>
      </w:r>
      <w:r w:rsidRPr="00421B82">
        <w:rPr>
          <w:rFonts w:ascii="Times New Roman" w:hAnsi="Times New Roman" w:cs="Times New Roman"/>
        </w:rPr>
        <w:t xml:space="preserve"> 8</w:t>
      </w:r>
      <w:r w:rsidRPr="00421B82">
        <w:rPr>
          <w:rStyle w:val="FootnoteReference"/>
          <w:rFonts w:ascii="Times New Roman" w:hAnsi="Times New Roman" w:cs="Times New Roman"/>
        </w:rPr>
        <w:footnoteReference w:id="17"/>
      </w:r>
      <w:r w:rsidRPr="00421B82">
        <w:rPr>
          <w:rFonts w:ascii="Times New Roman" w:hAnsi="Times New Roman" w:cs="Times New Roman"/>
        </w:rPr>
        <w:t xml:space="preserve"> there is a huge emphasis put on the food served and how it was presented. Although the satire acts as a criticism of over-extravagance it shows how much Romans emphasised the importance of impressive meals. </w:t>
      </w:r>
      <w:r w:rsidR="005B78F0" w:rsidRPr="00421B82">
        <w:rPr>
          <w:rFonts w:ascii="Times New Roman" w:hAnsi="Times New Roman" w:cs="Times New Roman"/>
        </w:rPr>
        <w:t>Trimalchio</w:t>
      </w:r>
      <w:r w:rsidRPr="00421B82">
        <w:rPr>
          <w:rFonts w:ascii="Times New Roman" w:hAnsi="Times New Roman" w:cs="Times New Roman"/>
        </w:rPr>
        <w:t xml:space="preserve"> wouldn’t have created endless courses with auspicious backstories, like representations of the zodiac signs</w:t>
      </w:r>
      <w:r w:rsidRPr="00421B82">
        <w:rPr>
          <w:rStyle w:val="FootnoteReference"/>
          <w:rFonts w:ascii="Times New Roman" w:hAnsi="Times New Roman" w:cs="Times New Roman"/>
        </w:rPr>
        <w:footnoteReference w:id="18"/>
      </w:r>
      <w:r w:rsidRPr="00421B82">
        <w:rPr>
          <w:rFonts w:ascii="Times New Roman" w:hAnsi="Times New Roman" w:cs="Times New Roman"/>
        </w:rPr>
        <w:t xml:space="preserve">, if such representation wasn’t valued to some degree. Nicholas.F Hudson discusses how the presentation of food could make or </w:t>
      </w:r>
      <w:r w:rsidR="005B78F0" w:rsidRPr="00421B82">
        <w:rPr>
          <w:rFonts w:ascii="Times New Roman" w:hAnsi="Times New Roman" w:cs="Times New Roman"/>
        </w:rPr>
        <w:t>break</w:t>
      </w:r>
      <w:r w:rsidRPr="00421B82">
        <w:rPr>
          <w:rFonts w:ascii="Times New Roman" w:hAnsi="Times New Roman" w:cs="Times New Roman"/>
        </w:rPr>
        <w:t xml:space="preserve"> a social function. Shared portions with interesting presentation or elements “provide a true sense of communion and table fellowship”</w:t>
      </w:r>
      <w:r w:rsidRPr="00421B82">
        <w:rPr>
          <w:rStyle w:val="FootnoteReference"/>
          <w:rFonts w:ascii="Times New Roman" w:hAnsi="Times New Roman" w:cs="Times New Roman"/>
        </w:rPr>
        <w:footnoteReference w:id="19"/>
      </w:r>
      <w:r w:rsidRPr="00421B82">
        <w:rPr>
          <w:rFonts w:ascii="Times New Roman" w:hAnsi="Times New Roman" w:cs="Times New Roman"/>
        </w:rPr>
        <w:t>. Serving a dinner in this way was ment to entice the guest to return if invited again or praise the hosts tastes to other members of the society, thus boosting their social standing.</w:t>
      </w:r>
    </w:p>
    <w:p w:rsidR="0013543C" w:rsidRPr="00421B82" w:rsidRDefault="0013543C" w:rsidP="0098537E">
      <w:pPr>
        <w:spacing w:line="480" w:lineRule="auto"/>
        <w:contextualSpacing/>
        <w:rPr>
          <w:rFonts w:ascii="Times New Roman" w:hAnsi="Times New Roman" w:cs="Times New Roman"/>
        </w:rPr>
      </w:pPr>
    </w:p>
    <w:p w:rsidR="00347F1B" w:rsidRPr="00421B82" w:rsidRDefault="00347F1B" w:rsidP="0098537E">
      <w:pPr>
        <w:spacing w:line="480" w:lineRule="auto"/>
        <w:contextualSpacing/>
        <w:rPr>
          <w:rFonts w:ascii="Times New Roman" w:hAnsi="Times New Roman" w:cs="Times New Roman"/>
        </w:rPr>
      </w:pPr>
      <w:r w:rsidRPr="00421B82">
        <w:rPr>
          <w:rFonts w:ascii="Times New Roman" w:hAnsi="Times New Roman" w:cs="Times New Roman"/>
        </w:rPr>
        <w:t>In conclusion I have found that banquets had a very large impact on individuals social standing, however this may not have always had a positive effect on individuals social standing. Overindulgence, displays of greed and foolish expenditure could negatively impact social standing of both guests and hosts. Expensive luxuries however, could impress certain individuals in a society however this often depended on the guests invited and whether they appreciated indulgence or philosophical conversation. It seems that most forms of private banquets the quality of the discussions was of great importance to the attendees and if the host failed to meet the standards of the guests they could be open to mockery and ridicule.</w:t>
      </w:r>
    </w:p>
    <w:p w:rsidR="005B78F0" w:rsidRPr="00421B82" w:rsidRDefault="005B78F0" w:rsidP="0098537E">
      <w:pPr>
        <w:spacing w:line="480" w:lineRule="auto"/>
        <w:contextualSpacing/>
        <w:rPr>
          <w:rFonts w:ascii="Times New Roman" w:hAnsi="Times New Roman" w:cs="Times New Roman"/>
        </w:rPr>
      </w:pPr>
    </w:p>
    <w:p w:rsidR="005B78F0" w:rsidRPr="00421B82" w:rsidRDefault="005B78F0">
      <w:pPr>
        <w:rPr>
          <w:rFonts w:ascii="Times New Roman" w:hAnsi="Times New Roman" w:cs="Times New Roman"/>
        </w:rPr>
      </w:pPr>
      <w:r w:rsidRPr="00421B82">
        <w:rPr>
          <w:rFonts w:ascii="Times New Roman" w:hAnsi="Times New Roman" w:cs="Times New Roman"/>
        </w:rPr>
        <w:br w:type="page"/>
      </w:r>
    </w:p>
    <w:p w:rsidR="005B78F0" w:rsidRPr="00421B82" w:rsidRDefault="005B78F0" w:rsidP="005B78F0">
      <w:pPr>
        <w:spacing w:line="240" w:lineRule="auto"/>
        <w:contextualSpacing/>
        <w:rPr>
          <w:rFonts w:ascii="Times New Roman" w:hAnsi="Times New Roman" w:cs="Times New Roman"/>
          <w:b/>
          <w:u w:val="single"/>
        </w:rPr>
      </w:pPr>
      <w:r w:rsidRPr="00421B82">
        <w:rPr>
          <w:rFonts w:ascii="Times New Roman" w:hAnsi="Times New Roman" w:cs="Times New Roman"/>
          <w:b/>
          <w:u w:val="single"/>
        </w:rPr>
        <w:lastRenderedPageBreak/>
        <w:t>Bibliography</w:t>
      </w:r>
    </w:p>
    <w:p w:rsidR="005B78F0" w:rsidRPr="00421B82" w:rsidRDefault="005B78F0" w:rsidP="005B78F0">
      <w:pPr>
        <w:spacing w:line="240" w:lineRule="auto"/>
        <w:contextualSpacing/>
        <w:rPr>
          <w:rFonts w:ascii="Times New Roman" w:hAnsi="Times New Roman" w:cs="Times New Roman"/>
          <w:b/>
          <w:u w:val="single"/>
        </w:rPr>
      </w:pPr>
    </w:p>
    <w:p w:rsidR="005B78F0" w:rsidRPr="00421B82" w:rsidRDefault="005B78F0" w:rsidP="005B78F0">
      <w:pPr>
        <w:spacing w:line="240" w:lineRule="auto"/>
        <w:contextualSpacing/>
        <w:rPr>
          <w:rFonts w:ascii="Times New Roman" w:hAnsi="Times New Roman" w:cs="Times New Roman"/>
          <w:b/>
          <w:u w:val="single"/>
        </w:rPr>
      </w:pPr>
      <w:r w:rsidRPr="00421B82">
        <w:rPr>
          <w:rFonts w:ascii="Times New Roman" w:hAnsi="Times New Roman" w:cs="Times New Roman"/>
          <w:b/>
          <w:u w:val="single"/>
        </w:rPr>
        <w:t>Ancient sources</w:t>
      </w:r>
    </w:p>
    <w:p w:rsidR="005B78F0" w:rsidRPr="00421B82" w:rsidRDefault="005B78F0" w:rsidP="005B78F0">
      <w:pPr>
        <w:spacing w:line="240" w:lineRule="auto"/>
        <w:contextualSpacing/>
        <w:rPr>
          <w:rFonts w:ascii="Times New Roman" w:hAnsi="Times New Roman" w:cs="Times New Roman"/>
        </w:rPr>
      </w:pPr>
    </w:p>
    <w:p w:rsidR="00421B82" w:rsidRPr="00421B82" w:rsidRDefault="00421B82" w:rsidP="00421B82">
      <w:pPr>
        <w:spacing w:line="240" w:lineRule="auto"/>
        <w:rPr>
          <w:rFonts w:ascii="Times New Roman" w:eastAsia="Times New Roman" w:hAnsi="Times New Roman" w:cs="Times New Roman"/>
          <w:shd w:val="clear" w:color="auto" w:fill="FFFFFF"/>
        </w:rPr>
      </w:pPr>
      <w:r w:rsidRPr="00421B82">
        <w:rPr>
          <w:rFonts w:ascii="Times New Roman" w:eastAsia="Times New Roman" w:hAnsi="Times New Roman" w:cs="Times New Roman"/>
          <w:shd w:val="clear" w:color="auto" w:fill="FFFFFF"/>
        </w:rPr>
        <w:t>Horace</w:t>
      </w:r>
      <w:r w:rsidRPr="005B78F0">
        <w:rPr>
          <w:rFonts w:ascii="Times New Roman" w:eastAsia="Times New Roman" w:hAnsi="Times New Roman" w:cs="Times New Roman"/>
          <w:shd w:val="clear" w:color="auto" w:fill="FFFFFF"/>
        </w:rPr>
        <w:t xml:space="preserve">, </w:t>
      </w:r>
      <w:r w:rsidRPr="005B78F0">
        <w:rPr>
          <w:rFonts w:ascii="Times New Roman" w:eastAsia="Times New Roman" w:hAnsi="Times New Roman" w:cs="Times New Roman"/>
          <w:i/>
          <w:iCs/>
          <w:shd w:val="clear" w:color="auto" w:fill="FFFFFF"/>
        </w:rPr>
        <w:t>Satires and epistles</w:t>
      </w:r>
      <w:r w:rsidRPr="00421B82">
        <w:rPr>
          <w:rFonts w:ascii="Times New Roman" w:eastAsia="Times New Roman" w:hAnsi="Times New Roman" w:cs="Times New Roman"/>
          <w:shd w:val="clear" w:color="auto" w:fill="FFFFFF"/>
        </w:rPr>
        <w:t xml:space="preserve"> </w:t>
      </w:r>
      <w:r w:rsidRPr="005B78F0">
        <w:rPr>
          <w:rFonts w:ascii="Times New Roman" w:eastAsia="Times New Roman" w:hAnsi="Times New Roman" w:cs="Times New Roman"/>
          <w:shd w:val="clear" w:color="auto" w:fill="FFFFFF"/>
        </w:rPr>
        <w:t>Rudd, N.</w:t>
      </w:r>
      <w:r w:rsidRPr="00421B82">
        <w:rPr>
          <w:rFonts w:ascii="Times New Roman" w:eastAsia="Times New Roman" w:hAnsi="Times New Roman" w:cs="Times New Roman"/>
          <w:shd w:val="clear" w:color="auto" w:fill="FFFFFF"/>
        </w:rPr>
        <w:t>(trans)</w:t>
      </w:r>
      <w:r w:rsidRPr="005B78F0">
        <w:rPr>
          <w:rFonts w:ascii="Times New Roman" w:eastAsia="Times New Roman" w:hAnsi="Times New Roman" w:cs="Times New Roman"/>
          <w:shd w:val="clear" w:color="auto" w:fill="FFFFFF"/>
        </w:rPr>
        <w:t>. London: Penguin Books.</w:t>
      </w:r>
      <w:r w:rsidRPr="00421B82">
        <w:rPr>
          <w:rFonts w:ascii="Times New Roman" w:eastAsia="Times New Roman" w:hAnsi="Times New Roman" w:cs="Times New Roman"/>
          <w:shd w:val="clear" w:color="auto" w:fill="FFFFFF"/>
        </w:rPr>
        <w:t xml:space="preserve"> </w:t>
      </w:r>
      <w:r w:rsidRPr="005B78F0">
        <w:rPr>
          <w:rFonts w:ascii="Times New Roman" w:eastAsia="Times New Roman" w:hAnsi="Times New Roman" w:cs="Times New Roman"/>
          <w:shd w:val="clear" w:color="auto" w:fill="FFFFFF"/>
        </w:rPr>
        <w:t>(2005). </w:t>
      </w:r>
    </w:p>
    <w:p w:rsidR="00421B82" w:rsidRDefault="00421B82" w:rsidP="005B78F0">
      <w:pPr>
        <w:spacing w:line="240" w:lineRule="auto"/>
        <w:rPr>
          <w:rFonts w:ascii="Times New Roman" w:eastAsia="Times New Roman" w:hAnsi="Times New Roman" w:cs="Times New Roman"/>
          <w:shd w:val="clear" w:color="auto" w:fill="FFFFFF"/>
        </w:rPr>
      </w:pPr>
    </w:p>
    <w:p w:rsidR="005B78F0" w:rsidRPr="005B78F0" w:rsidRDefault="005B78F0" w:rsidP="005B78F0">
      <w:pPr>
        <w:spacing w:line="240" w:lineRule="auto"/>
        <w:rPr>
          <w:rFonts w:ascii="Times New Roman" w:eastAsia="Times New Roman" w:hAnsi="Times New Roman" w:cs="Times New Roman"/>
        </w:rPr>
      </w:pPr>
      <w:r w:rsidRPr="00421B82">
        <w:rPr>
          <w:rFonts w:ascii="Times New Roman" w:eastAsia="Times New Roman" w:hAnsi="Times New Roman" w:cs="Times New Roman"/>
          <w:shd w:val="clear" w:color="auto" w:fill="FFFFFF"/>
        </w:rPr>
        <w:t xml:space="preserve">Petronius, </w:t>
      </w:r>
      <w:r w:rsidRPr="005B78F0">
        <w:rPr>
          <w:rFonts w:ascii="Times New Roman" w:eastAsia="Times New Roman" w:hAnsi="Times New Roman" w:cs="Times New Roman"/>
          <w:i/>
          <w:iCs/>
          <w:shd w:val="clear" w:color="auto" w:fill="FFFFFF"/>
        </w:rPr>
        <w:t>The Satyricon</w:t>
      </w:r>
      <w:r w:rsidRPr="005B78F0">
        <w:rPr>
          <w:rFonts w:ascii="Times New Roman" w:eastAsia="Times New Roman" w:hAnsi="Times New Roman" w:cs="Times New Roman"/>
          <w:shd w:val="clear" w:color="auto" w:fill="FFFFFF"/>
        </w:rPr>
        <w:t xml:space="preserve">. </w:t>
      </w:r>
      <w:r w:rsidRPr="00421B82">
        <w:rPr>
          <w:rFonts w:ascii="Times New Roman" w:eastAsia="Times New Roman" w:hAnsi="Times New Roman" w:cs="Times New Roman"/>
          <w:shd w:val="clear" w:color="auto" w:fill="FFFFFF"/>
        </w:rPr>
        <w:t>J.PS ullivan,</w:t>
      </w:r>
      <w:r w:rsidRPr="005B78F0">
        <w:rPr>
          <w:rFonts w:ascii="Times New Roman" w:eastAsia="Times New Roman" w:hAnsi="Times New Roman" w:cs="Times New Roman"/>
          <w:shd w:val="clear" w:color="auto" w:fill="FFFFFF"/>
        </w:rPr>
        <w:t xml:space="preserve"> </w:t>
      </w:r>
      <w:r w:rsidRPr="00421B82">
        <w:rPr>
          <w:rFonts w:ascii="Times New Roman" w:eastAsia="Times New Roman" w:hAnsi="Times New Roman" w:cs="Times New Roman"/>
          <w:shd w:val="clear" w:color="auto" w:fill="FFFFFF"/>
        </w:rPr>
        <w:t>(trans)</w:t>
      </w:r>
      <w:r w:rsidRPr="00421B82">
        <w:rPr>
          <w:rFonts w:ascii="Times New Roman" w:eastAsia="Times New Roman" w:hAnsi="Times New Roman" w:cs="Times New Roman"/>
          <w:i/>
          <w:iCs/>
          <w:shd w:val="clear" w:color="auto" w:fill="FFFFFF"/>
        </w:rPr>
        <w:t xml:space="preserve"> </w:t>
      </w:r>
      <w:r w:rsidRPr="005B78F0">
        <w:rPr>
          <w:rFonts w:ascii="Times New Roman" w:eastAsia="Times New Roman" w:hAnsi="Times New Roman" w:cs="Times New Roman"/>
          <w:shd w:val="clear" w:color="auto" w:fill="FFFFFF"/>
        </w:rPr>
        <w:t>London: Penguin</w:t>
      </w:r>
      <w:r w:rsidRPr="00421B82">
        <w:rPr>
          <w:rFonts w:ascii="Times New Roman" w:eastAsia="Times New Roman" w:hAnsi="Times New Roman" w:cs="Times New Roman"/>
          <w:shd w:val="clear" w:color="auto" w:fill="FFFFFF"/>
        </w:rPr>
        <w:t xml:space="preserve"> Books</w:t>
      </w:r>
      <w:r w:rsidRPr="005B78F0">
        <w:rPr>
          <w:rFonts w:ascii="Times New Roman" w:eastAsia="Times New Roman" w:hAnsi="Times New Roman" w:cs="Times New Roman"/>
          <w:shd w:val="clear" w:color="auto" w:fill="FFFFFF"/>
        </w:rPr>
        <w:t>.</w:t>
      </w:r>
      <w:r w:rsidRPr="00421B82">
        <w:rPr>
          <w:rFonts w:ascii="Times New Roman" w:eastAsia="Times New Roman" w:hAnsi="Times New Roman" w:cs="Times New Roman"/>
          <w:shd w:val="clear" w:color="auto" w:fill="FFFFFF"/>
        </w:rPr>
        <w:t xml:space="preserve"> (</w:t>
      </w:r>
      <w:r w:rsidRPr="005B78F0">
        <w:rPr>
          <w:rFonts w:ascii="Times New Roman" w:eastAsia="Times New Roman" w:hAnsi="Times New Roman" w:cs="Times New Roman"/>
          <w:shd w:val="clear" w:color="auto" w:fill="FFFFFF"/>
        </w:rPr>
        <w:t>2011). </w:t>
      </w:r>
    </w:p>
    <w:p w:rsidR="00421B82" w:rsidRDefault="00421B82" w:rsidP="00421B82">
      <w:pPr>
        <w:spacing w:line="240" w:lineRule="auto"/>
        <w:rPr>
          <w:rFonts w:ascii="Times New Roman" w:eastAsia="Times New Roman" w:hAnsi="Times New Roman" w:cs="Times New Roman"/>
          <w:shd w:val="clear" w:color="auto" w:fill="FFFFFF"/>
        </w:rPr>
      </w:pPr>
    </w:p>
    <w:p w:rsidR="00421B82" w:rsidRPr="00421B82" w:rsidRDefault="00421B82" w:rsidP="00421B82">
      <w:pPr>
        <w:spacing w:line="240" w:lineRule="auto"/>
        <w:rPr>
          <w:rFonts w:ascii="Times New Roman" w:eastAsia="Times New Roman" w:hAnsi="Times New Roman" w:cs="Times New Roman"/>
          <w:shd w:val="clear" w:color="auto" w:fill="FFFFFF"/>
        </w:rPr>
      </w:pPr>
      <w:r w:rsidRPr="005B78F0">
        <w:rPr>
          <w:rFonts w:ascii="Times New Roman" w:eastAsia="Times New Roman" w:hAnsi="Times New Roman" w:cs="Times New Roman"/>
          <w:shd w:val="clear" w:color="auto" w:fill="FFFFFF"/>
        </w:rPr>
        <w:t>Pliny</w:t>
      </w:r>
      <w:r w:rsidRPr="00421B82">
        <w:rPr>
          <w:rFonts w:ascii="Times New Roman" w:eastAsia="Times New Roman" w:hAnsi="Times New Roman" w:cs="Times New Roman"/>
          <w:shd w:val="clear" w:color="auto" w:fill="FFFFFF"/>
        </w:rPr>
        <w:t xml:space="preserve">, </w:t>
      </w:r>
      <w:r w:rsidRPr="005B78F0">
        <w:rPr>
          <w:rFonts w:ascii="Times New Roman" w:eastAsia="Times New Roman" w:hAnsi="Times New Roman" w:cs="Times New Roman"/>
          <w:i/>
          <w:iCs/>
          <w:shd w:val="clear" w:color="auto" w:fill="FFFFFF"/>
        </w:rPr>
        <w:t>The letters of the younger Pliny</w:t>
      </w:r>
      <w:r w:rsidRPr="005B78F0">
        <w:rPr>
          <w:rFonts w:ascii="Times New Roman" w:eastAsia="Times New Roman" w:hAnsi="Times New Roman" w:cs="Times New Roman"/>
          <w:shd w:val="clear" w:color="auto" w:fill="FFFFFF"/>
        </w:rPr>
        <w:t>. Radice, B</w:t>
      </w:r>
      <w:r w:rsidRPr="00421B82">
        <w:rPr>
          <w:rFonts w:ascii="Times New Roman" w:eastAsia="Times New Roman" w:hAnsi="Times New Roman" w:cs="Times New Roman"/>
          <w:shd w:val="clear" w:color="auto" w:fill="FFFFFF"/>
        </w:rPr>
        <w:t xml:space="preserve"> (trans)</w:t>
      </w:r>
      <w:r w:rsidRPr="005B78F0">
        <w:rPr>
          <w:rFonts w:ascii="Times New Roman" w:eastAsia="Times New Roman" w:hAnsi="Times New Roman" w:cs="Times New Roman"/>
          <w:shd w:val="clear" w:color="auto" w:fill="FFFFFF"/>
        </w:rPr>
        <w:t>. London: Penguin</w:t>
      </w:r>
      <w:r w:rsidRPr="00421B82">
        <w:rPr>
          <w:rFonts w:ascii="Times New Roman" w:eastAsia="Times New Roman" w:hAnsi="Times New Roman" w:cs="Times New Roman"/>
          <w:shd w:val="clear" w:color="auto" w:fill="FFFFFF"/>
        </w:rPr>
        <w:t xml:space="preserve"> Books</w:t>
      </w:r>
      <w:r w:rsidRPr="005B78F0">
        <w:rPr>
          <w:rFonts w:ascii="Times New Roman" w:eastAsia="Times New Roman" w:hAnsi="Times New Roman" w:cs="Times New Roman"/>
          <w:shd w:val="clear" w:color="auto" w:fill="FFFFFF"/>
        </w:rPr>
        <w:t>.</w:t>
      </w:r>
      <w:r w:rsidRPr="00421B82">
        <w:rPr>
          <w:rFonts w:ascii="Times New Roman" w:eastAsia="Times New Roman" w:hAnsi="Times New Roman" w:cs="Times New Roman"/>
          <w:shd w:val="clear" w:color="auto" w:fill="FFFFFF"/>
        </w:rPr>
        <w:t xml:space="preserve"> </w:t>
      </w:r>
      <w:r w:rsidRPr="005B78F0">
        <w:rPr>
          <w:rFonts w:ascii="Times New Roman" w:eastAsia="Times New Roman" w:hAnsi="Times New Roman" w:cs="Times New Roman"/>
          <w:shd w:val="clear" w:color="auto" w:fill="FFFFFF"/>
        </w:rPr>
        <w:t>(2003). </w:t>
      </w:r>
    </w:p>
    <w:p w:rsidR="005B78F0" w:rsidRPr="00421B82" w:rsidRDefault="005B78F0" w:rsidP="005B78F0">
      <w:pPr>
        <w:spacing w:line="240" w:lineRule="auto"/>
        <w:rPr>
          <w:rFonts w:ascii="Times New Roman" w:eastAsia="Times New Roman" w:hAnsi="Times New Roman" w:cs="Times New Roman"/>
          <w:shd w:val="clear" w:color="auto" w:fill="FFFFFF"/>
        </w:rPr>
      </w:pPr>
    </w:p>
    <w:p w:rsidR="00421B82" w:rsidRPr="00421B82" w:rsidRDefault="00421B82" w:rsidP="00421B82">
      <w:pPr>
        <w:spacing w:line="240" w:lineRule="auto"/>
        <w:rPr>
          <w:rFonts w:ascii="Times New Roman" w:eastAsia="Times New Roman" w:hAnsi="Times New Roman" w:cs="Times New Roman"/>
          <w:bCs/>
        </w:rPr>
      </w:pPr>
      <w:r w:rsidRPr="00421B82">
        <w:rPr>
          <w:rFonts w:ascii="Times New Roman" w:eastAsia="Times New Roman" w:hAnsi="Times New Roman" w:cs="Times New Roman"/>
          <w:bCs/>
        </w:rPr>
        <w:t>Plutarch, </w:t>
      </w:r>
      <w:r w:rsidRPr="00421B82">
        <w:rPr>
          <w:rFonts w:ascii="Times New Roman" w:eastAsia="Times New Roman" w:hAnsi="Times New Roman" w:cs="Times New Roman"/>
          <w:bCs/>
          <w:i/>
          <w:iCs/>
        </w:rPr>
        <w:t>Quaestiones Convivales</w:t>
      </w:r>
      <w:r w:rsidRPr="00421B82">
        <w:rPr>
          <w:rFonts w:ascii="Times New Roman" w:eastAsia="Times New Roman" w:hAnsi="Times New Roman" w:cs="Times New Roman"/>
          <w:bCs/>
        </w:rPr>
        <w:t>. W.W.Goodwin, Cambridge (1874)</w:t>
      </w:r>
    </w:p>
    <w:p w:rsidR="00421B82" w:rsidRPr="00421B82" w:rsidRDefault="00421B82" w:rsidP="00421B82">
      <w:pPr>
        <w:spacing w:line="240" w:lineRule="auto"/>
        <w:rPr>
          <w:rFonts w:ascii="Times New Roman" w:eastAsia="Times New Roman" w:hAnsi="Times New Roman" w:cs="Times New Roman"/>
          <w:bCs/>
        </w:rPr>
      </w:pPr>
      <w:r w:rsidRPr="00421B82">
        <w:rPr>
          <w:rFonts w:ascii="Times New Roman" w:eastAsia="Times New Roman" w:hAnsi="Times New Roman" w:cs="Times New Roman"/>
          <w:bCs/>
        </w:rPr>
        <w:t>Available at: http://www.perseus.tufts.edu/hopper/text?doc=Perseus%3Atext%3A2008.01.0312%3Abook%3D9%3Achapter%3D15%3Asection%3D1</w:t>
      </w:r>
    </w:p>
    <w:p w:rsidR="00421B82" w:rsidRPr="00421B82" w:rsidRDefault="00421B82" w:rsidP="00421B82">
      <w:pPr>
        <w:spacing w:line="240" w:lineRule="auto"/>
        <w:rPr>
          <w:rFonts w:ascii="Times New Roman" w:eastAsia="Times New Roman" w:hAnsi="Times New Roman" w:cs="Times New Roman"/>
        </w:rPr>
      </w:pPr>
      <w:r w:rsidRPr="00421B82">
        <w:rPr>
          <w:rFonts w:ascii="Times New Roman" w:eastAsia="Times New Roman" w:hAnsi="Times New Roman" w:cs="Times New Roman"/>
          <w:bCs/>
        </w:rPr>
        <w:t>Accessed at 24.04.18</w:t>
      </w:r>
    </w:p>
    <w:p w:rsidR="00421B82" w:rsidRDefault="00421B82" w:rsidP="005B78F0">
      <w:pPr>
        <w:spacing w:line="240" w:lineRule="auto"/>
        <w:rPr>
          <w:rFonts w:ascii="Times New Roman" w:eastAsia="Times New Roman" w:hAnsi="Times New Roman" w:cs="Times New Roman"/>
          <w:shd w:val="clear" w:color="auto" w:fill="FFFFFF"/>
        </w:rPr>
      </w:pPr>
    </w:p>
    <w:p w:rsidR="005B78F0" w:rsidRPr="005B78F0" w:rsidRDefault="005B78F0" w:rsidP="005B78F0">
      <w:pPr>
        <w:spacing w:line="240" w:lineRule="auto"/>
        <w:rPr>
          <w:rFonts w:ascii="Times New Roman" w:eastAsia="Times New Roman" w:hAnsi="Times New Roman" w:cs="Times New Roman"/>
        </w:rPr>
      </w:pPr>
      <w:r w:rsidRPr="005B78F0">
        <w:rPr>
          <w:rFonts w:ascii="Times New Roman" w:eastAsia="Times New Roman" w:hAnsi="Times New Roman" w:cs="Times New Roman"/>
          <w:shd w:val="clear" w:color="auto" w:fill="FFFFFF"/>
        </w:rPr>
        <w:t xml:space="preserve">Suetonius, </w:t>
      </w:r>
      <w:r w:rsidRPr="005B78F0">
        <w:rPr>
          <w:rFonts w:ascii="Times New Roman" w:eastAsia="Times New Roman" w:hAnsi="Times New Roman" w:cs="Times New Roman"/>
          <w:i/>
          <w:iCs/>
          <w:shd w:val="clear" w:color="auto" w:fill="FFFFFF"/>
        </w:rPr>
        <w:t>The twelve Caesars</w:t>
      </w:r>
      <w:r w:rsidRPr="00421B82">
        <w:rPr>
          <w:rFonts w:ascii="Times New Roman" w:eastAsia="Times New Roman" w:hAnsi="Times New Roman" w:cs="Times New Roman"/>
          <w:i/>
          <w:iCs/>
          <w:shd w:val="clear" w:color="auto" w:fill="FFFFFF"/>
        </w:rPr>
        <w:t>.</w:t>
      </w:r>
      <w:r w:rsidRPr="00421B82">
        <w:rPr>
          <w:rFonts w:ascii="Times New Roman" w:eastAsia="Times New Roman" w:hAnsi="Times New Roman" w:cs="Times New Roman"/>
          <w:shd w:val="clear" w:color="auto" w:fill="FFFFFF"/>
        </w:rPr>
        <w:t xml:space="preserve"> </w:t>
      </w:r>
      <w:r w:rsidRPr="005B78F0">
        <w:rPr>
          <w:rFonts w:ascii="Times New Roman" w:eastAsia="Times New Roman" w:hAnsi="Times New Roman" w:cs="Times New Roman"/>
          <w:shd w:val="clear" w:color="auto" w:fill="FFFFFF"/>
        </w:rPr>
        <w:t xml:space="preserve">Graves, R. </w:t>
      </w:r>
      <w:r w:rsidRPr="00421B82">
        <w:rPr>
          <w:rFonts w:ascii="Times New Roman" w:eastAsia="Times New Roman" w:hAnsi="Times New Roman" w:cs="Times New Roman"/>
          <w:shd w:val="clear" w:color="auto" w:fill="FFFFFF"/>
        </w:rPr>
        <w:t>(trans)</w:t>
      </w:r>
      <w:r w:rsidRPr="005B78F0">
        <w:rPr>
          <w:rFonts w:ascii="Times New Roman" w:eastAsia="Times New Roman" w:hAnsi="Times New Roman" w:cs="Times New Roman"/>
          <w:shd w:val="clear" w:color="auto" w:fill="FFFFFF"/>
        </w:rPr>
        <w:t>. London: Penguin Books.</w:t>
      </w:r>
      <w:r w:rsidRPr="00421B82">
        <w:rPr>
          <w:rFonts w:ascii="Times New Roman" w:eastAsia="Times New Roman" w:hAnsi="Times New Roman" w:cs="Times New Roman"/>
          <w:shd w:val="clear" w:color="auto" w:fill="FFFFFF"/>
        </w:rPr>
        <w:t xml:space="preserve"> </w:t>
      </w:r>
      <w:r w:rsidRPr="005B78F0">
        <w:rPr>
          <w:rFonts w:ascii="Times New Roman" w:eastAsia="Times New Roman" w:hAnsi="Times New Roman" w:cs="Times New Roman"/>
          <w:shd w:val="clear" w:color="auto" w:fill="FFFFFF"/>
        </w:rPr>
        <w:t>(2007). </w:t>
      </w:r>
    </w:p>
    <w:p w:rsidR="005B78F0" w:rsidRPr="00421B82" w:rsidRDefault="005B78F0" w:rsidP="005B78F0">
      <w:pPr>
        <w:spacing w:line="240" w:lineRule="auto"/>
        <w:rPr>
          <w:rFonts w:ascii="Times New Roman" w:eastAsia="Times New Roman" w:hAnsi="Times New Roman" w:cs="Times New Roman"/>
        </w:rPr>
      </w:pPr>
    </w:p>
    <w:p w:rsidR="005B78F0" w:rsidRPr="00421B82" w:rsidRDefault="005B78F0" w:rsidP="005B78F0">
      <w:pPr>
        <w:spacing w:line="240" w:lineRule="auto"/>
        <w:contextualSpacing/>
        <w:rPr>
          <w:rFonts w:ascii="Times New Roman" w:hAnsi="Times New Roman" w:cs="Times New Roman"/>
          <w:b/>
          <w:u w:val="single"/>
        </w:rPr>
      </w:pPr>
      <w:r w:rsidRPr="00421B82">
        <w:rPr>
          <w:rFonts w:ascii="Times New Roman" w:hAnsi="Times New Roman" w:cs="Times New Roman"/>
          <w:b/>
          <w:u w:val="single"/>
        </w:rPr>
        <w:t>Online sources</w:t>
      </w:r>
    </w:p>
    <w:p w:rsidR="005B78F0" w:rsidRPr="00421B82" w:rsidRDefault="005B78F0" w:rsidP="005B78F0">
      <w:pPr>
        <w:spacing w:line="240" w:lineRule="auto"/>
        <w:contextualSpacing/>
        <w:rPr>
          <w:rFonts w:ascii="Times New Roman" w:hAnsi="Times New Roman" w:cs="Times New Roman"/>
        </w:rPr>
      </w:pPr>
    </w:p>
    <w:p w:rsidR="00421B82" w:rsidRPr="00421B82" w:rsidRDefault="00421B82" w:rsidP="00421B82">
      <w:pPr>
        <w:spacing w:line="240" w:lineRule="auto"/>
        <w:contextualSpacing/>
        <w:rPr>
          <w:rFonts w:ascii="Times New Roman" w:hAnsi="Times New Roman" w:cs="Times New Roman"/>
        </w:rPr>
      </w:pPr>
      <w:r w:rsidRPr="00421B82">
        <w:rPr>
          <w:rFonts w:ascii="Times New Roman" w:hAnsi="Times New Roman" w:cs="Times New Roman"/>
        </w:rPr>
        <w:t>Ascough, R.S. (2008) Forms of Commensality in Greco-Roman Associtiaons. The Classical world.</w:t>
      </w:r>
    </w:p>
    <w:p w:rsidR="00421B82" w:rsidRPr="00421B82" w:rsidRDefault="00421B82" w:rsidP="00421B82">
      <w:pPr>
        <w:spacing w:line="240" w:lineRule="auto"/>
        <w:contextualSpacing/>
        <w:rPr>
          <w:rFonts w:ascii="Times New Roman" w:hAnsi="Times New Roman" w:cs="Times New Roman"/>
        </w:rPr>
      </w:pPr>
      <w:r w:rsidRPr="00421B82">
        <w:rPr>
          <w:rFonts w:ascii="Times New Roman" w:hAnsi="Times New Roman" w:cs="Times New Roman"/>
        </w:rPr>
        <w:t xml:space="preserve">Available at: </w:t>
      </w:r>
      <w:hyperlink r:id="rId7" w:history="1">
        <w:r w:rsidRPr="00421B82">
          <w:rPr>
            <w:rStyle w:val="Hyperlink"/>
            <w:rFonts w:ascii="Times New Roman" w:hAnsi="Times New Roman" w:cs="Times New Roman"/>
            <w:color w:val="auto"/>
          </w:rPr>
          <w:t>http://www.jstor.org/stable/25472000</w:t>
        </w:r>
      </w:hyperlink>
    </w:p>
    <w:p w:rsidR="00421B82" w:rsidRPr="00421B82" w:rsidRDefault="00421B82" w:rsidP="00421B82">
      <w:pPr>
        <w:spacing w:line="240" w:lineRule="auto"/>
        <w:contextualSpacing/>
        <w:rPr>
          <w:rFonts w:ascii="Times New Roman" w:hAnsi="Times New Roman" w:cs="Times New Roman"/>
        </w:rPr>
      </w:pPr>
      <w:r w:rsidRPr="00421B82">
        <w:rPr>
          <w:rFonts w:ascii="Times New Roman" w:hAnsi="Times New Roman" w:cs="Times New Roman"/>
        </w:rPr>
        <w:t>Accessed at: 29.04.18</w:t>
      </w:r>
    </w:p>
    <w:p w:rsidR="00421B82" w:rsidRDefault="00421B82" w:rsidP="005B78F0">
      <w:pPr>
        <w:spacing w:line="240" w:lineRule="auto"/>
        <w:contextualSpacing/>
        <w:rPr>
          <w:rFonts w:ascii="Times New Roman" w:hAnsi="Times New Roman" w:cs="Times New Roman"/>
          <w:bCs/>
        </w:rPr>
      </w:pPr>
    </w:p>
    <w:p w:rsidR="00421B82" w:rsidRPr="00421B82" w:rsidRDefault="00421B82" w:rsidP="00421B82">
      <w:pPr>
        <w:spacing w:line="240" w:lineRule="auto"/>
        <w:contextualSpacing/>
        <w:rPr>
          <w:rFonts w:ascii="Times New Roman" w:hAnsi="Times New Roman" w:cs="Times New Roman"/>
        </w:rPr>
      </w:pPr>
      <w:r w:rsidRPr="00421B82">
        <w:rPr>
          <w:rFonts w:ascii="Times New Roman" w:hAnsi="Times New Roman" w:cs="Times New Roman"/>
        </w:rPr>
        <w:t>Donahue, J.F. (2003) Toward a Typology of Roman Public feasting. The American Journal of Phiology</w:t>
      </w:r>
    </w:p>
    <w:p w:rsidR="00421B82" w:rsidRPr="00421B82" w:rsidRDefault="00421B82" w:rsidP="00421B82">
      <w:pPr>
        <w:spacing w:line="240" w:lineRule="auto"/>
        <w:contextualSpacing/>
        <w:rPr>
          <w:rFonts w:ascii="Times New Roman" w:hAnsi="Times New Roman" w:cs="Times New Roman"/>
        </w:rPr>
      </w:pPr>
      <w:r w:rsidRPr="00421B82">
        <w:rPr>
          <w:rFonts w:ascii="Times New Roman" w:hAnsi="Times New Roman" w:cs="Times New Roman"/>
        </w:rPr>
        <w:t xml:space="preserve">Available at: </w:t>
      </w:r>
      <w:hyperlink r:id="rId8" w:history="1">
        <w:r w:rsidRPr="00421B82">
          <w:rPr>
            <w:rStyle w:val="Hyperlink"/>
            <w:rFonts w:ascii="Times New Roman" w:hAnsi="Times New Roman" w:cs="Times New Roman"/>
            <w:color w:val="auto"/>
          </w:rPr>
          <w:t>http://www.jstor.org/stable/1562137</w:t>
        </w:r>
      </w:hyperlink>
    </w:p>
    <w:p w:rsidR="00421B82" w:rsidRDefault="00421B82" w:rsidP="00421B82">
      <w:pPr>
        <w:spacing w:line="240" w:lineRule="auto"/>
        <w:contextualSpacing/>
        <w:rPr>
          <w:rFonts w:ascii="Times New Roman" w:hAnsi="Times New Roman" w:cs="Times New Roman"/>
        </w:rPr>
      </w:pPr>
      <w:r w:rsidRPr="00421B82">
        <w:rPr>
          <w:rFonts w:ascii="Times New Roman" w:hAnsi="Times New Roman" w:cs="Times New Roman"/>
        </w:rPr>
        <w:t>Accessed at: 29.04.18</w:t>
      </w:r>
    </w:p>
    <w:p w:rsidR="00421B82" w:rsidRPr="00421B82" w:rsidRDefault="00421B82" w:rsidP="00421B82">
      <w:pPr>
        <w:spacing w:line="240" w:lineRule="auto"/>
        <w:contextualSpacing/>
        <w:rPr>
          <w:rFonts w:ascii="Times New Roman" w:hAnsi="Times New Roman" w:cs="Times New Roman"/>
        </w:rPr>
      </w:pPr>
    </w:p>
    <w:p w:rsidR="00421B82" w:rsidRPr="00421B82" w:rsidRDefault="00421B82" w:rsidP="00421B82">
      <w:pPr>
        <w:spacing w:line="240" w:lineRule="auto"/>
        <w:contextualSpacing/>
        <w:rPr>
          <w:rFonts w:ascii="Times New Roman" w:hAnsi="Times New Roman" w:cs="Times New Roman"/>
        </w:rPr>
      </w:pPr>
      <w:r w:rsidRPr="00421B82">
        <w:rPr>
          <w:rFonts w:ascii="Times New Roman" w:hAnsi="Times New Roman" w:cs="Times New Roman"/>
        </w:rPr>
        <w:t>Hudson, N.F. (2010) The Archaeology of the Roman “Convivium”. American Journal of Archaeology.</w:t>
      </w:r>
    </w:p>
    <w:p w:rsidR="00421B82" w:rsidRPr="00421B82" w:rsidRDefault="00421B82" w:rsidP="00421B82">
      <w:pPr>
        <w:spacing w:line="240" w:lineRule="auto"/>
        <w:contextualSpacing/>
        <w:rPr>
          <w:rFonts w:ascii="Times New Roman" w:hAnsi="Times New Roman" w:cs="Times New Roman"/>
        </w:rPr>
      </w:pPr>
      <w:r w:rsidRPr="00421B82">
        <w:rPr>
          <w:rFonts w:ascii="Times New Roman" w:hAnsi="Times New Roman" w:cs="Times New Roman"/>
        </w:rPr>
        <w:t xml:space="preserve">Available at: </w:t>
      </w:r>
      <w:hyperlink r:id="rId9" w:history="1">
        <w:r w:rsidRPr="00421B82">
          <w:rPr>
            <w:rStyle w:val="Hyperlink"/>
            <w:rFonts w:ascii="Times New Roman" w:hAnsi="Times New Roman" w:cs="Times New Roman"/>
            <w:color w:val="auto"/>
          </w:rPr>
          <w:t>http://www.jstor.org/stable/25763806</w:t>
        </w:r>
      </w:hyperlink>
    </w:p>
    <w:p w:rsidR="00421B82" w:rsidRDefault="00421B82" w:rsidP="00421B82">
      <w:pPr>
        <w:spacing w:line="240" w:lineRule="auto"/>
        <w:contextualSpacing/>
        <w:rPr>
          <w:rFonts w:ascii="Times New Roman" w:hAnsi="Times New Roman" w:cs="Times New Roman"/>
        </w:rPr>
      </w:pPr>
      <w:r w:rsidRPr="00421B82">
        <w:rPr>
          <w:rFonts w:ascii="Times New Roman" w:hAnsi="Times New Roman" w:cs="Times New Roman"/>
        </w:rPr>
        <w:t>Accessed at: 29.04.18</w:t>
      </w:r>
    </w:p>
    <w:p w:rsidR="00421B82" w:rsidRPr="00421B82" w:rsidRDefault="00421B82" w:rsidP="00421B82">
      <w:pPr>
        <w:spacing w:line="240" w:lineRule="auto"/>
        <w:contextualSpacing/>
        <w:rPr>
          <w:rFonts w:ascii="Times New Roman" w:hAnsi="Times New Roman" w:cs="Times New Roman"/>
        </w:rPr>
      </w:pPr>
    </w:p>
    <w:p w:rsidR="00421B82" w:rsidRPr="00421B82" w:rsidRDefault="00421B82" w:rsidP="00421B82">
      <w:pPr>
        <w:spacing w:line="240" w:lineRule="auto"/>
        <w:contextualSpacing/>
        <w:rPr>
          <w:rFonts w:ascii="Times New Roman" w:hAnsi="Times New Roman" w:cs="Times New Roman"/>
          <w:bCs/>
        </w:rPr>
      </w:pPr>
      <w:r w:rsidRPr="00421B82">
        <w:rPr>
          <w:rFonts w:ascii="Times New Roman" w:hAnsi="Times New Roman" w:cs="Times New Roman"/>
          <w:bCs/>
        </w:rPr>
        <w:t>Lorenzi</w:t>
      </w:r>
      <w:r>
        <w:rPr>
          <w:rFonts w:ascii="Times New Roman" w:hAnsi="Times New Roman" w:cs="Times New Roman"/>
          <w:bCs/>
        </w:rPr>
        <w:t xml:space="preserve">, </w:t>
      </w:r>
      <w:r w:rsidRPr="00421B82">
        <w:rPr>
          <w:rFonts w:ascii="Times New Roman" w:hAnsi="Times New Roman" w:cs="Times New Roman"/>
          <w:bCs/>
        </w:rPr>
        <w:t>R. scientists figure out how ancient art was seen, 2010, nbcnews.com</w:t>
      </w:r>
    </w:p>
    <w:p w:rsidR="00421B82" w:rsidRPr="00421B82" w:rsidRDefault="00421B82" w:rsidP="00421B82">
      <w:pPr>
        <w:spacing w:line="240" w:lineRule="auto"/>
        <w:contextualSpacing/>
        <w:rPr>
          <w:rFonts w:ascii="Times New Roman" w:hAnsi="Times New Roman" w:cs="Times New Roman"/>
          <w:bCs/>
        </w:rPr>
      </w:pPr>
      <w:r w:rsidRPr="00421B82">
        <w:rPr>
          <w:rFonts w:ascii="Times New Roman" w:hAnsi="Times New Roman" w:cs="Times New Roman"/>
          <w:bCs/>
        </w:rPr>
        <w:t>Available at:</w:t>
      </w:r>
      <w:r w:rsidRPr="00421B82">
        <w:rPr>
          <w:rFonts w:ascii="Times New Roman" w:hAnsi="Times New Roman" w:cs="Times New Roman"/>
        </w:rPr>
        <w:t xml:space="preserve"> </w:t>
      </w:r>
      <w:r w:rsidRPr="00421B82">
        <w:rPr>
          <w:rFonts w:ascii="Times New Roman" w:hAnsi="Times New Roman" w:cs="Times New Roman"/>
          <w:bCs/>
        </w:rPr>
        <w:t>http://www.nbcnews.com/id/34770241/ns/technology_and_science-science/t/scientists-figure-out-how-ancient-art-was-seen/#.Wt3vn0pSzOQ</w:t>
      </w:r>
    </w:p>
    <w:p w:rsidR="00421B82" w:rsidRDefault="00421B82" w:rsidP="00421B82">
      <w:pPr>
        <w:spacing w:line="240" w:lineRule="auto"/>
        <w:contextualSpacing/>
        <w:rPr>
          <w:rFonts w:ascii="Times New Roman" w:hAnsi="Times New Roman" w:cs="Times New Roman"/>
          <w:bCs/>
        </w:rPr>
      </w:pPr>
      <w:r w:rsidRPr="00421B82">
        <w:rPr>
          <w:rFonts w:ascii="Times New Roman" w:hAnsi="Times New Roman" w:cs="Times New Roman"/>
          <w:bCs/>
        </w:rPr>
        <w:t>Accessed at 20.04.2018</w:t>
      </w:r>
    </w:p>
    <w:p w:rsidR="00421B82" w:rsidRPr="00421B82" w:rsidRDefault="00421B82" w:rsidP="00421B82">
      <w:pPr>
        <w:spacing w:line="240" w:lineRule="auto"/>
        <w:contextualSpacing/>
        <w:rPr>
          <w:rFonts w:ascii="Times New Roman" w:hAnsi="Times New Roman" w:cs="Times New Roman"/>
          <w:bCs/>
        </w:rPr>
      </w:pPr>
    </w:p>
    <w:p w:rsidR="00421B82" w:rsidRPr="00421B82" w:rsidRDefault="00421B82" w:rsidP="00421B82">
      <w:pPr>
        <w:spacing w:line="240" w:lineRule="auto"/>
        <w:contextualSpacing/>
        <w:rPr>
          <w:rFonts w:ascii="Times New Roman" w:hAnsi="Times New Roman" w:cs="Times New Roman"/>
        </w:rPr>
      </w:pPr>
      <w:r w:rsidRPr="00421B82">
        <w:rPr>
          <w:rFonts w:ascii="Times New Roman" w:hAnsi="Times New Roman" w:cs="Times New Roman"/>
        </w:rPr>
        <w:t>Raff</w:t>
      </w:r>
      <w:r>
        <w:rPr>
          <w:rFonts w:ascii="Times New Roman" w:hAnsi="Times New Roman" w:cs="Times New Roman"/>
        </w:rPr>
        <w:t>,</w:t>
      </w:r>
      <w:r w:rsidRPr="00421B82">
        <w:rPr>
          <w:rFonts w:ascii="Times New Roman" w:hAnsi="Times New Roman" w:cs="Times New Roman"/>
        </w:rPr>
        <w:t xml:space="preserve"> </w:t>
      </w:r>
      <w:r w:rsidRPr="00421B82">
        <w:rPr>
          <w:rFonts w:ascii="Times New Roman" w:hAnsi="Times New Roman" w:cs="Times New Roman"/>
        </w:rPr>
        <w:t>K.</w:t>
      </w:r>
      <w:r>
        <w:rPr>
          <w:rFonts w:ascii="Times New Roman" w:hAnsi="Times New Roman" w:cs="Times New Roman"/>
        </w:rPr>
        <w:t xml:space="preserve"> </w:t>
      </w:r>
      <w:r w:rsidRPr="00421B82">
        <w:rPr>
          <w:rFonts w:ascii="Times New Roman" w:hAnsi="Times New Roman" w:cs="Times New Roman"/>
        </w:rPr>
        <w:t>The Roman Banquet, 2011,</w:t>
      </w:r>
      <w:r w:rsidR="00522ED0">
        <w:rPr>
          <w:rFonts w:ascii="Times New Roman" w:hAnsi="Times New Roman" w:cs="Times New Roman"/>
        </w:rPr>
        <w:t xml:space="preserve"> </w:t>
      </w:r>
      <w:r w:rsidRPr="00421B82">
        <w:rPr>
          <w:rFonts w:ascii="Times New Roman" w:hAnsi="Times New Roman" w:cs="Times New Roman"/>
        </w:rPr>
        <w:t>metmuseum.org</w:t>
      </w:r>
    </w:p>
    <w:p w:rsidR="00421B82" w:rsidRPr="00421B82" w:rsidRDefault="00421B82" w:rsidP="00421B82">
      <w:pPr>
        <w:spacing w:line="240" w:lineRule="auto"/>
        <w:contextualSpacing/>
        <w:rPr>
          <w:rFonts w:ascii="Times New Roman" w:hAnsi="Times New Roman" w:cs="Times New Roman"/>
        </w:rPr>
      </w:pPr>
      <w:r w:rsidRPr="00421B82">
        <w:rPr>
          <w:rFonts w:ascii="Times New Roman" w:hAnsi="Times New Roman" w:cs="Times New Roman"/>
        </w:rPr>
        <w:t xml:space="preserve">Available at: </w:t>
      </w:r>
      <w:hyperlink r:id="rId10" w:history="1">
        <w:r w:rsidRPr="00421B82">
          <w:rPr>
            <w:rStyle w:val="Hyperlink"/>
            <w:rFonts w:ascii="Times New Roman" w:hAnsi="Times New Roman" w:cs="Times New Roman"/>
            <w:color w:val="auto"/>
          </w:rPr>
          <w:t>https://www.metmuseum.org/toah/hd/banq/hd_banq.htm</w:t>
        </w:r>
      </w:hyperlink>
    </w:p>
    <w:p w:rsidR="00421B82" w:rsidRPr="00421B82" w:rsidRDefault="00421B82" w:rsidP="00421B82">
      <w:pPr>
        <w:spacing w:line="240" w:lineRule="auto"/>
        <w:contextualSpacing/>
        <w:rPr>
          <w:rFonts w:ascii="Times New Roman" w:hAnsi="Times New Roman" w:cs="Times New Roman"/>
        </w:rPr>
      </w:pPr>
      <w:r w:rsidRPr="00421B82">
        <w:rPr>
          <w:rFonts w:ascii="Times New Roman" w:hAnsi="Times New Roman" w:cs="Times New Roman"/>
        </w:rPr>
        <w:t>Accessed at 25.05.2018</w:t>
      </w:r>
    </w:p>
    <w:p w:rsidR="005B78F0" w:rsidRPr="00421B82" w:rsidRDefault="005B78F0" w:rsidP="005B78F0">
      <w:pPr>
        <w:spacing w:line="240" w:lineRule="auto"/>
        <w:contextualSpacing/>
        <w:rPr>
          <w:rFonts w:ascii="Times New Roman" w:hAnsi="Times New Roman" w:cs="Times New Roman"/>
        </w:rPr>
      </w:pPr>
    </w:p>
    <w:p w:rsidR="005B78F0" w:rsidRPr="00421B82" w:rsidRDefault="005B78F0" w:rsidP="005B78F0">
      <w:pPr>
        <w:spacing w:line="240" w:lineRule="auto"/>
        <w:contextualSpacing/>
        <w:rPr>
          <w:rFonts w:ascii="Times New Roman" w:hAnsi="Times New Roman" w:cs="Times New Roman"/>
        </w:rPr>
      </w:pPr>
      <w:r w:rsidRPr="00421B82">
        <w:rPr>
          <w:rFonts w:ascii="Times New Roman" w:hAnsi="Times New Roman" w:cs="Times New Roman"/>
        </w:rPr>
        <w:t xml:space="preserve">Silver, M. (2007). Those Exotic Roman Elites: Behavior vs. Preferences. [online] Jstor. </w:t>
      </w:r>
    </w:p>
    <w:p w:rsidR="005B78F0" w:rsidRPr="00421B82" w:rsidRDefault="005B78F0" w:rsidP="005B78F0">
      <w:pPr>
        <w:spacing w:line="240" w:lineRule="auto"/>
        <w:contextualSpacing/>
        <w:rPr>
          <w:rFonts w:ascii="Times New Roman" w:hAnsi="Times New Roman" w:cs="Times New Roman"/>
        </w:rPr>
      </w:pPr>
      <w:r w:rsidRPr="00421B82">
        <w:rPr>
          <w:rFonts w:ascii="Times New Roman" w:hAnsi="Times New Roman" w:cs="Times New Roman"/>
        </w:rPr>
        <w:t xml:space="preserve">Available at: </w:t>
      </w:r>
      <w:hyperlink r:id="rId11" w:history="1">
        <w:r w:rsidRPr="00421B82">
          <w:rPr>
            <w:rStyle w:val="Hyperlink"/>
            <w:rFonts w:ascii="Times New Roman" w:hAnsi="Times New Roman" w:cs="Times New Roman"/>
            <w:color w:val="auto"/>
          </w:rPr>
          <w:t>http://www.jstor.org/stable/25598400</w:t>
        </w:r>
      </w:hyperlink>
      <w:r w:rsidRPr="00421B82">
        <w:rPr>
          <w:rFonts w:ascii="Times New Roman" w:hAnsi="Times New Roman" w:cs="Times New Roman"/>
        </w:rPr>
        <w:t xml:space="preserve"> </w:t>
      </w:r>
    </w:p>
    <w:p w:rsidR="00531A5D" w:rsidRPr="00421B82" w:rsidRDefault="00531A5D" w:rsidP="00531A5D">
      <w:pPr>
        <w:spacing w:line="240" w:lineRule="auto"/>
        <w:contextualSpacing/>
        <w:rPr>
          <w:rFonts w:ascii="Times New Roman" w:hAnsi="Times New Roman" w:cs="Times New Roman"/>
        </w:rPr>
      </w:pPr>
      <w:r w:rsidRPr="00421B82">
        <w:rPr>
          <w:rFonts w:ascii="Times New Roman" w:hAnsi="Times New Roman" w:cs="Times New Roman"/>
        </w:rPr>
        <w:t>Accessed at: 29.04.18</w:t>
      </w:r>
    </w:p>
    <w:p w:rsidR="005B78F0" w:rsidRPr="00421B82" w:rsidRDefault="005B78F0" w:rsidP="005B78F0">
      <w:pPr>
        <w:spacing w:line="240" w:lineRule="auto"/>
        <w:contextualSpacing/>
        <w:rPr>
          <w:rFonts w:ascii="Times New Roman" w:hAnsi="Times New Roman" w:cs="Times New Roman"/>
        </w:rPr>
      </w:pPr>
    </w:p>
    <w:p w:rsidR="005B78F0" w:rsidRPr="00421B82" w:rsidRDefault="005B78F0" w:rsidP="005B78F0">
      <w:pPr>
        <w:spacing w:line="240" w:lineRule="auto"/>
        <w:contextualSpacing/>
        <w:rPr>
          <w:rFonts w:ascii="Times New Roman" w:hAnsi="Times New Roman" w:cs="Times New Roman"/>
        </w:rPr>
      </w:pPr>
    </w:p>
    <w:p w:rsidR="005B78F0" w:rsidRPr="00421B82" w:rsidRDefault="005B78F0" w:rsidP="005B78F0">
      <w:pPr>
        <w:spacing w:line="240" w:lineRule="auto"/>
        <w:contextualSpacing/>
        <w:rPr>
          <w:rFonts w:ascii="Times New Roman" w:hAnsi="Times New Roman" w:cs="Times New Roman"/>
        </w:rPr>
      </w:pPr>
    </w:p>
    <w:sectPr w:rsidR="005B78F0" w:rsidRPr="00421B82" w:rsidSect="00C02FF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703A" w:rsidRDefault="00B8703A" w:rsidP="006F155D">
      <w:pPr>
        <w:spacing w:line="240" w:lineRule="auto"/>
      </w:pPr>
      <w:r>
        <w:separator/>
      </w:r>
    </w:p>
  </w:endnote>
  <w:endnote w:type="continuationSeparator" w:id="0">
    <w:p w:rsidR="00B8703A" w:rsidRDefault="00B8703A" w:rsidP="006F15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703A" w:rsidRDefault="00B8703A" w:rsidP="006F155D">
      <w:pPr>
        <w:spacing w:line="240" w:lineRule="auto"/>
      </w:pPr>
      <w:r>
        <w:separator/>
      </w:r>
    </w:p>
  </w:footnote>
  <w:footnote w:type="continuationSeparator" w:id="0">
    <w:p w:rsidR="00B8703A" w:rsidRDefault="00B8703A" w:rsidP="006F155D">
      <w:pPr>
        <w:spacing w:line="240" w:lineRule="auto"/>
      </w:pPr>
      <w:r>
        <w:continuationSeparator/>
      </w:r>
    </w:p>
  </w:footnote>
  <w:footnote w:id="1">
    <w:p w:rsidR="006F155D" w:rsidRPr="00421B82" w:rsidRDefault="006F155D" w:rsidP="00C34B7F">
      <w:pPr>
        <w:pStyle w:val="FootnoteText"/>
        <w:snapToGrid w:val="0"/>
        <w:spacing w:line="200" w:lineRule="exact"/>
        <w:rPr>
          <w:rFonts w:ascii="Times New Roman" w:hAnsi="Times New Roman" w:cs="Times New Roman"/>
        </w:rPr>
      </w:pPr>
      <w:r>
        <w:rPr>
          <w:rStyle w:val="FootnoteReference"/>
        </w:rPr>
        <w:footnoteRef/>
      </w:r>
      <w:r>
        <w:t xml:space="preserve"> </w:t>
      </w:r>
      <w:r w:rsidRPr="00421B82">
        <w:rPr>
          <w:rFonts w:ascii="Times New Roman" w:hAnsi="Times New Roman" w:cs="Times New Roman"/>
        </w:rPr>
        <w:t>K. Raff. 2011</w:t>
      </w:r>
    </w:p>
  </w:footnote>
  <w:footnote w:id="2">
    <w:p w:rsidR="006F155D" w:rsidRPr="00421B82" w:rsidRDefault="006F155D" w:rsidP="00C34B7F">
      <w:pPr>
        <w:pStyle w:val="FootnoteText"/>
        <w:snapToGrid w:val="0"/>
        <w:spacing w:line="200" w:lineRule="exact"/>
        <w:rPr>
          <w:rFonts w:ascii="Times New Roman" w:hAnsi="Times New Roman" w:cs="Times New Roman"/>
        </w:rPr>
      </w:pPr>
      <w:r w:rsidRPr="00421B82">
        <w:rPr>
          <w:rStyle w:val="FootnoteReference"/>
          <w:rFonts w:ascii="Times New Roman" w:hAnsi="Times New Roman" w:cs="Times New Roman"/>
        </w:rPr>
        <w:footnoteRef/>
      </w:r>
      <w:r w:rsidRPr="00421B82">
        <w:rPr>
          <w:rFonts w:ascii="Times New Roman" w:hAnsi="Times New Roman" w:cs="Times New Roman"/>
        </w:rPr>
        <w:t>J.F. Donahue. 2003</w:t>
      </w:r>
      <w:r w:rsidR="007363CF">
        <w:rPr>
          <w:rFonts w:ascii="Times New Roman" w:hAnsi="Times New Roman" w:cs="Times New Roman"/>
        </w:rPr>
        <w:t>. 434</w:t>
      </w:r>
    </w:p>
  </w:footnote>
  <w:footnote w:id="3">
    <w:p w:rsidR="006F155D" w:rsidRPr="00421B82" w:rsidRDefault="006F155D" w:rsidP="00C34B7F">
      <w:pPr>
        <w:pStyle w:val="FootnoteText"/>
        <w:snapToGrid w:val="0"/>
        <w:spacing w:line="200" w:lineRule="exact"/>
        <w:rPr>
          <w:rFonts w:ascii="Times New Roman" w:hAnsi="Times New Roman" w:cs="Times New Roman"/>
        </w:rPr>
      </w:pPr>
      <w:r w:rsidRPr="00421B82">
        <w:rPr>
          <w:rStyle w:val="FootnoteReference"/>
          <w:rFonts w:ascii="Times New Roman" w:hAnsi="Times New Roman" w:cs="Times New Roman"/>
        </w:rPr>
        <w:footnoteRef/>
      </w:r>
      <w:r w:rsidRPr="00421B82">
        <w:rPr>
          <w:rFonts w:ascii="Times New Roman" w:hAnsi="Times New Roman" w:cs="Times New Roman"/>
        </w:rPr>
        <w:t xml:space="preserve"> R.S. Ascough</w:t>
      </w:r>
      <w:r w:rsidR="006E3643" w:rsidRPr="00421B82">
        <w:rPr>
          <w:rFonts w:ascii="Times New Roman" w:hAnsi="Times New Roman" w:cs="Times New Roman"/>
        </w:rPr>
        <w:t>. 2010</w:t>
      </w:r>
      <w:r w:rsidR="007363CF">
        <w:rPr>
          <w:rFonts w:ascii="Times New Roman" w:hAnsi="Times New Roman" w:cs="Times New Roman"/>
        </w:rPr>
        <w:t>. 37</w:t>
      </w:r>
    </w:p>
  </w:footnote>
  <w:footnote w:id="4">
    <w:p w:rsidR="006E3643" w:rsidRPr="00421B82" w:rsidRDefault="006E3643" w:rsidP="00C34B7F">
      <w:pPr>
        <w:pStyle w:val="FootnoteText"/>
        <w:snapToGrid w:val="0"/>
        <w:spacing w:line="200" w:lineRule="exact"/>
        <w:rPr>
          <w:rFonts w:ascii="Times New Roman" w:hAnsi="Times New Roman" w:cs="Times New Roman"/>
        </w:rPr>
      </w:pPr>
      <w:r w:rsidRPr="00421B82">
        <w:rPr>
          <w:rStyle w:val="FootnoteReference"/>
          <w:rFonts w:ascii="Times New Roman" w:hAnsi="Times New Roman" w:cs="Times New Roman"/>
        </w:rPr>
        <w:footnoteRef/>
      </w:r>
      <w:r w:rsidRPr="00421B82">
        <w:rPr>
          <w:rFonts w:ascii="Times New Roman" w:hAnsi="Times New Roman" w:cs="Times New Roman"/>
        </w:rPr>
        <w:t xml:space="preserve"> </w:t>
      </w:r>
      <w:r w:rsidR="007363CF" w:rsidRPr="00421B82">
        <w:rPr>
          <w:rFonts w:ascii="Times New Roman" w:hAnsi="Times New Roman" w:cs="Times New Roman"/>
        </w:rPr>
        <w:t>R.S. Ascough</w:t>
      </w:r>
      <w:r w:rsidR="007363CF">
        <w:rPr>
          <w:rFonts w:ascii="Times New Roman" w:hAnsi="Times New Roman" w:cs="Times New Roman"/>
        </w:rPr>
        <w:t xml:space="preserve">. </w:t>
      </w:r>
      <w:r w:rsidR="007363CF" w:rsidRPr="00421B82">
        <w:rPr>
          <w:rFonts w:ascii="Times New Roman" w:hAnsi="Times New Roman" w:cs="Times New Roman"/>
        </w:rPr>
        <w:t>2010</w:t>
      </w:r>
      <w:r w:rsidR="007363CF">
        <w:rPr>
          <w:rFonts w:ascii="Times New Roman" w:hAnsi="Times New Roman" w:cs="Times New Roman"/>
        </w:rPr>
        <w:t>. 42</w:t>
      </w:r>
    </w:p>
  </w:footnote>
  <w:footnote w:id="5">
    <w:p w:rsidR="006E3643" w:rsidRPr="00421B82" w:rsidRDefault="006E3643" w:rsidP="00C34B7F">
      <w:pPr>
        <w:pStyle w:val="FootnoteText"/>
        <w:spacing w:line="200" w:lineRule="exact"/>
        <w:rPr>
          <w:rFonts w:ascii="Times New Roman" w:hAnsi="Times New Roman" w:cs="Times New Roman"/>
        </w:rPr>
      </w:pPr>
      <w:r w:rsidRPr="00421B82">
        <w:rPr>
          <w:rStyle w:val="FootnoteReference"/>
          <w:rFonts w:ascii="Times New Roman" w:hAnsi="Times New Roman" w:cs="Times New Roman"/>
        </w:rPr>
        <w:footnoteRef/>
      </w:r>
      <w:r w:rsidRPr="00421B82">
        <w:rPr>
          <w:rFonts w:ascii="Times New Roman" w:hAnsi="Times New Roman" w:cs="Times New Roman"/>
        </w:rPr>
        <w:t xml:space="preserve"> Plin.</w:t>
      </w:r>
      <w:r w:rsidRPr="00421B82">
        <w:rPr>
          <w:rFonts w:ascii="Times New Roman" w:hAnsi="Times New Roman" w:cs="Times New Roman"/>
          <w:i/>
        </w:rPr>
        <w:t>Ep</w:t>
      </w:r>
      <w:r w:rsidRPr="00421B82">
        <w:rPr>
          <w:rFonts w:ascii="Times New Roman" w:hAnsi="Times New Roman" w:cs="Times New Roman"/>
        </w:rPr>
        <w:t>.2.6</w:t>
      </w:r>
    </w:p>
  </w:footnote>
  <w:footnote w:id="6">
    <w:p w:rsidR="006E3643" w:rsidRPr="00421B82" w:rsidRDefault="006E3643" w:rsidP="00C34B7F">
      <w:pPr>
        <w:pStyle w:val="FootnoteText"/>
        <w:spacing w:line="200" w:lineRule="exact"/>
        <w:rPr>
          <w:rFonts w:ascii="Times New Roman" w:hAnsi="Times New Roman" w:cs="Times New Roman"/>
        </w:rPr>
      </w:pPr>
      <w:r w:rsidRPr="00421B82">
        <w:rPr>
          <w:rStyle w:val="FootnoteReference"/>
          <w:rFonts w:ascii="Times New Roman" w:hAnsi="Times New Roman" w:cs="Times New Roman"/>
        </w:rPr>
        <w:footnoteRef/>
      </w:r>
      <w:r w:rsidRPr="00421B82">
        <w:rPr>
          <w:rFonts w:ascii="Times New Roman" w:hAnsi="Times New Roman" w:cs="Times New Roman"/>
        </w:rPr>
        <w:t xml:space="preserve"> </w:t>
      </w:r>
      <w:r w:rsidR="007363CF" w:rsidRPr="00421B82">
        <w:rPr>
          <w:rFonts w:ascii="Times New Roman" w:hAnsi="Times New Roman" w:cs="Times New Roman"/>
        </w:rPr>
        <w:t>J.F.Hudson 2010</w:t>
      </w:r>
      <w:r w:rsidR="007363CF">
        <w:rPr>
          <w:rFonts w:ascii="Times New Roman" w:hAnsi="Times New Roman" w:cs="Times New Roman"/>
        </w:rPr>
        <w:t>. 663</w:t>
      </w:r>
    </w:p>
  </w:footnote>
  <w:footnote w:id="7">
    <w:p w:rsidR="00C60C8F" w:rsidRPr="00421B82" w:rsidRDefault="00C60C8F" w:rsidP="00C34B7F">
      <w:pPr>
        <w:pStyle w:val="FootnoteText"/>
        <w:spacing w:line="200" w:lineRule="exact"/>
        <w:contextualSpacing/>
        <w:rPr>
          <w:rFonts w:ascii="Times New Roman" w:hAnsi="Times New Roman" w:cs="Times New Roman"/>
        </w:rPr>
      </w:pPr>
      <w:r w:rsidRPr="00421B82">
        <w:rPr>
          <w:rStyle w:val="FootnoteReference"/>
          <w:rFonts w:ascii="Times New Roman" w:hAnsi="Times New Roman" w:cs="Times New Roman"/>
        </w:rPr>
        <w:footnoteRef/>
      </w:r>
      <w:r w:rsidRPr="00421B82">
        <w:rPr>
          <w:rFonts w:ascii="Times New Roman" w:hAnsi="Times New Roman" w:cs="Times New Roman"/>
        </w:rPr>
        <w:t xml:space="preserve"> Plut. Quaes. Conv. 4.0.1</w:t>
      </w:r>
    </w:p>
  </w:footnote>
  <w:footnote w:id="8">
    <w:p w:rsidR="00C34B7F" w:rsidRPr="00421B82" w:rsidRDefault="00C34B7F" w:rsidP="00C34B7F">
      <w:pPr>
        <w:pStyle w:val="FootnoteText"/>
        <w:spacing w:line="200" w:lineRule="exact"/>
        <w:rPr>
          <w:rFonts w:ascii="Times New Roman" w:hAnsi="Times New Roman" w:cs="Times New Roman"/>
        </w:rPr>
      </w:pPr>
      <w:r w:rsidRPr="00421B82">
        <w:rPr>
          <w:rStyle w:val="FootnoteReference"/>
          <w:rFonts w:ascii="Times New Roman" w:hAnsi="Times New Roman" w:cs="Times New Roman"/>
        </w:rPr>
        <w:footnoteRef/>
      </w:r>
      <w:r w:rsidRPr="00421B82">
        <w:rPr>
          <w:rFonts w:ascii="Times New Roman" w:hAnsi="Times New Roman" w:cs="Times New Roman"/>
        </w:rPr>
        <w:t xml:space="preserve"> </w:t>
      </w:r>
      <w:r w:rsidRPr="00421B82">
        <w:rPr>
          <w:rFonts w:ascii="Times New Roman" w:hAnsi="Times New Roman" w:cs="Times New Roman"/>
        </w:rPr>
        <w:t>K. Raff. 2011</w:t>
      </w:r>
    </w:p>
  </w:footnote>
  <w:footnote w:id="9">
    <w:p w:rsidR="00C34B7F" w:rsidRPr="00421B82" w:rsidRDefault="00C34B7F" w:rsidP="00C34B7F">
      <w:pPr>
        <w:pStyle w:val="FootnoteText"/>
        <w:spacing w:line="200" w:lineRule="exact"/>
        <w:rPr>
          <w:rFonts w:ascii="Times New Roman" w:hAnsi="Times New Roman" w:cs="Times New Roman"/>
        </w:rPr>
      </w:pPr>
      <w:r w:rsidRPr="00421B82">
        <w:rPr>
          <w:rStyle w:val="FootnoteReference"/>
          <w:rFonts w:ascii="Times New Roman" w:hAnsi="Times New Roman" w:cs="Times New Roman"/>
        </w:rPr>
        <w:footnoteRef/>
      </w:r>
      <w:r w:rsidRPr="00421B82">
        <w:rPr>
          <w:rFonts w:ascii="Times New Roman" w:hAnsi="Times New Roman" w:cs="Times New Roman"/>
        </w:rPr>
        <w:t xml:space="preserve"> Petronius,</w:t>
      </w:r>
      <w:r w:rsidR="005B78F0" w:rsidRPr="00421B82">
        <w:rPr>
          <w:rFonts w:ascii="Times New Roman" w:hAnsi="Times New Roman" w:cs="Times New Roman"/>
        </w:rPr>
        <w:t xml:space="preserve"> Satyricon, Ti</w:t>
      </w:r>
      <w:r w:rsidRPr="00421B82">
        <w:rPr>
          <w:rFonts w:ascii="Times New Roman" w:hAnsi="Times New Roman" w:cs="Times New Roman"/>
        </w:rPr>
        <w:t>malchio</w:t>
      </w:r>
      <w:r w:rsidR="005B78F0" w:rsidRPr="00421B82">
        <w:rPr>
          <w:rFonts w:ascii="Times New Roman" w:hAnsi="Times New Roman" w:cs="Times New Roman"/>
        </w:rPr>
        <w:t>’s feast.</w:t>
      </w:r>
      <w:r w:rsidRPr="00421B82">
        <w:rPr>
          <w:rFonts w:ascii="Times New Roman" w:hAnsi="Times New Roman" w:cs="Times New Roman"/>
        </w:rPr>
        <w:t xml:space="preserve"> 49</w:t>
      </w:r>
    </w:p>
  </w:footnote>
  <w:footnote w:id="10">
    <w:p w:rsidR="00C34B7F" w:rsidRPr="00421B82" w:rsidRDefault="00C34B7F" w:rsidP="00C34B7F">
      <w:pPr>
        <w:pStyle w:val="FootnoteText"/>
        <w:spacing w:line="200" w:lineRule="exact"/>
        <w:rPr>
          <w:rFonts w:ascii="Times New Roman" w:hAnsi="Times New Roman" w:cs="Times New Roman"/>
        </w:rPr>
      </w:pPr>
      <w:r w:rsidRPr="00421B82">
        <w:rPr>
          <w:rStyle w:val="FootnoteReference"/>
          <w:rFonts w:ascii="Times New Roman" w:hAnsi="Times New Roman" w:cs="Times New Roman"/>
        </w:rPr>
        <w:footnoteRef/>
      </w:r>
      <w:r w:rsidR="005B78F0" w:rsidRPr="00421B82">
        <w:rPr>
          <w:rFonts w:ascii="Times New Roman" w:hAnsi="Times New Roman" w:cs="Times New Roman"/>
        </w:rPr>
        <w:t xml:space="preserve"> R.Lorenzi 2010</w:t>
      </w:r>
    </w:p>
  </w:footnote>
  <w:footnote w:id="11">
    <w:p w:rsidR="007472E4" w:rsidRPr="00421B82" w:rsidRDefault="007472E4" w:rsidP="007472E4">
      <w:pPr>
        <w:pStyle w:val="FootnoteText"/>
        <w:spacing w:after="100" w:line="200" w:lineRule="exact"/>
        <w:contextualSpacing/>
        <w:rPr>
          <w:rFonts w:ascii="Times New Roman" w:hAnsi="Times New Roman" w:cs="Times New Roman"/>
        </w:rPr>
      </w:pPr>
      <w:r w:rsidRPr="00421B82">
        <w:rPr>
          <w:rStyle w:val="FootnoteReference"/>
          <w:rFonts w:ascii="Times New Roman" w:hAnsi="Times New Roman" w:cs="Times New Roman"/>
        </w:rPr>
        <w:footnoteRef/>
      </w:r>
      <w:r w:rsidRPr="00421B82">
        <w:rPr>
          <w:rFonts w:ascii="Times New Roman" w:hAnsi="Times New Roman" w:cs="Times New Roman"/>
        </w:rPr>
        <w:t xml:space="preserve"> M.Silver. 2007</w:t>
      </w:r>
      <w:r w:rsidR="007363CF">
        <w:rPr>
          <w:rFonts w:ascii="Times New Roman" w:hAnsi="Times New Roman" w:cs="Times New Roman"/>
        </w:rPr>
        <w:t>. 347</w:t>
      </w:r>
    </w:p>
  </w:footnote>
  <w:footnote w:id="12">
    <w:p w:rsidR="007472E4" w:rsidRPr="00421B82" w:rsidRDefault="007472E4" w:rsidP="007472E4">
      <w:pPr>
        <w:pStyle w:val="FootnoteText"/>
        <w:spacing w:after="100" w:line="200" w:lineRule="exact"/>
        <w:contextualSpacing/>
        <w:rPr>
          <w:rFonts w:ascii="Times New Roman" w:hAnsi="Times New Roman" w:cs="Times New Roman"/>
        </w:rPr>
      </w:pPr>
      <w:r w:rsidRPr="00421B82">
        <w:rPr>
          <w:rStyle w:val="FootnoteReference"/>
          <w:rFonts w:ascii="Times New Roman" w:hAnsi="Times New Roman" w:cs="Times New Roman"/>
        </w:rPr>
        <w:footnoteRef/>
      </w:r>
      <w:r w:rsidRPr="00421B82">
        <w:rPr>
          <w:rFonts w:ascii="Times New Roman" w:hAnsi="Times New Roman" w:cs="Times New Roman"/>
        </w:rPr>
        <w:t xml:space="preserve"> </w:t>
      </w:r>
      <w:r w:rsidR="005B78F0" w:rsidRPr="00421B82">
        <w:rPr>
          <w:rFonts w:ascii="Times New Roman" w:hAnsi="Times New Roman" w:cs="Times New Roman"/>
        </w:rPr>
        <w:t>Horace, Satires and Epistles. II.</w:t>
      </w:r>
      <w:r w:rsidRPr="00421B82">
        <w:rPr>
          <w:rFonts w:ascii="Times New Roman" w:hAnsi="Times New Roman" w:cs="Times New Roman"/>
        </w:rPr>
        <w:t>8. 24-5</w:t>
      </w:r>
    </w:p>
  </w:footnote>
  <w:footnote w:id="13">
    <w:p w:rsidR="007472E4" w:rsidRPr="00421B82" w:rsidRDefault="007472E4" w:rsidP="007472E4">
      <w:pPr>
        <w:pStyle w:val="FootnoteText"/>
        <w:spacing w:after="100" w:line="200" w:lineRule="exact"/>
        <w:contextualSpacing/>
        <w:rPr>
          <w:rFonts w:ascii="Times New Roman" w:hAnsi="Times New Roman" w:cs="Times New Roman"/>
        </w:rPr>
      </w:pPr>
      <w:r w:rsidRPr="00421B82">
        <w:rPr>
          <w:rStyle w:val="FootnoteReference"/>
          <w:rFonts w:ascii="Times New Roman" w:hAnsi="Times New Roman" w:cs="Times New Roman"/>
        </w:rPr>
        <w:footnoteRef/>
      </w:r>
      <w:r w:rsidRPr="00421B82">
        <w:rPr>
          <w:rFonts w:ascii="Times New Roman" w:hAnsi="Times New Roman" w:cs="Times New Roman"/>
        </w:rPr>
        <w:t xml:space="preserve"> Suetonius. </w:t>
      </w:r>
      <w:r w:rsidR="005B78F0" w:rsidRPr="00421B82">
        <w:rPr>
          <w:rFonts w:ascii="Times New Roman" w:hAnsi="Times New Roman" w:cs="Times New Roman"/>
        </w:rPr>
        <w:t xml:space="preserve">The Twelve Caesars. </w:t>
      </w:r>
      <w:r w:rsidRPr="00421B82">
        <w:rPr>
          <w:rFonts w:ascii="Times New Roman" w:hAnsi="Times New Roman" w:cs="Times New Roman"/>
        </w:rPr>
        <w:t>Div claud. 33</w:t>
      </w:r>
    </w:p>
  </w:footnote>
  <w:footnote w:id="14">
    <w:p w:rsidR="007472E4" w:rsidRPr="00421B82" w:rsidRDefault="007472E4" w:rsidP="007472E4">
      <w:pPr>
        <w:pStyle w:val="FootnoteText"/>
        <w:spacing w:after="100" w:line="200" w:lineRule="exact"/>
        <w:contextualSpacing/>
        <w:rPr>
          <w:rFonts w:ascii="Times New Roman" w:hAnsi="Times New Roman" w:cs="Times New Roman"/>
        </w:rPr>
      </w:pPr>
      <w:r w:rsidRPr="00421B82">
        <w:rPr>
          <w:rStyle w:val="FootnoteReference"/>
          <w:rFonts w:ascii="Times New Roman" w:hAnsi="Times New Roman" w:cs="Times New Roman"/>
        </w:rPr>
        <w:footnoteRef/>
      </w:r>
      <w:r w:rsidRPr="00421B82">
        <w:rPr>
          <w:rFonts w:ascii="Times New Roman" w:hAnsi="Times New Roman" w:cs="Times New Roman"/>
        </w:rPr>
        <w:t xml:space="preserve"> </w:t>
      </w:r>
      <w:r w:rsidRPr="00421B82">
        <w:rPr>
          <w:rFonts w:ascii="Times New Roman" w:hAnsi="Times New Roman" w:cs="Times New Roman"/>
        </w:rPr>
        <w:t>Plut. Quaes. Conv. 4.0.1</w:t>
      </w:r>
    </w:p>
  </w:footnote>
  <w:footnote w:id="15">
    <w:p w:rsidR="0098537E" w:rsidRPr="00421B82" w:rsidRDefault="0098537E">
      <w:pPr>
        <w:pStyle w:val="FootnoteText"/>
        <w:rPr>
          <w:rFonts w:ascii="Times New Roman" w:hAnsi="Times New Roman" w:cs="Times New Roman"/>
        </w:rPr>
      </w:pPr>
      <w:r w:rsidRPr="00421B82">
        <w:rPr>
          <w:rStyle w:val="FootnoteReference"/>
          <w:rFonts w:ascii="Times New Roman" w:hAnsi="Times New Roman" w:cs="Times New Roman"/>
        </w:rPr>
        <w:footnoteRef/>
      </w:r>
      <w:r w:rsidRPr="00421B82">
        <w:rPr>
          <w:rFonts w:ascii="Times New Roman" w:hAnsi="Times New Roman" w:cs="Times New Roman"/>
        </w:rPr>
        <w:t xml:space="preserve"> </w:t>
      </w:r>
      <w:r w:rsidR="005B78F0" w:rsidRPr="00421B82">
        <w:rPr>
          <w:rFonts w:ascii="Times New Roman" w:hAnsi="Times New Roman" w:cs="Times New Roman"/>
        </w:rPr>
        <w:t>Horace, Satires and Epistles.</w:t>
      </w:r>
      <w:r w:rsidRPr="00421B82">
        <w:rPr>
          <w:rFonts w:ascii="Times New Roman" w:hAnsi="Times New Roman" w:cs="Times New Roman"/>
        </w:rPr>
        <w:t xml:space="preserve"> </w:t>
      </w:r>
      <w:r w:rsidR="005B78F0" w:rsidRPr="00421B82">
        <w:rPr>
          <w:rFonts w:ascii="Times New Roman" w:hAnsi="Times New Roman" w:cs="Times New Roman"/>
        </w:rPr>
        <w:t>II.</w:t>
      </w:r>
      <w:r w:rsidRPr="00421B82">
        <w:rPr>
          <w:rFonts w:ascii="Times New Roman" w:hAnsi="Times New Roman" w:cs="Times New Roman"/>
        </w:rPr>
        <w:t>2</w:t>
      </w:r>
      <w:r w:rsidR="005B78F0" w:rsidRPr="00421B82">
        <w:rPr>
          <w:rFonts w:ascii="Times New Roman" w:hAnsi="Times New Roman" w:cs="Times New Roman"/>
        </w:rPr>
        <w:t>. 45-6</w:t>
      </w:r>
    </w:p>
  </w:footnote>
  <w:footnote w:id="16">
    <w:p w:rsidR="00347F1B" w:rsidRPr="00421B82" w:rsidRDefault="00347F1B">
      <w:pPr>
        <w:pStyle w:val="FootnoteText"/>
        <w:rPr>
          <w:rFonts w:ascii="Times New Roman" w:hAnsi="Times New Roman" w:cs="Times New Roman"/>
        </w:rPr>
      </w:pPr>
      <w:r w:rsidRPr="00421B82">
        <w:rPr>
          <w:rStyle w:val="FootnoteReference"/>
          <w:rFonts w:ascii="Times New Roman" w:hAnsi="Times New Roman" w:cs="Times New Roman"/>
        </w:rPr>
        <w:footnoteRef/>
      </w:r>
      <w:r w:rsidRPr="00421B82">
        <w:rPr>
          <w:rFonts w:ascii="Times New Roman" w:hAnsi="Times New Roman" w:cs="Times New Roman"/>
        </w:rPr>
        <w:t xml:space="preserve"> </w:t>
      </w:r>
      <w:r w:rsidR="005B78F0" w:rsidRPr="00421B82">
        <w:rPr>
          <w:rFonts w:ascii="Times New Roman" w:hAnsi="Times New Roman" w:cs="Times New Roman"/>
        </w:rPr>
        <w:t>Petronius, Satyricon, Timalchio’s feast</w:t>
      </w:r>
      <w:r w:rsidR="005B78F0" w:rsidRPr="00421B82">
        <w:rPr>
          <w:rFonts w:ascii="Times New Roman" w:hAnsi="Times New Roman" w:cs="Times New Roman"/>
        </w:rPr>
        <w:t xml:space="preserve">. </w:t>
      </w:r>
      <w:r w:rsidRPr="00421B82">
        <w:rPr>
          <w:rFonts w:ascii="Times New Roman" w:hAnsi="Times New Roman" w:cs="Times New Roman"/>
        </w:rPr>
        <w:t>47</w:t>
      </w:r>
    </w:p>
  </w:footnote>
  <w:footnote w:id="17">
    <w:p w:rsidR="00347F1B" w:rsidRPr="00421B82" w:rsidRDefault="00347F1B">
      <w:pPr>
        <w:pStyle w:val="FootnoteText"/>
        <w:rPr>
          <w:rFonts w:ascii="Times New Roman" w:hAnsi="Times New Roman" w:cs="Times New Roman"/>
        </w:rPr>
      </w:pPr>
      <w:r w:rsidRPr="00421B82">
        <w:rPr>
          <w:rStyle w:val="FootnoteReference"/>
          <w:rFonts w:ascii="Times New Roman" w:hAnsi="Times New Roman" w:cs="Times New Roman"/>
        </w:rPr>
        <w:footnoteRef/>
      </w:r>
      <w:r w:rsidRPr="00421B82">
        <w:rPr>
          <w:rFonts w:ascii="Times New Roman" w:hAnsi="Times New Roman" w:cs="Times New Roman"/>
        </w:rPr>
        <w:t xml:space="preserve"> Horace</w:t>
      </w:r>
      <w:r w:rsidR="005B78F0" w:rsidRPr="00421B82">
        <w:rPr>
          <w:rFonts w:ascii="Times New Roman" w:hAnsi="Times New Roman" w:cs="Times New Roman"/>
        </w:rPr>
        <w:t>,</w:t>
      </w:r>
      <w:r w:rsidRPr="00421B82">
        <w:rPr>
          <w:rFonts w:ascii="Times New Roman" w:hAnsi="Times New Roman" w:cs="Times New Roman"/>
        </w:rPr>
        <w:t xml:space="preserve"> </w:t>
      </w:r>
      <w:r w:rsidR="005B78F0" w:rsidRPr="00421B82">
        <w:rPr>
          <w:rFonts w:ascii="Times New Roman" w:hAnsi="Times New Roman" w:cs="Times New Roman"/>
        </w:rPr>
        <w:t>S</w:t>
      </w:r>
      <w:r w:rsidRPr="00421B82">
        <w:rPr>
          <w:rFonts w:ascii="Times New Roman" w:hAnsi="Times New Roman" w:cs="Times New Roman"/>
        </w:rPr>
        <w:t>atire</w:t>
      </w:r>
      <w:r w:rsidR="005B78F0" w:rsidRPr="00421B82">
        <w:rPr>
          <w:rFonts w:ascii="Times New Roman" w:hAnsi="Times New Roman" w:cs="Times New Roman"/>
        </w:rPr>
        <w:t>s and Epistles.</w:t>
      </w:r>
      <w:r w:rsidRPr="00421B82">
        <w:rPr>
          <w:rFonts w:ascii="Times New Roman" w:hAnsi="Times New Roman" w:cs="Times New Roman"/>
        </w:rPr>
        <w:t xml:space="preserve"> </w:t>
      </w:r>
      <w:r w:rsidR="005B78F0" w:rsidRPr="00421B82">
        <w:rPr>
          <w:rFonts w:ascii="Times New Roman" w:hAnsi="Times New Roman" w:cs="Times New Roman"/>
        </w:rPr>
        <w:t>II.</w:t>
      </w:r>
      <w:r w:rsidRPr="00421B82">
        <w:rPr>
          <w:rFonts w:ascii="Times New Roman" w:hAnsi="Times New Roman" w:cs="Times New Roman"/>
        </w:rPr>
        <w:t>8. 40-50</w:t>
      </w:r>
    </w:p>
  </w:footnote>
  <w:footnote w:id="18">
    <w:p w:rsidR="00347F1B" w:rsidRPr="00421B82" w:rsidRDefault="00347F1B">
      <w:pPr>
        <w:pStyle w:val="FootnoteText"/>
        <w:rPr>
          <w:rFonts w:ascii="Times New Roman" w:hAnsi="Times New Roman" w:cs="Times New Roman"/>
        </w:rPr>
      </w:pPr>
      <w:r w:rsidRPr="00421B82">
        <w:rPr>
          <w:rStyle w:val="FootnoteReference"/>
          <w:rFonts w:ascii="Times New Roman" w:hAnsi="Times New Roman" w:cs="Times New Roman"/>
        </w:rPr>
        <w:footnoteRef/>
      </w:r>
      <w:r w:rsidRPr="00421B82">
        <w:rPr>
          <w:rFonts w:ascii="Times New Roman" w:hAnsi="Times New Roman" w:cs="Times New Roman"/>
        </w:rPr>
        <w:t xml:space="preserve"> </w:t>
      </w:r>
      <w:r w:rsidR="005B78F0" w:rsidRPr="00421B82">
        <w:rPr>
          <w:rFonts w:ascii="Times New Roman" w:hAnsi="Times New Roman" w:cs="Times New Roman"/>
        </w:rPr>
        <w:t>Petronius, Satyricon, Timalchio’s feast</w:t>
      </w:r>
      <w:r w:rsidR="005B78F0" w:rsidRPr="00421B82">
        <w:rPr>
          <w:rFonts w:ascii="Times New Roman" w:hAnsi="Times New Roman" w:cs="Times New Roman"/>
        </w:rPr>
        <w:t xml:space="preserve">. </w:t>
      </w:r>
      <w:r w:rsidRPr="00421B82">
        <w:rPr>
          <w:rFonts w:ascii="Times New Roman" w:hAnsi="Times New Roman" w:cs="Times New Roman"/>
        </w:rPr>
        <w:t>39-40</w:t>
      </w:r>
    </w:p>
  </w:footnote>
  <w:footnote w:id="19">
    <w:p w:rsidR="00347F1B" w:rsidRPr="00421B82" w:rsidRDefault="00347F1B">
      <w:pPr>
        <w:pStyle w:val="FootnoteText"/>
        <w:rPr>
          <w:rFonts w:ascii="Times New Roman" w:hAnsi="Times New Roman" w:cs="Times New Roman"/>
        </w:rPr>
      </w:pPr>
      <w:r w:rsidRPr="00421B82">
        <w:rPr>
          <w:rStyle w:val="FootnoteReference"/>
          <w:rFonts w:ascii="Times New Roman" w:hAnsi="Times New Roman" w:cs="Times New Roman"/>
        </w:rPr>
        <w:footnoteRef/>
      </w:r>
      <w:r w:rsidRPr="00421B82">
        <w:rPr>
          <w:rFonts w:ascii="Times New Roman" w:hAnsi="Times New Roman" w:cs="Times New Roman"/>
        </w:rPr>
        <w:t xml:space="preserve"> J.F.Hudson 2010</w:t>
      </w:r>
      <w:r w:rsidR="007363CF">
        <w:rPr>
          <w:rFonts w:ascii="Times New Roman" w:hAnsi="Times New Roman" w:cs="Times New Roman"/>
        </w:rPr>
        <w:t>. 669</w:t>
      </w:r>
      <w:bookmarkStart w:id="0" w:name="_GoBack"/>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55D"/>
    <w:rsid w:val="00111E26"/>
    <w:rsid w:val="0013543C"/>
    <w:rsid w:val="0016737F"/>
    <w:rsid w:val="00347F1B"/>
    <w:rsid w:val="00421B82"/>
    <w:rsid w:val="00522ED0"/>
    <w:rsid w:val="00531A5D"/>
    <w:rsid w:val="005B78F0"/>
    <w:rsid w:val="006E3643"/>
    <w:rsid w:val="006F155D"/>
    <w:rsid w:val="006F1D03"/>
    <w:rsid w:val="007363CF"/>
    <w:rsid w:val="007472E4"/>
    <w:rsid w:val="0098537E"/>
    <w:rsid w:val="009F2461"/>
    <w:rsid w:val="00B8703A"/>
    <w:rsid w:val="00C02FF2"/>
    <w:rsid w:val="00C34B7F"/>
    <w:rsid w:val="00C60C8F"/>
    <w:rsid w:val="00CB302A"/>
    <w:rsid w:val="00DA3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40E9CA"/>
  <w14:defaultImageDpi w14:val="32767"/>
  <w15:chartTrackingRefBased/>
  <w15:docId w15:val="{7A30A82B-5175-EA47-96F0-BEE7049A1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line="220" w:lineRule="exac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F155D"/>
  </w:style>
  <w:style w:type="paragraph" w:styleId="Heading1">
    <w:name w:val="heading 1"/>
    <w:basedOn w:val="Normal"/>
    <w:next w:val="Normal"/>
    <w:link w:val="Heading1Char"/>
    <w:uiPriority w:val="9"/>
    <w:qFormat/>
    <w:rsid w:val="006F155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155D"/>
    <w:rPr>
      <w:color w:val="0563C1" w:themeColor="hyperlink"/>
      <w:u w:val="single"/>
    </w:rPr>
  </w:style>
  <w:style w:type="character" w:styleId="UnresolvedMention">
    <w:name w:val="Unresolved Mention"/>
    <w:basedOn w:val="DefaultParagraphFont"/>
    <w:uiPriority w:val="99"/>
    <w:rsid w:val="006F155D"/>
    <w:rPr>
      <w:color w:val="808080"/>
      <w:shd w:val="clear" w:color="auto" w:fill="E6E6E6"/>
    </w:rPr>
  </w:style>
  <w:style w:type="character" w:styleId="FollowedHyperlink">
    <w:name w:val="FollowedHyperlink"/>
    <w:basedOn w:val="DefaultParagraphFont"/>
    <w:uiPriority w:val="99"/>
    <w:semiHidden/>
    <w:unhideWhenUsed/>
    <w:rsid w:val="006F155D"/>
    <w:rPr>
      <w:color w:val="954F72" w:themeColor="followedHyperlink"/>
      <w:u w:val="single"/>
    </w:rPr>
  </w:style>
  <w:style w:type="paragraph" w:styleId="FootnoteText">
    <w:name w:val="footnote text"/>
    <w:basedOn w:val="Normal"/>
    <w:link w:val="FootnoteTextChar"/>
    <w:uiPriority w:val="99"/>
    <w:semiHidden/>
    <w:unhideWhenUsed/>
    <w:rsid w:val="006F155D"/>
    <w:rPr>
      <w:sz w:val="20"/>
      <w:szCs w:val="20"/>
    </w:rPr>
  </w:style>
  <w:style w:type="character" w:customStyle="1" w:styleId="FootnoteTextChar">
    <w:name w:val="Footnote Text Char"/>
    <w:basedOn w:val="DefaultParagraphFont"/>
    <w:link w:val="FootnoteText"/>
    <w:uiPriority w:val="99"/>
    <w:semiHidden/>
    <w:rsid w:val="006F155D"/>
    <w:rPr>
      <w:sz w:val="20"/>
      <w:szCs w:val="20"/>
    </w:rPr>
  </w:style>
  <w:style w:type="character" w:styleId="FootnoteReference">
    <w:name w:val="footnote reference"/>
    <w:basedOn w:val="DefaultParagraphFont"/>
    <w:uiPriority w:val="99"/>
    <w:semiHidden/>
    <w:unhideWhenUsed/>
    <w:rsid w:val="006F155D"/>
    <w:rPr>
      <w:vertAlign w:val="superscript"/>
    </w:rPr>
  </w:style>
  <w:style w:type="character" w:customStyle="1" w:styleId="Heading1Char">
    <w:name w:val="Heading 1 Char"/>
    <w:basedOn w:val="DefaultParagraphFont"/>
    <w:link w:val="Heading1"/>
    <w:uiPriority w:val="9"/>
    <w:rsid w:val="006F155D"/>
    <w:rPr>
      <w:rFonts w:asciiTheme="majorHAnsi" w:eastAsiaTheme="majorEastAsia" w:hAnsiTheme="majorHAnsi" w:cstheme="majorBidi"/>
      <w:b/>
      <w:bCs/>
      <w:color w:val="2F5496" w:themeColor="accent1" w:themeShade="BF"/>
      <w:sz w:val="28"/>
      <w:szCs w:val="28"/>
      <w:lang w:val="en-US" w:bidi="en-US"/>
    </w:rPr>
  </w:style>
  <w:style w:type="paragraph" w:styleId="NormalWeb">
    <w:name w:val="Normal (Web)"/>
    <w:basedOn w:val="Normal"/>
    <w:uiPriority w:val="99"/>
    <w:semiHidden/>
    <w:unhideWhenUsed/>
    <w:rsid w:val="006F155D"/>
    <w:pPr>
      <w:spacing w:before="100" w:beforeAutospacing="1"/>
    </w:pPr>
    <w:rPr>
      <w:rFonts w:ascii="Times New Roman" w:eastAsia="Times New Roman" w:hAnsi="Times New Roman" w:cs="Times New Roman"/>
    </w:rPr>
  </w:style>
  <w:style w:type="paragraph" w:styleId="Header">
    <w:name w:val="header"/>
    <w:basedOn w:val="Normal"/>
    <w:link w:val="HeaderChar"/>
    <w:uiPriority w:val="99"/>
    <w:unhideWhenUsed/>
    <w:rsid w:val="00CB302A"/>
    <w:pPr>
      <w:tabs>
        <w:tab w:val="center" w:pos="4513"/>
        <w:tab w:val="right" w:pos="9026"/>
      </w:tabs>
    </w:pPr>
  </w:style>
  <w:style w:type="character" w:customStyle="1" w:styleId="HeaderChar">
    <w:name w:val="Header Char"/>
    <w:basedOn w:val="DefaultParagraphFont"/>
    <w:link w:val="Header"/>
    <w:uiPriority w:val="99"/>
    <w:rsid w:val="00CB302A"/>
  </w:style>
  <w:style w:type="paragraph" w:styleId="Footer">
    <w:name w:val="footer"/>
    <w:basedOn w:val="Normal"/>
    <w:link w:val="FooterChar"/>
    <w:uiPriority w:val="99"/>
    <w:unhideWhenUsed/>
    <w:rsid w:val="00CB302A"/>
    <w:pPr>
      <w:tabs>
        <w:tab w:val="center" w:pos="4513"/>
        <w:tab w:val="right" w:pos="9026"/>
      </w:tabs>
    </w:pPr>
  </w:style>
  <w:style w:type="character" w:customStyle="1" w:styleId="FooterChar">
    <w:name w:val="Footer Char"/>
    <w:basedOn w:val="DefaultParagraphFont"/>
    <w:link w:val="Footer"/>
    <w:uiPriority w:val="99"/>
    <w:rsid w:val="00CB302A"/>
  </w:style>
  <w:style w:type="paragraph" w:styleId="EndnoteText">
    <w:name w:val="endnote text"/>
    <w:basedOn w:val="Normal"/>
    <w:link w:val="EndnoteTextChar"/>
    <w:uiPriority w:val="99"/>
    <w:semiHidden/>
    <w:unhideWhenUsed/>
    <w:rsid w:val="005B78F0"/>
    <w:pPr>
      <w:spacing w:line="240" w:lineRule="auto"/>
    </w:pPr>
    <w:rPr>
      <w:sz w:val="20"/>
      <w:szCs w:val="20"/>
    </w:rPr>
  </w:style>
  <w:style w:type="character" w:customStyle="1" w:styleId="EndnoteTextChar">
    <w:name w:val="Endnote Text Char"/>
    <w:basedOn w:val="DefaultParagraphFont"/>
    <w:link w:val="EndnoteText"/>
    <w:uiPriority w:val="99"/>
    <w:semiHidden/>
    <w:rsid w:val="005B78F0"/>
    <w:rPr>
      <w:sz w:val="20"/>
      <w:szCs w:val="20"/>
    </w:rPr>
  </w:style>
  <w:style w:type="character" w:styleId="EndnoteReference">
    <w:name w:val="endnote reference"/>
    <w:basedOn w:val="DefaultParagraphFont"/>
    <w:uiPriority w:val="99"/>
    <w:semiHidden/>
    <w:unhideWhenUsed/>
    <w:rsid w:val="005B78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599932">
      <w:bodyDiv w:val="1"/>
      <w:marLeft w:val="0"/>
      <w:marRight w:val="0"/>
      <w:marTop w:val="0"/>
      <w:marBottom w:val="0"/>
      <w:divBdr>
        <w:top w:val="none" w:sz="0" w:space="0" w:color="auto"/>
        <w:left w:val="none" w:sz="0" w:space="0" w:color="auto"/>
        <w:bottom w:val="none" w:sz="0" w:space="0" w:color="auto"/>
        <w:right w:val="none" w:sz="0" w:space="0" w:color="auto"/>
      </w:divBdr>
      <w:divsChild>
        <w:div w:id="1170832750">
          <w:marLeft w:val="0"/>
          <w:marRight w:val="0"/>
          <w:marTop w:val="0"/>
          <w:marBottom w:val="0"/>
          <w:divBdr>
            <w:top w:val="none" w:sz="0" w:space="0" w:color="auto"/>
            <w:left w:val="none" w:sz="0" w:space="0" w:color="auto"/>
            <w:bottom w:val="none" w:sz="0" w:space="0" w:color="auto"/>
            <w:right w:val="none" w:sz="0" w:space="0" w:color="auto"/>
          </w:divBdr>
          <w:divsChild>
            <w:div w:id="1149788435">
              <w:marLeft w:val="0"/>
              <w:marRight w:val="0"/>
              <w:marTop w:val="0"/>
              <w:marBottom w:val="0"/>
              <w:divBdr>
                <w:top w:val="none" w:sz="0" w:space="0" w:color="auto"/>
                <w:left w:val="none" w:sz="0" w:space="0" w:color="auto"/>
                <w:bottom w:val="none" w:sz="0" w:space="0" w:color="auto"/>
                <w:right w:val="none" w:sz="0" w:space="0" w:color="auto"/>
              </w:divBdr>
              <w:divsChild>
                <w:div w:id="179471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51528">
      <w:bodyDiv w:val="1"/>
      <w:marLeft w:val="0"/>
      <w:marRight w:val="0"/>
      <w:marTop w:val="0"/>
      <w:marBottom w:val="0"/>
      <w:divBdr>
        <w:top w:val="none" w:sz="0" w:space="0" w:color="auto"/>
        <w:left w:val="none" w:sz="0" w:space="0" w:color="auto"/>
        <w:bottom w:val="none" w:sz="0" w:space="0" w:color="auto"/>
        <w:right w:val="none" w:sz="0" w:space="0" w:color="auto"/>
      </w:divBdr>
    </w:div>
    <w:div w:id="123234448">
      <w:bodyDiv w:val="1"/>
      <w:marLeft w:val="0"/>
      <w:marRight w:val="0"/>
      <w:marTop w:val="0"/>
      <w:marBottom w:val="0"/>
      <w:divBdr>
        <w:top w:val="none" w:sz="0" w:space="0" w:color="auto"/>
        <w:left w:val="none" w:sz="0" w:space="0" w:color="auto"/>
        <w:bottom w:val="none" w:sz="0" w:space="0" w:color="auto"/>
        <w:right w:val="none" w:sz="0" w:space="0" w:color="auto"/>
      </w:divBdr>
    </w:div>
    <w:div w:id="553852359">
      <w:bodyDiv w:val="1"/>
      <w:marLeft w:val="0"/>
      <w:marRight w:val="0"/>
      <w:marTop w:val="0"/>
      <w:marBottom w:val="0"/>
      <w:divBdr>
        <w:top w:val="none" w:sz="0" w:space="0" w:color="auto"/>
        <w:left w:val="none" w:sz="0" w:space="0" w:color="auto"/>
        <w:bottom w:val="none" w:sz="0" w:space="0" w:color="auto"/>
        <w:right w:val="none" w:sz="0" w:space="0" w:color="auto"/>
      </w:divBdr>
      <w:divsChild>
        <w:div w:id="1252542703">
          <w:marLeft w:val="0"/>
          <w:marRight w:val="0"/>
          <w:marTop w:val="0"/>
          <w:marBottom w:val="0"/>
          <w:divBdr>
            <w:top w:val="none" w:sz="0" w:space="0" w:color="auto"/>
            <w:left w:val="none" w:sz="0" w:space="0" w:color="auto"/>
            <w:bottom w:val="none" w:sz="0" w:space="0" w:color="auto"/>
            <w:right w:val="none" w:sz="0" w:space="0" w:color="auto"/>
          </w:divBdr>
          <w:divsChild>
            <w:div w:id="298269992">
              <w:marLeft w:val="0"/>
              <w:marRight w:val="0"/>
              <w:marTop w:val="0"/>
              <w:marBottom w:val="0"/>
              <w:divBdr>
                <w:top w:val="none" w:sz="0" w:space="0" w:color="auto"/>
                <w:left w:val="none" w:sz="0" w:space="0" w:color="auto"/>
                <w:bottom w:val="none" w:sz="0" w:space="0" w:color="auto"/>
                <w:right w:val="none" w:sz="0" w:space="0" w:color="auto"/>
              </w:divBdr>
              <w:divsChild>
                <w:div w:id="19046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631042">
      <w:bodyDiv w:val="1"/>
      <w:marLeft w:val="0"/>
      <w:marRight w:val="0"/>
      <w:marTop w:val="0"/>
      <w:marBottom w:val="0"/>
      <w:divBdr>
        <w:top w:val="none" w:sz="0" w:space="0" w:color="auto"/>
        <w:left w:val="none" w:sz="0" w:space="0" w:color="auto"/>
        <w:bottom w:val="none" w:sz="0" w:space="0" w:color="auto"/>
        <w:right w:val="none" w:sz="0" w:space="0" w:color="auto"/>
      </w:divBdr>
    </w:div>
    <w:div w:id="1065646782">
      <w:bodyDiv w:val="1"/>
      <w:marLeft w:val="0"/>
      <w:marRight w:val="0"/>
      <w:marTop w:val="0"/>
      <w:marBottom w:val="0"/>
      <w:divBdr>
        <w:top w:val="none" w:sz="0" w:space="0" w:color="auto"/>
        <w:left w:val="none" w:sz="0" w:space="0" w:color="auto"/>
        <w:bottom w:val="none" w:sz="0" w:space="0" w:color="auto"/>
        <w:right w:val="none" w:sz="0" w:space="0" w:color="auto"/>
      </w:divBdr>
      <w:divsChild>
        <w:div w:id="1274940342">
          <w:marLeft w:val="0"/>
          <w:marRight w:val="0"/>
          <w:marTop w:val="0"/>
          <w:marBottom w:val="0"/>
          <w:divBdr>
            <w:top w:val="none" w:sz="0" w:space="0" w:color="auto"/>
            <w:left w:val="none" w:sz="0" w:space="0" w:color="auto"/>
            <w:bottom w:val="none" w:sz="0" w:space="0" w:color="auto"/>
            <w:right w:val="none" w:sz="0" w:space="0" w:color="auto"/>
          </w:divBdr>
        </w:div>
      </w:divsChild>
    </w:div>
    <w:div w:id="1153064528">
      <w:bodyDiv w:val="1"/>
      <w:marLeft w:val="0"/>
      <w:marRight w:val="0"/>
      <w:marTop w:val="0"/>
      <w:marBottom w:val="0"/>
      <w:divBdr>
        <w:top w:val="none" w:sz="0" w:space="0" w:color="auto"/>
        <w:left w:val="none" w:sz="0" w:space="0" w:color="auto"/>
        <w:bottom w:val="none" w:sz="0" w:space="0" w:color="auto"/>
        <w:right w:val="none" w:sz="0" w:space="0" w:color="auto"/>
      </w:divBdr>
    </w:div>
    <w:div w:id="1306205069">
      <w:bodyDiv w:val="1"/>
      <w:marLeft w:val="0"/>
      <w:marRight w:val="0"/>
      <w:marTop w:val="0"/>
      <w:marBottom w:val="0"/>
      <w:divBdr>
        <w:top w:val="none" w:sz="0" w:space="0" w:color="auto"/>
        <w:left w:val="none" w:sz="0" w:space="0" w:color="auto"/>
        <w:bottom w:val="none" w:sz="0" w:space="0" w:color="auto"/>
        <w:right w:val="none" w:sz="0" w:space="0" w:color="auto"/>
      </w:divBdr>
    </w:div>
    <w:div w:id="1346205889">
      <w:bodyDiv w:val="1"/>
      <w:marLeft w:val="0"/>
      <w:marRight w:val="0"/>
      <w:marTop w:val="0"/>
      <w:marBottom w:val="0"/>
      <w:divBdr>
        <w:top w:val="none" w:sz="0" w:space="0" w:color="auto"/>
        <w:left w:val="none" w:sz="0" w:space="0" w:color="auto"/>
        <w:bottom w:val="none" w:sz="0" w:space="0" w:color="auto"/>
        <w:right w:val="none" w:sz="0" w:space="0" w:color="auto"/>
      </w:divBdr>
      <w:divsChild>
        <w:div w:id="1325819576">
          <w:marLeft w:val="0"/>
          <w:marRight w:val="0"/>
          <w:marTop w:val="0"/>
          <w:marBottom w:val="0"/>
          <w:divBdr>
            <w:top w:val="none" w:sz="0" w:space="0" w:color="auto"/>
            <w:left w:val="none" w:sz="0" w:space="0" w:color="auto"/>
            <w:bottom w:val="none" w:sz="0" w:space="0" w:color="auto"/>
            <w:right w:val="none" w:sz="0" w:space="0" w:color="auto"/>
          </w:divBdr>
          <w:divsChild>
            <w:div w:id="1014767673">
              <w:marLeft w:val="0"/>
              <w:marRight w:val="0"/>
              <w:marTop w:val="0"/>
              <w:marBottom w:val="0"/>
              <w:divBdr>
                <w:top w:val="none" w:sz="0" w:space="0" w:color="auto"/>
                <w:left w:val="none" w:sz="0" w:space="0" w:color="auto"/>
                <w:bottom w:val="none" w:sz="0" w:space="0" w:color="auto"/>
                <w:right w:val="none" w:sz="0" w:space="0" w:color="auto"/>
              </w:divBdr>
              <w:divsChild>
                <w:div w:id="199132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783614">
      <w:bodyDiv w:val="1"/>
      <w:marLeft w:val="0"/>
      <w:marRight w:val="0"/>
      <w:marTop w:val="0"/>
      <w:marBottom w:val="0"/>
      <w:divBdr>
        <w:top w:val="none" w:sz="0" w:space="0" w:color="auto"/>
        <w:left w:val="none" w:sz="0" w:space="0" w:color="auto"/>
        <w:bottom w:val="none" w:sz="0" w:space="0" w:color="auto"/>
        <w:right w:val="none" w:sz="0" w:space="0" w:color="auto"/>
      </w:divBdr>
    </w:div>
    <w:div w:id="1835412623">
      <w:bodyDiv w:val="1"/>
      <w:marLeft w:val="0"/>
      <w:marRight w:val="0"/>
      <w:marTop w:val="0"/>
      <w:marBottom w:val="0"/>
      <w:divBdr>
        <w:top w:val="none" w:sz="0" w:space="0" w:color="auto"/>
        <w:left w:val="none" w:sz="0" w:space="0" w:color="auto"/>
        <w:bottom w:val="none" w:sz="0" w:space="0" w:color="auto"/>
        <w:right w:val="none" w:sz="0" w:space="0" w:color="auto"/>
      </w:divBdr>
      <w:divsChild>
        <w:div w:id="1813398449">
          <w:marLeft w:val="0"/>
          <w:marRight w:val="0"/>
          <w:marTop w:val="0"/>
          <w:marBottom w:val="0"/>
          <w:divBdr>
            <w:top w:val="none" w:sz="0" w:space="0" w:color="auto"/>
            <w:left w:val="none" w:sz="0" w:space="0" w:color="auto"/>
            <w:bottom w:val="none" w:sz="0" w:space="0" w:color="auto"/>
            <w:right w:val="none" w:sz="0" w:space="0" w:color="auto"/>
          </w:divBdr>
          <w:divsChild>
            <w:div w:id="841775162">
              <w:marLeft w:val="0"/>
              <w:marRight w:val="0"/>
              <w:marTop w:val="0"/>
              <w:marBottom w:val="0"/>
              <w:divBdr>
                <w:top w:val="none" w:sz="0" w:space="0" w:color="auto"/>
                <w:left w:val="none" w:sz="0" w:space="0" w:color="auto"/>
                <w:bottom w:val="none" w:sz="0" w:space="0" w:color="auto"/>
                <w:right w:val="none" w:sz="0" w:space="0" w:color="auto"/>
              </w:divBdr>
              <w:divsChild>
                <w:div w:id="130928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636606">
      <w:bodyDiv w:val="1"/>
      <w:marLeft w:val="0"/>
      <w:marRight w:val="0"/>
      <w:marTop w:val="0"/>
      <w:marBottom w:val="0"/>
      <w:divBdr>
        <w:top w:val="none" w:sz="0" w:space="0" w:color="auto"/>
        <w:left w:val="none" w:sz="0" w:space="0" w:color="auto"/>
        <w:bottom w:val="none" w:sz="0" w:space="0" w:color="auto"/>
        <w:right w:val="none" w:sz="0" w:space="0" w:color="auto"/>
      </w:divBdr>
      <w:divsChild>
        <w:div w:id="487094503">
          <w:marLeft w:val="0"/>
          <w:marRight w:val="0"/>
          <w:marTop w:val="0"/>
          <w:marBottom w:val="0"/>
          <w:divBdr>
            <w:top w:val="none" w:sz="0" w:space="0" w:color="auto"/>
            <w:left w:val="none" w:sz="0" w:space="0" w:color="auto"/>
            <w:bottom w:val="none" w:sz="0" w:space="0" w:color="auto"/>
            <w:right w:val="none" w:sz="0" w:space="0" w:color="auto"/>
          </w:divBdr>
          <w:divsChild>
            <w:div w:id="841819486">
              <w:marLeft w:val="0"/>
              <w:marRight w:val="0"/>
              <w:marTop w:val="0"/>
              <w:marBottom w:val="0"/>
              <w:divBdr>
                <w:top w:val="none" w:sz="0" w:space="0" w:color="auto"/>
                <w:left w:val="none" w:sz="0" w:space="0" w:color="auto"/>
                <w:bottom w:val="none" w:sz="0" w:space="0" w:color="auto"/>
                <w:right w:val="none" w:sz="0" w:space="0" w:color="auto"/>
              </w:divBdr>
              <w:divsChild>
                <w:div w:id="146099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156213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jstor.org/stable/2547200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jstor.org/stable/25598400" TargetMode="External"/><Relationship Id="rId5" Type="http://schemas.openxmlformats.org/officeDocument/2006/relationships/footnotes" Target="footnotes.xml"/><Relationship Id="rId10" Type="http://schemas.openxmlformats.org/officeDocument/2006/relationships/hyperlink" Target="https://www.metmuseum.org/toah/hd/banq/hd_banq.htm" TargetMode="External"/><Relationship Id="rId4" Type="http://schemas.openxmlformats.org/officeDocument/2006/relationships/webSettings" Target="webSettings.xml"/><Relationship Id="rId9" Type="http://schemas.openxmlformats.org/officeDocument/2006/relationships/hyperlink" Target="http://www.jstor.org/stable/25763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DAFB3-6081-394A-9935-625C4A4A0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6</Pages>
  <Words>1643</Words>
  <Characters>9366</Characters>
  <Application>Microsoft Office Word</Application>
  <DocSecurity>0</DocSecurity>
  <Lines>78</Lines>
  <Paragraphs>21</Paragraphs>
  <ScaleCrop>false</ScaleCrop>
  <Company/>
  <LinksUpToDate>false</LinksUpToDate>
  <CharactersWithSpaces>10988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Calder (1600668)</dc:creator>
  <cp:keywords/>
  <dc:description/>
  <cp:lastModifiedBy>Rebecca Calder (1600668)</cp:lastModifiedBy>
  <cp:revision>22</cp:revision>
  <dcterms:created xsi:type="dcterms:W3CDTF">2018-04-30T12:14:00Z</dcterms:created>
  <dcterms:modified xsi:type="dcterms:W3CDTF">2018-05-01T18:05:00Z</dcterms:modified>
</cp:coreProperties>
</file>