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54A009"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This essay aims to explore the concept of advocacy and how it relates to power, oppression and agency. For the purpose of this essay </w:t>
      </w:r>
      <w:r>
        <w:rPr>
          <w:rFonts w:ascii="Arial" w:hAnsi="Arial" w:cs="Arial"/>
          <w:sz w:val="24"/>
          <w:szCs w:val="24"/>
        </w:rPr>
        <w:t>the focus will be on individuals</w:t>
      </w:r>
      <w:r w:rsidRPr="0043329E">
        <w:rPr>
          <w:rFonts w:ascii="Arial" w:hAnsi="Arial" w:cs="Arial"/>
          <w:sz w:val="24"/>
          <w:szCs w:val="24"/>
        </w:rPr>
        <w:t xml:space="preserve"> with alcohol </w:t>
      </w:r>
      <w:r>
        <w:rPr>
          <w:rFonts w:ascii="Arial" w:hAnsi="Arial" w:cs="Arial"/>
          <w:sz w:val="24"/>
          <w:szCs w:val="24"/>
        </w:rPr>
        <w:t xml:space="preserve">dependency. Several </w:t>
      </w:r>
      <w:r w:rsidRPr="0043329E">
        <w:rPr>
          <w:rFonts w:ascii="Arial" w:hAnsi="Arial" w:cs="Arial"/>
          <w:sz w:val="24"/>
          <w:szCs w:val="24"/>
        </w:rPr>
        <w:t xml:space="preserve">strategies </w:t>
      </w:r>
      <w:r>
        <w:rPr>
          <w:rFonts w:ascii="Arial" w:hAnsi="Arial" w:cs="Arial"/>
          <w:sz w:val="24"/>
          <w:szCs w:val="24"/>
        </w:rPr>
        <w:t>will be explored in relation</w:t>
      </w:r>
      <w:r w:rsidRPr="0043329E">
        <w:rPr>
          <w:rFonts w:ascii="Arial" w:hAnsi="Arial" w:cs="Arial"/>
          <w:sz w:val="24"/>
          <w:szCs w:val="24"/>
        </w:rPr>
        <w:t xml:space="preserve"> </w:t>
      </w:r>
      <w:r>
        <w:rPr>
          <w:rFonts w:ascii="Arial" w:hAnsi="Arial" w:cs="Arial"/>
          <w:sz w:val="24"/>
          <w:szCs w:val="24"/>
        </w:rPr>
        <w:t>to helping and supporting</w:t>
      </w:r>
      <w:r w:rsidRPr="0043329E">
        <w:rPr>
          <w:rFonts w:ascii="Arial" w:hAnsi="Arial" w:cs="Arial"/>
          <w:sz w:val="24"/>
          <w:szCs w:val="24"/>
        </w:rPr>
        <w:t xml:space="preserve"> </w:t>
      </w:r>
      <w:r>
        <w:rPr>
          <w:rFonts w:ascii="Arial" w:hAnsi="Arial" w:cs="Arial"/>
          <w:sz w:val="24"/>
          <w:szCs w:val="24"/>
        </w:rPr>
        <w:t xml:space="preserve">of </w:t>
      </w:r>
      <w:r w:rsidRPr="0043329E">
        <w:rPr>
          <w:rFonts w:ascii="Arial" w:hAnsi="Arial" w:cs="Arial"/>
          <w:sz w:val="24"/>
          <w:szCs w:val="24"/>
        </w:rPr>
        <w:t xml:space="preserve">these individuals to be able to empower themselves. A case study will be used in order to demonstrate </w:t>
      </w:r>
      <w:r>
        <w:rPr>
          <w:rFonts w:ascii="Arial" w:hAnsi="Arial" w:cs="Arial"/>
          <w:sz w:val="24"/>
          <w:szCs w:val="24"/>
        </w:rPr>
        <w:t xml:space="preserve">how </w:t>
      </w:r>
      <w:r w:rsidRPr="0043329E">
        <w:rPr>
          <w:rFonts w:ascii="Arial" w:hAnsi="Arial" w:cs="Arial"/>
          <w:sz w:val="24"/>
          <w:szCs w:val="24"/>
        </w:rPr>
        <w:t xml:space="preserve">positive outcomes </w:t>
      </w:r>
      <w:r>
        <w:rPr>
          <w:rFonts w:ascii="Arial" w:hAnsi="Arial" w:cs="Arial"/>
          <w:sz w:val="24"/>
          <w:szCs w:val="24"/>
        </w:rPr>
        <w:t>can be achieved through</w:t>
      </w:r>
      <w:r w:rsidRPr="0043329E">
        <w:rPr>
          <w:rFonts w:ascii="Arial" w:hAnsi="Arial" w:cs="Arial"/>
          <w:sz w:val="24"/>
          <w:szCs w:val="24"/>
        </w:rPr>
        <w:t xml:space="preserve"> advocacy practice. </w:t>
      </w:r>
    </w:p>
    <w:p w14:paraId="688C52CF"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The Welsh Government has published a statutory framework to guide and support </w:t>
      </w:r>
      <w:r>
        <w:rPr>
          <w:rFonts w:ascii="Arial" w:hAnsi="Arial" w:cs="Arial"/>
          <w:sz w:val="24"/>
          <w:szCs w:val="24"/>
        </w:rPr>
        <w:t>the</w:t>
      </w:r>
      <w:r w:rsidRPr="0043329E">
        <w:rPr>
          <w:rFonts w:ascii="Arial" w:hAnsi="Arial" w:cs="Arial"/>
          <w:sz w:val="24"/>
          <w:szCs w:val="24"/>
        </w:rPr>
        <w:t xml:space="preserve"> relevant organisations, charities and individuals who may need to access advocacy services and information; the Code of Practice on Advocacy can be found under section 145 of the Social Services and Well-being (Wales) Act 2014 – Part 10 Code of Practice (Advocacy). This information can be found on the UK Government website. Local authorities in Wales must adhere to these guidelines when supporting people of all ages. The Act helps to promote equality within the country alongside an improved standard of service (Gov, 2019).</w:t>
      </w:r>
    </w:p>
    <w:p w14:paraId="6A51AB5C"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When defining advocacy based on its purpose within working practice, Kirst-Ashman and Hull (2002) state that advocacy shares some common ideas; these ideas relate to how professionals in the social justice department campaign to uphold the rights of </w:t>
      </w:r>
      <w:r>
        <w:rPr>
          <w:rFonts w:ascii="Arial" w:hAnsi="Arial" w:cs="Arial"/>
          <w:sz w:val="24"/>
          <w:szCs w:val="24"/>
        </w:rPr>
        <w:t>vulnerable individuals</w:t>
      </w:r>
      <w:r w:rsidRPr="0043329E">
        <w:rPr>
          <w:rFonts w:ascii="Arial" w:hAnsi="Arial" w:cs="Arial"/>
          <w:sz w:val="24"/>
          <w:szCs w:val="24"/>
        </w:rPr>
        <w:t xml:space="preserve">, protect </w:t>
      </w:r>
      <w:r>
        <w:rPr>
          <w:rFonts w:ascii="Arial" w:hAnsi="Arial" w:cs="Arial"/>
          <w:sz w:val="24"/>
          <w:szCs w:val="24"/>
        </w:rPr>
        <w:t>these individuals</w:t>
      </w:r>
      <w:r w:rsidRPr="0043329E">
        <w:rPr>
          <w:rFonts w:ascii="Arial" w:hAnsi="Arial" w:cs="Arial"/>
          <w:sz w:val="24"/>
          <w:szCs w:val="24"/>
        </w:rPr>
        <w:t xml:space="preserve"> from abuse or harmful situations</w:t>
      </w:r>
      <w:r>
        <w:rPr>
          <w:rFonts w:ascii="Arial" w:hAnsi="Arial" w:cs="Arial"/>
          <w:sz w:val="24"/>
          <w:szCs w:val="24"/>
        </w:rPr>
        <w:t xml:space="preserve"> </w:t>
      </w:r>
      <w:r w:rsidRPr="0043329E">
        <w:rPr>
          <w:rFonts w:ascii="Arial" w:hAnsi="Arial" w:cs="Arial"/>
          <w:sz w:val="24"/>
          <w:szCs w:val="24"/>
        </w:rPr>
        <w:t xml:space="preserve">and </w:t>
      </w:r>
      <w:r>
        <w:rPr>
          <w:rFonts w:ascii="Arial" w:hAnsi="Arial" w:cs="Arial"/>
          <w:sz w:val="24"/>
          <w:szCs w:val="24"/>
        </w:rPr>
        <w:t xml:space="preserve"> </w:t>
      </w:r>
      <w:r w:rsidRPr="0043329E">
        <w:rPr>
          <w:rFonts w:ascii="Arial" w:hAnsi="Arial" w:cs="Arial"/>
          <w:sz w:val="24"/>
          <w:szCs w:val="24"/>
        </w:rPr>
        <w:t xml:space="preserve">challenge </w:t>
      </w:r>
      <w:r>
        <w:rPr>
          <w:rFonts w:ascii="Arial" w:hAnsi="Arial" w:cs="Arial"/>
          <w:sz w:val="24"/>
          <w:szCs w:val="24"/>
        </w:rPr>
        <w:t>existing</w:t>
      </w:r>
      <w:r w:rsidRPr="0043329E">
        <w:rPr>
          <w:rFonts w:ascii="Arial" w:hAnsi="Arial" w:cs="Arial"/>
          <w:sz w:val="24"/>
          <w:szCs w:val="24"/>
        </w:rPr>
        <w:t xml:space="preserve"> barriers to service provision</w:t>
      </w:r>
      <w:r>
        <w:rPr>
          <w:rFonts w:ascii="Arial" w:hAnsi="Arial" w:cs="Arial"/>
          <w:sz w:val="24"/>
          <w:szCs w:val="24"/>
        </w:rPr>
        <w:t xml:space="preserve"> and</w:t>
      </w:r>
      <w:r w:rsidRPr="0043329E">
        <w:rPr>
          <w:rFonts w:ascii="Arial" w:hAnsi="Arial" w:cs="Arial"/>
          <w:sz w:val="24"/>
          <w:szCs w:val="24"/>
        </w:rPr>
        <w:t xml:space="preserve"> entitlements that may be provided by the government (Kirst-Ashman and Hull, 2002). In </w:t>
      </w:r>
      <w:r>
        <w:rPr>
          <w:rFonts w:ascii="Arial" w:hAnsi="Arial" w:cs="Arial"/>
          <w:sz w:val="24"/>
          <w:szCs w:val="24"/>
        </w:rPr>
        <w:t>other words</w:t>
      </w:r>
      <w:r w:rsidRPr="0043329E">
        <w:rPr>
          <w:rFonts w:ascii="Arial" w:hAnsi="Arial" w:cs="Arial"/>
          <w:sz w:val="24"/>
          <w:szCs w:val="24"/>
        </w:rPr>
        <w:t xml:space="preserve">, advocates help people to gain access to relevant information and sources which may afford them better life opportunities </w:t>
      </w:r>
      <w:r w:rsidRPr="0043329E">
        <w:rPr>
          <w:rFonts w:ascii="Arial" w:hAnsi="Arial" w:cs="Arial"/>
          <w:color w:val="000000"/>
          <w:sz w:val="24"/>
          <w:szCs w:val="24"/>
          <w:shd w:val="clear" w:color="auto" w:fill="FFFFFF"/>
        </w:rPr>
        <w:t>(</w:t>
      </w:r>
      <w:proofErr w:type="spellStart"/>
      <w:r w:rsidRPr="0043329E">
        <w:rPr>
          <w:rFonts w:ascii="Arial" w:hAnsi="Arial" w:cs="Arial"/>
          <w:color w:val="000000"/>
          <w:sz w:val="24"/>
          <w:szCs w:val="24"/>
          <w:shd w:val="clear" w:color="auto" w:fill="FFFFFF"/>
        </w:rPr>
        <w:t>Freddolino</w:t>
      </w:r>
      <w:proofErr w:type="spellEnd"/>
      <w:r w:rsidRPr="0043329E">
        <w:rPr>
          <w:rFonts w:ascii="Arial" w:hAnsi="Arial" w:cs="Arial"/>
          <w:color w:val="000000"/>
          <w:sz w:val="24"/>
          <w:szCs w:val="24"/>
          <w:shd w:val="clear" w:color="auto" w:fill="FFFFFF"/>
        </w:rPr>
        <w:t xml:space="preserve">, Moxley and </w:t>
      </w:r>
      <w:proofErr w:type="spellStart"/>
      <w:r w:rsidRPr="0043329E">
        <w:rPr>
          <w:rFonts w:ascii="Arial" w:hAnsi="Arial" w:cs="Arial"/>
          <w:color w:val="000000"/>
          <w:sz w:val="24"/>
          <w:szCs w:val="24"/>
          <w:shd w:val="clear" w:color="auto" w:fill="FFFFFF"/>
        </w:rPr>
        <w:t>Hyduk</w:t>
      </w:r>
      <w:proofErr w:type="spellEnd"/>
      <w:r w:rsidRPr="0043329E">
        <w:rPr>
          <w:rFonts w:ascii="Arial" w:hAnsi="Arial" w:cs="Arial"/>
          <w:color w:val="000000"/>
          <w:sz w:val="24"/>
          <w:szCs w:val="24"/>
          <w:shd w:val="clear" w:color="auto" w:fill="FFFFFF"/>
        </w:rPr>
        <w:t>, 2004</w:t>
      </w:r>
      <w:r w:rsidRPr="0043329E">
        <w:rPr>
          <w:rFonts w:ascii="Arial" w:hAnsi="Arial" w:cs="Arial"/>
          <w:sz w:val="24"/>
          <w:szCs w:val="24"/>
        </w:rPr>
        <w:t>). To illustrate this point, Bateman (2000) highlights</w:t>
      </w:r>
      <w:r>
        <w:rPr>
          <w:rFonts w:ascii="Arial" w:hAnsi="Arial" w:cs="Arial"/>
          <w:sz w:val="24"/>
          <w:szCs w:val="24"/>
        </w:rPr>
        <w:t xml:space="preserve"> </w:t>
      </w:r>
      <w:r w:rsidRPr="0043329E">
        <w:rPr>
          <w:rFonts w:ascii="Arial" w:hAnsi="Arial" w:cs="Arial"/>
          <w:sz w:val="24"/>
          <w:szCs w:val="24"/>
        </w:rPr>
        <w:t xml:space="preserve">how a medical professional such as a doctor may advocate to further support their patient.  This may involve a doctor writing a letter to a landlord on behalf of a patient to raise concerns regarding unsuitable housing conditions and how this may exasperate a patient’s mental health condition (Bateman, 2000). For instance, individuals experiencing alcoholism may need to be housed in an alcohol-free environment to support and maintain recovery (McCarty </w:t>
      </w:r>
      <w:r w:rsidRPr="0043329E">
        <w:rPr>
          <w:rFonts w:ascii="Arial" w:hAnsi="Arial" w:cs="Arial"/>
          <w:i/>
          <w:iCs/>
          <w:sz w:val="24"/>
          <w:szCs w:val="24"/>
        </w:rPr>
        <w:t>et al</w:t>
      </w:r>
      <w:r w:rsidRPr="0043329E">
        <w:rPr>
          <w:rFonts w:ascii="Arial" w:hAnsi="Arial" w:cs="Arial"/>
          <w:sz w:val="24"/>
          <w:szCs w:val="24"/>
        </w:rPr>
        <w:t>, 1991).</w:t>
      </w:r>
    </w:p>
    <w:p w14:paraId="5A27D24B"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An advocate is a person who supports individuals to express their personal views and wishes when they do not have the means to do so on their own; support could include discussing relevant legislation which may help a client to understand their rights (</w:t>
      </w:r>
      <w:proofErr w:type="spellStart"/>
      <w:r w:rsidRPr="0043329E">
        <w:rPr>
          <w:rFonts w:ascii="Arial" w:hAnsi="Arial" w:cs="Arial"/>
          <w:sz w:val="24"/>
          <w:szCs w:val="24"/>
        </w:rPr>
        <w:t>Hoeffer</w:t>
      </w:r>
      <w:proofErr w:type="spellEnd"/>
      <w:r w:rsidRPr="0043329E">
        <w:rPr>
          <w:rFonts w:ascii="Arial" w:hAnsi="Arial" w:cs="Arial"/>
          <w:sz w:val="24"/>
          <w:szCs w:val="24"/>
        </w:rPr>
        <w:t xml:space="preserve">, 2019). Furthermore, Mind (2019) explain that an advocate </w:t>
      </w:r>
      <w:r>
        <w:rPr>
          <w:rFonts w:ascii="Arial" w:hAnsi="Arial" w:cs="Arial"/>
          <w:sz w:val="24"/>
          <w:szCs w:val="24"/>
        </w:rPr>
        <w:t xml:space="preserve">may </w:t>
      </w:r>
      <w:r w:rsidRPr="0043329E">
        <w:rPr>
          <w:rFonts w:ascii="Arial" w:hAnsi="Arial" w:cs="Arial"/>
          <w:sz w:val="24"/>
          <w:szCs w:val="24"/>
        </w:rPr>
        <w:t xml:space="preserve">listen to an </w:t>
      </w:r>
      <w:r w:rsidRPr="0043329E">
        <w:rPr>
          <w:rFonts w:ascii="Arial" w:hAnsi="Arial" w:cs="Arial"/>
          <w:sz w:val="24"/>
          <w:szCs w:val="24"/>
        </w:rPr>
        <w:lastRenderedPageBreak/>
        <w:t>individual’s views and concerns</w:t>
      </w:r>
      <w:r>
        <w:rPr>
          <w:rFonts w:ascii="Arial" w:hAnsi="Arial" w:cs="Arial"/>
          <w:sz w:val="24"/>
          <w:szCs w:val="24"/>
        </w:rPr>
        <w:t xml:space="preserve"> and </w:t>
      </w:r>
      <w:r w:rsidRPr="0043329E">
        <w:rPr>
          <w:rFonts w:ascii="Arial" w:hAnsi="Arial" w:cs="Arial"/>
          <w:sz w:val="24"/>
          <w:szCs w:val="24"/>
        </w:rPr>
        <w:t>hel</w:t>
      </w:r>
      <w:r>
        <w:rPr>
          <w:rFonts w:ascii="Arial" w:hAnsi="Arial" w:cs="Arial"/>
          <w:sz w:val="24"/>
          <w:szCs w:val="24"/>
        </w:rPr>
        <w:t>p</w:t>
      </w:r>
      <w:r w:rsidRPr="0043329E">
        <w:rPr>
          <w:rFonts w:ascii="Arial" w:hAnsi="Arial" w:cs="Arial"/>
          <w:sz w:val="24"/>
          <w:szCs w:val="24"/>
        </w:rPr>
        <w:t xml:space="preserve"> them to </w:t>
      </w:r>
      <w:r>
        <w:rPr>
          <w:rFonts w:ascii="Arial" w:hAnsi="Arial" w:cs="Arial"/>
          <w:sz w:val="24"/>
          <w:szCs w:val="24"/>
        </w:rPr>
        <w:t xml:space="preserve">understand civil rights and what </w:t>
      </w:r>
      <w:r w:rsidRPr="0043329E">
        <w:rPr>
          <w:rFonts w:ascii="Arial" w:hAnsi="Arial" w:cs="Arial"/>
          <w:sz w:val="24"/>
          <w:szCs w:val="24"/>
        </w:rPr>
        <w:t xml:space="preserve">options </w:t>
      </w:r>
      <w:r>
        <w:rPr>
          <w:rFonts w:ascii="Arial" w:hAnsi="Arial" w:cs="Arial"/>
          <w:sz w:val="24"/>
          <w:szCs w:val="24"/>
        </w:rPr>
        <w:t>are available to them.</w:t>
      </w:r>
      <w:r w:rsidRPr="0043329E">
        <w:rPr>
          <w:rFonts w:ascii="Arial" w:hAnsi="Arial" w:cs="Arial"/>
          <w:sz w:val="24"/>
          <w:szCs w:val="24"/>
        </w:rPr>
        <w:t xml:space="preserve"> </w:t>
      </w:r>
      <w:r>
        <w:rPr>
          <w:rFonts w:ascii="Arial" w:hAnsi="Arial" w:cs="Arial"/>
          <w:sz w:val="24"/>
          <w:szCs w:val="24"/>
        </w:rPr>
        <w:t xml:space="preserve">In addition, an advocate may </w:t>
      </w:r>
      <w:r w:rsidRPr="0043329E">
        <w:rPr>
          <w:rFonts w:ascii="Arial" w:hAnsi="Arial" w:cs="Arial"/>
          <w:sz w:val="24"/>
          <w:szCs w:val="24"/>
        </w:rPr>
        <w:t>provide information to the client helping them to make well versed decisions and assist th</w:t>
      </w:r>
      <w:r>
        <w:rPr>
          <w:rFonts w:ascii="Arial" w:hAnsi="Arial" w:cs="Arial"/>
          <w:sz w:val="24"/>
          <w:szCs w:val="24"/>
        </w:rPr>
        <w:t>ese individuals</w:t>
      </w:r>
      <w:r w:rsidRPr="0043329E">
        <w:rPr>
          <w:rFonts w:ascii="Arial" w:hAnsi="Arial" w:cs="Arial"/>
          <w:sz w:val="24"/>
          <w:szCs w:val="24"/>
        </w:rPr>
        <w:t xml:space="preserve"> </w:t>
      </w:r>
      <w:r>
        <w:rPr>
          <w:rFonts w:ascii="Arial" w:hAnsi="Arial" w:cs="Arial"/>
          <w:sz w:val="24"/>
          <w:szCs w:val="24"/>
        </w:rPr>
        <w:t xml:space="preserve">to </w:t>
      </w:r>
      <w:r w:rsidRPr="0043329E">
        <w:rPr>
          <w:rFonts w:ascii="Arial" w:hAnsi="Arial" w:cs="Arial"/>
          <w:sz w:val="24"/>
          <w:szCs w:val="24"/>
        </w:rPr>
        <w:t>acces</w:t>
      </w:r>
      <w:r>
        <w:rPr>
          <w:rFonts w:ascii="Arial" w:hAnsi="Arial" w:cs="Arial"/>
          <w:sz w:val="24"/>
          <w:szCs w:val="24"/>
        </w:rPr>
        <w:t>s</w:t>
      </w:r>
      <w:r w:rsidRPr="0043329E">
        <w:rPr>
          <w:rFonts w:ascii="Arial" w:hAnsi="Arial" w:cs="Arial"/>
          <w:sz w:val="24"/>
          <w:szCs w:val="24"/>
        </w:rPr>
        <w:t xml:space="preserve"> relevant sources </w:t>
      </w:r>
      <w:r>
        <w:rPr>
          <w:rFonts w:ascii="Arial" w:hAnsi="Arial" w:cs="Arial"/>
          <w:sz w:val="24"/>
          <w:szCs w:val="24"/>
        </w:rPr>
        <w:t>and if required,</w:t>
      </w:r>
      <w:r w:rsidRPr="0043329E">
        <w:rPr>
          <w:rFonts w:ascii="Arial" w:hAnsi="Arial" w:cs="Arial"/>
          <w:sz w:val="24"/>
          <w:szCs w:val="24"/>
        </w:rPr>
        <w:t xml:space="preserve"> communicate on </w:t>
      </w:r>
      <w:r>
        <w:rPr>
          <w:rFonts w:ascii="Arial" w:hAnsi="Arial" w:cs="Arial"/>
          <w:sz w:val="24"/>
          <w:szCs w:val="24"/>
        </w:rPr>
        <w:t>the</w:t>
      </w:r>
      <w:r w:rsidRPr="0043329E">
        <w:rPr>
          <w:rFonts w:ascii="Arial" w:hAnsi="Arial" w:cs="Arial"/>
          <w:sz w:val="24"/>
          <w:szCs w:val="24"/>
        </w:rPr>
        <w:t xml:space="preserve"> individual’s behalf. Advocates, however, do not give personal opinions, make judgements or aim to resolve problems for their clients (MIND, 2019) and they may work independently or for organisations such as social services and the NHS. Unlike independent advocates who have much more flexibility, those who work for organisations such as the NHS tend to be restricted in their working practice by adhering to specific guidelines (NHS, 2019).</w:t>
      </w:r>
    </w:p>
    <w:p w14:paraId="44BB7A56"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As explained by </w:t>
      </w:r>
      <w:proofErr w:type="spellStart"/>
      <w:r w:rsidRPr="0043329E">
        <w:rPr>
          <w:rFonts w:ascii="Arial" w:hAnsi="Arial" w:cs="Arial"/>
          <w:sz w:val="24"/>
          <w:szCs w:val="24"/>
        </w:rPr>
        <w:t>Royea</w:t>
      </w:r>
      <w:proofErr w:type="spellEnd"/>
      <w:r w:rsidRPr="0043329E">
        <w:rPr>
          <w:rFonts w:ascii="Arial" w:hAnsi="Arial" w:cs="Arial"/>
          <w:sz w:val="24"/>
          <w:szCs w:val="24"/>
        </w:rPr>
        <w:t xml:space="preserve"> and </w:t>
      </w:r>
      <w:proofErr w:type="spellStart"/>
      <w:r w:rsidRPr="0043329E">
        <w:rPr>
          <w:rFonts w:ascii="Arial" w:hAnsi="Arial" w:cs="Arial"/>
          <w:sz w:val="24"/>
          <w:szCs w:val="24"/>
        </w:rPr>
        <w:t>Appl</w:t>
      </w:r>
      <w:proofErr w:type="spellEnd"/>
      <w:r w:rsidRPr="0043329E">
        <w:rPr>
          <w:rFonts w:ascii="Arial" w:hAnsi="Arial" w:cs="Arial"/>
          <w:sz w:val="24"/>
          <w:szCs w:val="24"/>
        </w:rPr>
        <w:t xml:space="preserve"> (2009) advocacy is about sharing helpful information with a client who needs guidance to help improve their quality of life. Anyone can take part in advocacy whether it be private, public or on a personal level, however this comes with responsibilities, boundaries, and would need to take into consideration safeguarding issues (National Occupational Standards, 2019). As an example, a parent may advocate for an adolescent who may be experiencing alcoholism</w:t>
      </w:r>
      <w:r>
        <w:rPr>
          <w:rFonts w:ascii="Arial" w:hAnsi="Arial" w:cs="Arial"/>
          <w:sz w:val="24"/>
          <w:szCs w:val="24"/>
        </w:rPr>
        <w:t xml:space="preserve"> which</w:t>
      </w:r>
      <w:r w:rsidRPr="0043329E">
        <w:rPr>
          <w:rFonts w:ascii="Arial" w:hAnsi="Arial" w:cs="Arial"/>
          <w:sz w:val="24"/>
          <w:szCs w:val="24"/>
        </w:rPr>
        <w:t xml:space="preserve"> is having a negative impact on their life. A parent may seek further support from charities who may adopt strategies to help empower their child to gain agency and recovery (NHS, 2019; Mind, 2019; Drinkaware, 2019). There are numerous options for individuals who want to become and advocate and take part in training. City and Guilds provide a range of various courses in independent advocacy that can be delivered through distance learning or in the classroom (Advocacy Training, 2017). As an advocate it is important to </w:t>
      </w:r>
      <w:r>
        <w:rPr>
          <w:rFonts w:ascii="Arial" w:hAnsi="Arial" w:cs="Arial"/>
          <w:sz w:val="24"/>
          <w:szCs w:val="24"/>
        </w:rPr>
        <w:t xml:space="preserve">have a sound </w:t>
      </w:r>
      <w:r w:rsidRPr="0043329E">
        <w:rPr>
          <w:rFonts w:ascii="Arial" w:hAnsi="Arial" w:cs="Arial"/>
          <w:sz w:val="24"/>
          <w:szCs w:val="24"/>
        </w:rPr>
        <w:t>understan</w:t>
      </w:r>
      <w:r>
        <w:rPr>
          <w:rFonts w:ascii="Arial" w:hAnsi="Arial" w:cs="Arial"/>
          <w:sz w:val="24"/>
          <w:szCs w:val="24"/>
        </w:rPr>
        <w:t xml:space="preserve">ding of current </w:t>
      </w:r>
      <w:r w:rsidRPr="0043329E">
        <w:rPr>
          <w:rFonts w:ascii="Arial" w:hAnsi="Arial" w:cs="Arial"/>
          <w:sz w:val="24"/>
          <w:szCs w:val="24"/>
        </w:rPr>
        <w:t>policies and welfare issues in order to be able to share information w</w:t>
      </w:r>
      <w:r>
        <w:rPr>
          <w:rFonts w:ascii="Arial" w:hAnsi="Arial" w:cs="Arial"/>
          <w:sz w:val="24"/>
          <w:szCs w:val="24"/>
        </w:rPr>
        <w:t>ith relevant organisations</w:t>
      </w:r>
      <w:r w:rsidRPr="0043329E">
        <w:rPr>
          <w:rFonts w:ascii="Arial" w:hAnsi="Arial" w:cs="Arial"/>
          <w:sz w:val="24"/>
          <w:szCs w:val="24"/>
        </w:rPr>
        <w:t xml:space="preserve">. When information is effectively conveyed by an advocate, other individuals such as volunteers are more likely to take interest and want to participate in a case </w:t>
      </w:r>
      <w:r w:rsidRPr="0043329E">
        <w:rPr>
          <w:rFonts w:ascii="Arial" w:hAnsi="Arial" w:cs="Arial"/>
          <w:color w:val="000000"/>
          <w:sz w:val="24"/>
          <w:szCs w:val="24"/>
          <w:shd w:val="clear" w:color="auto" w:fill="FFFFFF"/>
        </w:rPr>
        <w:t>(</w:t>
      </w:r>
      <w:proofErr w:type="spellStart"/>
      <w:r w:rsidRPr="0043329E">
        <w:rPr>
          <w:rFonts w:ascii="Arial" w:hAnsi="Arial" w:cs="Arial"/>
          <w:color w:val="000000"/>
          <w:sz w:val="24"/>
          <w:szCs w:val="24"/>
          <w:shd w:val="clear" w:color="auto" w:fill="FFFFFF"/>
        </w:rPr>
        <w:t>Royea</w:t>
      </w:r>
      <w:proofErr w:type="spellEnd"/>
      <w:r w:rsidRPr="0043329E">
        <w:rPr>
          <w:rFonts w:ascii="Arial" w:hAnsi="Arial" w:cs="Arial"/>
          <w:color w:val="000000"/>
          <w:sz w:val="24"/>
          <w:szCs w:val="24"/>
          <w:shd w:val="clear" w:color="auto" w:fill="FFFFFF"/>
        </w:rPr>
        <w:t xml:space="preserve"> and </w:t>
      </w:r>
      <w:proofErr w:type="spellStart"/>
      <w:r w:rsidRPr="0043329E">
        <w:rPr>
          <w:rFonts w:ascii="Arial" w:hAnsi="Arial" w:cs="Arial"/>
          <w:color w:val="000000"/>
          <w:sz w:val="24"/>
          <w:szCs w:val="24"/>
          <w:shd w:val="clear" w:color="auto" w:fill="FFFFFF"/>
        </w:rPr>
        <w:t>Appl</w:t>
      </w:r>
      <w:proofErr w:type="spellEnd"/>
      <w:r w:rsidRPr="0043329E">
        <w:rPr>
          <w:rFonts w:ascii="Arial" w:hAnsi="Arial" w:cs="Arial"/>
          <w:color w:val="000000"/>
          <w:sz w:val="24"/>
          <w:szCs w:val="24"/>
          <w:shd w:val="clear" w:color="auto" w:fill="FFFFFF"/>
        </w:rPr>
        <w:t>, 2009)</w:t>
      </w:r>
      <w:r w:rsidRPr="0043329E">
        <w:rPr>
          <w:rFonts w:ascii="Arial" w:hAnsi="Arial" w:cs="Arial"/>
          <w:sz w:val="24"/>
          <w:szCs w:val="24"/>
        </w:rPr>
        <w:t>.</w:t>
      </w:r>
    </w:p>
    <w:p w14:paraId="67510F14"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Support, Empower, Advocate, Promote, (SEAP, 2019) is an independent charity that dedicates itself to empowering people </w:t>
      </w:r>
      <w:r>
        <w:rPr>
          <w:rFonts w:ascii="Arial" w:hAnsi="Arial" w:cs="Arial"/>
          <w:sz w:val="24"/>
          <w:szCs w:val="24"/>
        </w:rPr>
        <w:t>and</w:t>
      </w:r>
      <w:r w:rsidRPr="0043329E">
        <w:rPr>
          <w:rFonts w:ascii="Arial" w:hAnsi="Arial" w:cs="Arial"/>
          <w:sz w:val="24"/>
          <w:szCs w:val="24"/>
        </w:rPr>
        <w:t xml:space="preserve"> gain autonomy over their lives. A case study from SEAP demonstrates how an individual may be supported by advocacy services to address personal issues and crisis. For instance, a client shares her story of the poor treatment she received whilst undergoing a rehabilitation support plan for alcoholism. Along with her own poor treatment she witnessed unpleasant behaviour </w:t>
      </w:r>
      <w:r w:rsidRPr="0043329E">
        <w:rPr>
          <w:rFonts w:ascii="Arial" w:hAnsi="Arial" w:cs="Arial"/>
          <w:sz w:val="24"/>
          <w:szCs w:val="24"/>
        </w:rPr>
        <w:lastRenderedPageBreak/>
        <w:t>towards other patients and expressed how the facilities of the clinic where not up to standard. Originally the client had used internal services to voice her concerns, however, was left disappointed by how the matter was investigated. Furthermore, the client had felt that the staff had acted inappropriately towards service users and patient care had been neglected. Due to the distress the client endured, and trust issues broken, SEAP explored a range of other options to re-engage the client to play an active role</w:t>
      </w:r>
      <w:r>
        <w:rPr>
          <w:rFonts w:ascii="Arial" w:hAnsi="Arial" w:cs="Arial"/>
          <w:sz w:val="24"/>
          <w:szCs w:val="24"/>
        </w:rPr>
        <w:t xml:space="preserve"> in addressing these issues</w:t>
      </w:r>
      <w:r w:rsidRPr="0043329E">
        <w:rPr>
          <w:rFonts w:ascii="Arial" w:hAnsi="Arial" w:cs="Arial"/>
          <w:sz w:val="24"/>
          <w:szCs w:val="24"/>
        </w:rPr>
        <w:t xml:space="preserve">.  This </w:t>
      </w:r>
      <w:r>
        <w:rPr>
          <w:rFonts w:ascii="Arial" w:hAnsi="Arial" w:cs="Arial"/>
          <w:sz w:val="24"/>
          <w:szCs w:val="24"/>
        </w:rPr>
        <w:t>led to</w:t>
      </w:r>
      <w:r w:rsidRPr="0043329E">
        <w:rPr>
          <w:rFonts w:ascii="Arial" w:hAnsi="Arial" w:cs="Arial"/>
          <w:sz w:val="24"/>
          <w:szCs w:val="24"/>
        </w:rPr>
        <w:t xml:space="preserve"> a positive outcome for the client who commended the trust for facilitating her needs and cooperated accordingly throughout the process.</w:t>
      </w:r>
    </w:p>
    <w:p w14:paraId="2BBC6A4D"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In view of the above case study, Mancini (2008) argues that a critical component of recovery and well-being is motivated from a feeling of autonomy and that people with mental illness may be particularly vulnerable to express their preferences and needs which may need to be considered in recovery treatments. A theoretical framework which may support an individual to challenge oppressive structures for example, could be self-determination theory. This involves various human needs e.g., autonomy, co</w:t>
      </w:r>
      <w:r>
        <w:rPr>
          <w:rFonts w:ascii="Arial" w:hAnsi="Arial" w:cs="Arial"/>
          <w:sz w:val="24"/>
          <w:szCs w:val="24"/>
        </w:rPr>
        <w:t>nfidence</w:t>
      </w:r>
      <w:r w:rsidRPr="0043329E">
        <w:rPr>
          <w:rFonts w:ascii="Arial" w:hAnsi="Arial" w:cs="Arial"/>
          <w:sz w:val="24"/>
          <w:szCs w:val="24"/>
        </w:rPr>
        <w:t xml:space="preserve"> and belonging (Ryan &amp; Deci, 2000). In this instance the clinic’s internal support services failed the client in not only providing many aspects of relevant care, </w:t>
      </w:r>
      <w:r>
        <w:rPr>
          <w:rFonts w:ascii="Arial" w:hAnsi="Arial" w:cs="Arial"/>
          <w:sz w:val="24"/>
          <w:szCs w:val="24"/>
        </w:rPr>
        <w:t xml:space="preserve">and </w:t>
      </w:r>
      <w:r w:rsidRPr="0043329E">
        <w:rPr>
          <w:rFonts w:ascii="Arial" w:hAnsi="Arial" w:cs="Arial"/>
          <w:sz w:val="24"/>
          <w:szCs w:val="24"/>
        </w:rPr>
        <w:t>trust</w:t>
      </w:r>
      <w:r>
        <w:rPr>
          <w:rFonts w:ascii="Arial" w:hAnsi="Arial" w:cs="Arial"/>
          <w:sz w:val="24"/>
          <w:szCs w:val="24"/>
        </w:rPr>
        <w:t xml:space="preserve"> but also</w:t>
      </w:r>
      <w:r w:rsidRPr="0043329E">
        <w:rPr>
          <w:rFonts w:ascii="Arial" w:hAnsi="Arial" w:cs="Arial"/>
          <w:sz w:val="24"/>
          <w:szCs w:val="24"/>
        </w:rPr>
        <w:t xml:space="preserve"> in the way in which they addressed her complaint</w:t>
      </w:r>
      <w:r>
        <w:rPr>
          <w:rFonts w:ascii="Arial" w:hAnsi="Arial" w:cs="Arial"/>
          <w:sz w:val="24"/>
          <w:szCs w:val="24"/>
        </w:rPr>
        <w:t xml:space="preserve"> which was</w:t>
      </w:r>
      <w:r w:rsidRPr="0043329E">
        <w:rPr>
          <w:rFonts w:ascii="Arial" w:hAnsi="Arial" w:cs="Arial"/>
          <w:sz w:val="24"/>
          <w:szCs w:val="24"/>
        </w:rPr>
        <w:t xml:space="preserve"> later achieved by SEAP.</w:t>
      </w:r>
    </w:p>
    <w:p w14:paraId="7646E55C"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 xml:space="preserve">According to Thompson (2016) people who work in the field of social justice and care are frequently </w:t>
      </w:r>
      <w:r>
        <w:rPr>
          <w:rFonts w:ascii="Arial" w:hAnsi="Arial" w:cs="Arial"/>
          <w:sz w:val="24"/>
          <w:szCs w:val="24"/>
        </w:rPr>
        <w:t xml:space="preserve">viewed </w:t>
      </w:r>
      <w:r w:rsidRPr="0043329E">
        <w:rPr>
          <w:rFonts w:ascii="Arial" w:hAnsi="Arial" w:cs="Arial"/>
          <w:sz w:val="24"/>
          <w:szCs w:val="24"/>
        </w:rPr>
        <w:t xml:space="preserve">as change makers who make a positive difference in the lives of others. As cited in Carlisle (2000) advocacy is acknowledged as a key strategy for promoting change within the context of people’s health and well-being (WHO, 1986). However, there are also situations that occur within social care that can prevent change for various circumstances. To elaborate, throughout different stages of care proceedings, changes to decision making can cause delays. This in some cases can have a negative impact on a client’s well-being due to the occurrence of being in a </w:t>
      </w:r>
      <w:r>
        <w:rPr>
          <w:rFonts w:ascii="Arial" w:hAnsi="Arial" w:cs="Arial"/>
          <w:sz w:val="24"/>
          <w:szCs w:val="24"/>
        </w:rPr>
        <w:t>rehabilitation setting</w:t>
      </w:r>
      <w:r w:rsidRPr="0043329E">
        <w:rPr>
          <w:rFonts w:ascii="Arial" w:hAnsi="Arial" w:cs="Arial"/>
          <w:sz w:val="24"/>
          <w:szCs w:val="24"/>
        </w:rPr>
        <w:t xml:space="preserve"> for a longer period than anticipated (Ward, 2009). Lewin (1947) implemented a framework known as force-field analysis, which focused around identifying the needs of change. Furthermore, identifying the ‘driving’ forces and the ‘restraining’ forces, promoting and delaying change are all part of the advocacy process (Thompson, 2016). Lloyd (1972) argues that, although advocacy was not </w:t>
      </w:r>
      <w:r w:rsidRPr="0043329E">
        <w:rPr>
          <w:rFonts w:ascii="Arial" w:hAnsi="Arial" w:cs="Arial"/>
          <w:sz w:val="24"/>
          <w:szCs w:val="24"/>
        </w:rPr>
        <w:lastRenderedPageBreak/>
        <w:t xml:space="preserve">officially established before the 1970’s, social and political injustices have been an ongoing challenge throughout human history. </w:t>
      </w:r>
    </w:p>
    <w:p w14:paraId="18D9EF03"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Dalrymple and Burke’s (1995) research suggests that using a framework that focuses around being client-centred helps to empower the individual.</w:t>
      </w:r>
      <w:r w:rsidRPr="0043329E">
        <w:rPr>
          <w:rFonts w:ascii="Arial" w:hAnsi="Arial" w:cs="Arial"/>
          <w:color w:val="FF0000"/>
          <w:sz w:val="24"/>
          <w:szCs w:val="24"/>
        </w:rPr>
        <w:t xml:space="preserve"> </w:t>
      </w:r>
      <w:r w:rsidRPr="0043329E">
        <w:rPr>
          <w:rFonts w:ascii="Arial" w:hAnsi="Arial" w:cs="Arial"/>
          <w:sz w:val="24"/>
          <w:szCs w:val="24"/>
        </w:rPr>
        <w:t xml:space="preserve">This approach helps to change the working environment and challenge outdated social norms (Dalrymple and Burke, 1995). For example, </w:t>
      </w:r>
      <w:proofErr w:type="spellStart"/>
      <w:r w:rsidRPr="0043329E">
        <w:rPr>
          <w:rFonts w:ascii="Arial" w:hAnsi="Arial" w:cs="Arial"/>
          <w:sz w:val="24"/>
          <w:szCs w:val="24"/>
        </w:rPr>
        <w:t>Schomerus</w:t>
      </w:r>
      <w:proofErr w:type="spellEnd"/>
      <w:r w:rsidRPr="0043329E">
        <w:rPr>
          <w:rFonts w:ascii="Arial" w:hAnsi="Arial" w:cs="Arial"/>
          <w:sz w:val="24"/>
          <w:szCs w:val="24"/>
        </w:rPr>
        <w:t xml:space="preserve"> </w:t>
      </w:r>
      <w:r w:rsidRPr="0043329E">
        <w:rPr>
          <w:rFonts w:ascii="Arial" w:hAnsi="Arial" w:cs="Arial"/>
          <w:i/>
          <w:iCs/>
          <w:sz w:val="24"/>
          <w:szCs w:val="24"/>
        </w:rPr>
        <w:t>et al</w:t>
      </w:r>
      <w:r w:rsidRPr="0043329E">
        <w:rPr>
          <w:rFonts w:ascii="Arial" w:hAnsi="Arial" w:cs="Arial"/>
          <w:sz w:val="24"/>
          <w:szCs w:val="24"/>
        </w:rPr>
        <w:t xml:space="preserve"> (2011) argue that alcohol dependence has been highly stigmatised in relation to mental health stigmatisation and that negative self-stigma and social stigma may be causal of a decline in a person’s self-efficacy.  Client-centred advocacy helps clients to achieve goals towards their recovery and integrate them back into society. Empowering clients </w:t>
      </w:r>
      <w:r>
        <w:rPr>
          <w:rFonts w:ascii="Arial" w:hAnsi="Arial" w:cs="Arial"/>
          <w:sz w:val="24"/>
          <w:szCs w:val="24"/>
        </w:rPr>
        <w:t xml:space="preserve">through using positive language may be key in </w:t>
      </w:r>
      <w:r w:rsidRPr="0043329E">
        <w:rPr>
          <w:rFonts w:ascii="Arial" w:hAnsi="Arial" w:cs="Arial"/>
          <w:sz w:val="24"/>
          <w:szCs w:val="24"/>
        </w:rPr>
        <w:t>support</w:t>
      </w:r>
      <w:r>
        <w:rPr>
          <w:rFonts w:ascii="Arial" w:hAnsi="Arial" w:cs="Arial"/>
          <w:sz w:val="24"/>
          <w:szCs w:val="24"/>
        </w:rPr>
        <w:t>ing</w:t>
      </w:r>
      <w:r w:rsidRPr="0043329E">
        <w:rPr>
          <w:rFonts w:ascii="Arial" w:hAnsi="Arial" w:cs="Arial"/>
          <w:sz w:val="24"/>
          <w:szCs w:val="24"/>
        </w:rPr>
        <w:t xml:space="preserve"> individuals to advocate for their own care, treatment and rehabilitation (Stylianos and </w:t>
      </w:r>
      <w:proofErr w:type="spellStart"/>
      <w:r w:rsidRPr="0043329E">
        <w:rPr>
          <w:rFonts w:ascii="Arial" w:hAnsi="Arial" w:cs="Arial"/>
          <w:sz w:val="24"/>
          <w:szCs w:val="24"/>
        </w:rPr>
        <w:t>Kehyayan</w:t>
      </w:r>
      <w:proofErr w:type="spellEnd"/>
      <w:r w:rsidRPr="0043329E">
        <w:rPr>
          <w:rFonts w:ascii="Arial" w:hAnsi="Arial" w:cs="Arial"/>
          <w:sz w:val="24"/>
          <w:szCs w:val="24"/>
        </w:rPr>
        <w:t>, 2012).</w:t>
      </w:r>
    </w:p>
    <w:p w14:paraId="7BB311D7"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In response to the negative affect’s alcohol may have on individual’s</w:t>
      </w:r>
      <w:r>
        <w:rPr>
          <w:rFonts w:ascii="Arial" w:hAnsi="Arial" w:cs="Arial"/>
          <w:sz w:val="24"/>
          <w:szCs w:val="24"/>
        </w:rPr>
        <w:t>,</w:t>
      </w:r>
      <w:r w:rsidRPr="0043329E">
        <w:rPr>
          <w:rFonts w:ascii="Arial" w:hAnsi="Arial" w:cs="Arial"/>
          <w:sz w:val="24"/>
          <w:szCs w:val="24"/>
        </w:rPr>
        <w:t xml:space="preserve"> public health experts have begun to create a general ban on media advertising of alcohol products (Gayle, 2019). Media advocacy is a relatively new strategy that aims to support a wider body of people, e.g., from one to one support to making the general public aware of issues such as the negative impacts of alcohol</w:t>
      </w:r>
      <w:r>
        <w:rPr>
          <w:rFonts w:ascii="Arial" w:hAnsi="Arial" w:cs="Arial"/>
          <w:sz w:val="24"/>
          <w:szCs w:val="24"/>
        </w:rPr>
        <w:t xml:space="preserve"> through media coverage</w:t>
      </w:r>
      <w:r w:rsidRPr="0043329E">
        <w:rPr>
          <w:rFonts w:ascii="Arial" w:hAnsi="Arial" w:cs="Arial"/>
          <w:sz w:val="24"/>
          <w:szCs w:val="24"/>
        </w:rPr>
        <w:t xml:space="preserve"> </w:t>
      </w:r>
      <w:r w:rsidRPr="0043329E">
        <w:rPr>
          <w:rFonts w:ascii="Arial" w:hAnsi="Arial" w:cs="Arial"/>
          <w:sz w:val="24"/>
          <w:szCs w:val="24"/>
          <w:shd w:val="clear" w:color="auto" w:fill="FFFFFF"/>
        </w:rPr>
        <w:t>(Wallack, 1994)</w:t>
      </w:r>
      <w:r w:rsidRPr="0043329E">
        <w:rPr>
          <w:rFonts w:ascii="Arial" w:hAnsi="Arial" w:cs="Arial"/>
          <w:sz w:val="24"/>
          <w:szCs w:val="24"/>
        </w:rPr>
        <w:t xml:space="preserve">.  </w:t>
      </w:r>
    </w:p>
    <w:p w14:paraId="1FC05773"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A theory of social change by Freire (1998) highlights a term known as ‘conscientization’ which is used to understand socioeconomic politics through consciousness and effective ways to challenge oppressive societal structures. Through creative language and education Freire believed that people ha</w:t>
      </w:r>
      <w:r>
        <w:rPr>
          <w:rFonts w:ascii="Arial" w:hAnsi="Arial" w:cs="Arial"/>
          <w:sz w:val="24"/>
          <w:szCs w:val="24"/>
        </w:rPr>
        <w:t>ve</w:t>
      </w:r>
      <w:r w:rsidRPr="0043329E">
        <w:rPr>
          <w:rFonts w:ascii="Arial" w:hAnsi="Arial" w:cs="Arial"/>
          <w:sz w:val="24"/>
          <w:szCs w:val="24"/>
        </w:rPr>
        <w:t xml:space="preserve"> the power to make changes within society and it </w:t>
      </w:r>
      <w:r>
        <w:rPr>
          <w:rFonts w:ascii="Arial" w:hAnsi="Arial" w:cs="Arial"/>
          <w:sz w:val="24"/>
          <w:szCs w:val="24"/>
        </w:rPr>
        <w:t>is</w:t>
      </w:r>
      <w:r w:rsidRPr="0043329E">
        <w:rPr>
          <w:rFonts w:ascii="Arial" w:hAnsi="Arial" w:cs="Arial"/>
          <w:sz w:val="24"/>
          <w:szCs w:val="24"/>
        </w:rPr>
        <w:t xml:space="preserve"> a human process to do so (Freire, 1998).  Although the focus of this theory is directed towards the oppressed, conscientization is applicable to all who want to further their own education and understand more about the politics behind social change (Lloyd, 1972). In relation to advocacy practice this theory shows that throughout history individuals have been looking for tools and strategies to challenge and use their voice to </w:t>
      </w:r>
      <w:r>
        <w:rPr>
          <w:rFonts w:ascii="Arial" w:hAnsi="Arial" w:cs="Arial"/>
          <w:sz w:val="24"/>
          <w:szCs w:val="24"/>
        </w:rPr>
        <w:t>challenge</w:t>
      </w:r>
      <w:r w:rsidRPr="0043329E">
        <w:rPr>
          <w:rFonts w:ascii="Arial" w:hAnsi="Arial" w:cs="Arial"/>
          <w:sz w:val="24"/>
          <w:szCs w:val="24"/>
        </w:rPr>
        <w:t xml:space="preserve"> injustice.</w:t>
      </w:r>
      <w:r>
        <w:rPr>
          <w:rFonts w:ascii="Arial" w:hAnsi="Arial" w:cs="Arial"/>
          <w:sz w:val="24"/>
          <w:szCs w:val="24"/>
        </w:rPr>
        <w:t xml:space="preserve"> Perhaps advocacy could be considered one of these tools.</w:t>
      </w:r>
    </w:p>
    <w:p w14:paraId="30E79173" w14:textId="77777777" w:rsidR="004B3D66" w:rsidRPr="0043329E" w:rsidRDefault="004B3D66" w:rsidP="004B3D66">
      <w:pPr>
        <w:spacing w:line="360" w:lineRule="auto"/>
        <w:jc w:val="both"/>
        <w:rPr>
          <w:rFonts w:ascii="Arial" w:hAnsi="Arial" w:cs="Arial"/>
          <w:sz w:val="24"/>
          <w:szCs w:val="24"/>
        </w:rPr>
      </w:pPr>
      <w:r w:rsidRPr="0043329E">
        <w:rPr>
          <w:rFonts w:ascii="Arial" w:hAnsi="Arial" w:cs="Arial"/>
          <w:sz w:val="24"/>
          <w:szCs w:val="24"/>
        </w:rPr>
        <w:t>To conclude, this essay has explored the concept of advocacy by describing what advocacy means and what advocates intend to achieve as well as relating advocacy to power, oppression and agency. Th</w:t>
      </w:r>
      <w:r>
        <w:rPr>
          <w:rFonts w:ascii="Arial" w:hAnsi="Arial" w:cs="Arial"/>
          <w:sz w:val="24"/>
          <w:szCs w:val="24"/>
        </w:rPr>
        <w:t>is</w:t>
      </w:r>
      <w:r w:rsidRPr="0043329E">
        <w:rPr>
          <w:rFonts w:ascii="Arial" w:hAnsi="Arial" w:cs="Arial"/>
          <w:sz w:val="24"/>
          <w:szCs w:val="24"/>
        </w:rPr>
        <w:t xml:space="preserve"> essay also </w:t>
      </w:r>
      <w:r>
        <w:rPr>
          <w:rFonts w:ascii="Arial" w:hAnsi="Arial" w:cs="Arial"/>
          <w:sz w:val="24"/>
          <w:szCs w:val="24"/>
        </w:rPr>
        <w:t>addresses</w:t>
      </w:r>
      <w:r w:rsidRPr="0043329E">
        <w:rPr>
          <w:rFonts w:ascii="Arial" w:hAnsi="Arial" w:cs="Arial"/>
          <w:sz w:val="24"/>
          <w:szCs w:val="24"/>
        </w:rPr>
        <w:t xml:space="preserve"> the importance of giving </w:t>
      </w:r>
      <w:r w:rsidRPr="0043329E">
        <w:rPr>
          <w:rFonts w:ascii="Arial" w:hAnsi="Arial" w:cs="Arial"/>
          <w:sz w:val="24"/>
          <w:szCs w:val="24"/>
        </w:rPr>
        <w:lastRenderedPageBreak/>
        <w:t xml:space="preserve">people back </w:t>
      </w:r>
      <w:r>
        <w:rPr>
          <w:rFonts w:ascii="Arial" w:hAnsi="Arial" w:cs="Arial"/>
          <w:sz w:val="24"/>
          <w:szCs w:val="24"/>
        </w:rPr>
        <w:t>individual</w:t>
      </w:r>
      <w:r w:rsidRPr="0043329E">
        <w:rPr>
          <w:rFonts w:ascii="Arial" w:hAnsi="Arial" w:cs="Arial"/>
          <w:sz w:val="24"/>
          <w:szCs w:val="24"/>
        </w:rPr>
        <w:t xml:space="preserve"> power </w:t>
      </w:r>
      <w:r>
        <w:rPr>
          <w:rFonts w:ascii="Arial" w:hAnsi="Arial" w:cs="Arial"/>
          <w:sz w:val="24"/>
          <w:szCs w:val="24"/>
        </w:rPr>
        <w:t>by highlighting</w:t>
      </w:r>
      <w:r w:rsidRPr="0043329E">
        <w:rPr>
          <w:rFonts w:ascii="Arial" w:hAnsi="Arial" w:cs="Arial"/>
          <w:sz w:val="24"/>
          <w:szCs w:val="24"/>
        </w:rPr>
        <w:t xml:space="preserve"> the </w:t>
      </w:r>
      <w:r>
        <w:rPr>
          <w:rFonts w:ascii="Arial" w:hAnsi="Arial" w:cs="Arial"/>
          <w:sz w:val="24"/>
          <w:szCs w:val="24"/>
        </w:rPr>
        <w:t>negative e</w:t>
      </w:r>
      <w:r w:rsidRPr="0043329E">
        <w:rPr>
          <w:rFonts w:ascii="Arial" w:hAnsi="Arial" w:cs="Arial"/>
          <w:sz w:val="24"/>
          <w:szCs w:val="24"/>
        </w:rPr>
        <w:t>ffects</w:t>
      </w:r>
      <w:r>
        <w:rPr>
          <w:rFonts w:ascii="Arial" w:hAnsi="Arial" w:cs="Arial"/>
          <w:sz w:val="24"/>
          <w:szCs w:val="24"/>
        </w:rPr>
        <w:t xml:space="preserve"> that oppressive</w:t>
      </w:r>
      <w:r w:rsidRPr="0043329E">
        <w:rPr>
          <w:rFonts w:ascii="Arial" w:hAnsi="Arial" w:cs="Arial"/>
          <w:sz w:val="24"/>
          <w:szCs w:val="24"/>
        </w:rPr>
        <w:t xml:space="preserve"> </w:t>
      </w:r>
      <w:r>
        <w:rPr>
          <w:rFonts w:ascii="Arial" w:hAnsi="Arial" w:cs="Arial"/>
          <w:sz w:val="24"/>
          <w:szCs w:val="24"/>
        </w:rPr>
        <w:t>systems</w:t>
      </w:r>
      <w:r w:rsidRPr="0043329E">
        <w:rPr>
          <w:rFonts w:ascii="Arial" w:hAnsi="Arial" w:cs="Arial"/>
          <w:sz w:val="24"/>
          <w:szCs w:val="24"/>
        </w:rPr>
        <w:t xml:space="preserve"> can have</w:t>
      </w:r>
      <w:r>
        <w:rPr>
          <w:rFonts w:ascii="Arial" w:hAnsi="Arial" w:cs="Arial"/>
          <w:sz w:val="24"/>
          <w:szCs w:val="24"/>
        </w:rPr>
        <w:t xml:space="preserve"> on the health and </w:t>
      </w:r>
      <w:r w:rsidRPr="0043329E">
        <w:rPr>
          <w:rFonts w:ascii="Arial" w:hAnsi="Arial" w:cs="Arial"/>
          <w:sz w:val="24"/>
          <w:szCs w:val="24"/>
        </w:rPr>
        <w:t>well-being</w:t>
      </w:r>
      <w:r>
        <w:rPr>
          <w:rFonts w:ascii="Arial" w:hAnsi="Arial" w:cs="Arial"/>
          <w:sz w:val="24"/>
          <w:szCs w:val="24"/>
        </w:rPr>
        <w:t xml:space="preserve"> of vulnerable individuals.</w:t>
      </w:r>
      <w:r w:rsidRPr="0043329E">
        <w:rPr>
          <w:rFonts w:ascii="Arial" w:hAnsi="Arial" w:cs="Arial"/>
          <w:sz w:val="24"/>
          <w:szCs w:val="24"/>
        </w:rPr>
        <w:t xml:space="preserve"> Throughout this essay </w:t>
      </w:r>
      <w:r>
        <w:rPr>
          <w:rFonts w:ascii="Arial" w:hAnsi="Arial" w:cs="Arial"/>
          <w:sz w:val="24"/>
          <w:szCs w:val="24"/>
        </w:rPr>
        <w:t>several organisations and the</w:t>
      </w:r>
      <w:r w:rsidRPr="0043329E">
        <w:rPr>
          <w:rFonts w:ascii="Arial" w:hAnsi="Arial" w:cs="Arial"/>
          <w:sz w:val="24"/>
          <w:szCs w:val="24"/>
        </w:rPr>
        <w:t xml:space="preserve"> strategies </w:t>
      </w:r>
      <w:r>
        <w:rPr>
          <w:rFonts w:ascii="Arial" w:hAnsi="Arial" w:cs="Arial"/>
          <w:sz w:val="24"/>
          <w:szCs w:val="24"/>
        </w:rPr>
        <w:t xml:space="preserve">which they adopt </w:t>
      </w:r>
      <w:r w:rsidRPr="0043329E">
        <w:rPr>
          <w:rFonts w:ascii="Arial" w:hAnsi="Arial" w:cs="Arial"/>
          <w:sz w:val="24"/>
          <w:szCs w:val="24"/>
        </w:rPr>
        <w:t xml:space="preserve">have been </w:t>
      </w:r>
      <w:r>
        <w:rPr>
          <w:rFonts w:ascii="Arial" w:hAnsi="Arial" w:cs="Arial"/>
          <w:sz w:val="24"/>
          <w:szCs w:val="24"/>
        </w:rPr>
        <w:t>explored,</w:t>
      </w:r>
      <w:r w:rsidRPr="0043329E">
        <w:rPr>
          <w:rFonts w:ascii="Arial" w:hAnsi="Arial" w:cs="Arial"/>
          <w:sz w:val="24"/>
          <w:szCs w:val="24"/>
        </w:rPr>
        <w:t xml:space="preserve"> such as client centred practic</w:t>
      </w:r>
      <w:r>
        <w:rPr>
          <w:rFonts w:ascii="Arial" w:hAnsi="Arial" w:cs="Arial"/>
          <w:sz w:val="24"/>
          <w:szCs w:val="24"/>
        </w:rPr>
        <w:t>e</w:t>
      </w:r>
      <w:r w:rsidRPr="0043329E">
        <w:rPr>
          <w:rFonts w:ascii="Arial" w:hAnsi="Arial" w:cs="Arial"/>
          <w:sz w:val="24"/>
          <w:szCs w:val="24"/>
        </w:rPr>
        <w:t xml:space="preserve">. </w:t>
      </w:r>
      <w:r>
        <w:rPr>
          <w:rFonts w:ascii="Arial" w:hAnsi="Arial" w:cs="Arial"/>
          <w:sz w:val="24"/>
          <w:szCs w:val="24"/>
        </w:rPr>
        <w:t>Finally,</w:t>
      </w:r>
      <w:r w:rsidRPr="0043329E">
        <w:rPr>
          <w:rFonts w:ascii="Arial" w:hAnsi="Arial" w:cs="Arial"/>
          <w:sz w:val="24"/>
          <w:szCs w:val="24"/>
        </w:rPr>
        <w:t xml:space="preserve"> advoca</w:t>
      </w:r>
      <w:r>
        <w:rPr>
          <w:rFonts w:ascii="Arial" w:hAnsi="Arial" w:cs="Arial"/>
          <w:sz w:val="24"/>
          <w:szCs w:val="24"/>
        </w:rPr>
        <w:t>cy practice appears to be a growing</w:t>
      </w:r>
      <w:r w:rsidRPr="0043329E">
        <w:rPr>
          <w:rFonts w:ascii="Arial" w:hAnsi="Arial" w:cs="Arial"/>
          <w:sz w:val="24"/>
          <w:szCs w:val="24"/>
        </w:rPr>
        <w:t xml:space="preserve"> </w:t>
      </w:r>
      <w:r>
        <w:rPr>
          <w:rFonts w:ascii="Arial" w:hAnsi="Arial" w:cs="Arial"/>
          <w:sz w:val="24"/>
          <w:szCs w:val="24"/>
        </w:rPr>
        <w:t xml:space="preserve">and much needed </w:t>
      </w:r>
      <w:r w:rsidRPr="0043329E">
        <w:rPr>
          <w:rFonts w:ascii="Arial" w:hAnsi="Arial" w:cs="Arial"/>
          <w:sz w:val="24"/>
          <w:szCs w:val="24"/>
        </w:rPr>
        <w:t xml:space="preserve">service at a time when oppressive structures are creating more barriers </w:t>
      </w:r>
      <w:r>
        <w:rPr>
          <w:rFonts w:ascii="Arial" w:hAnsi="Arial" w:cs="Arial"/>
          <w:sz w:val="24"/>
          <w:szCs w:val="24"/>
        </w:rPr>
        <w:t xml:space="preserve">for vulnerable individuals to </w:t>
      </w:r>
      <w:r w:rsidRPr="0043329E">
        <w:rPr>
          <w:rFonts w:ascii="Arial" w:hAnsi="Arial" w:cs="Arial"/>
          <w:sz w:val="24"/>
          <w:szCs w:val="24"/>
        </w:rPr>
        <w:t>meet an acceptable standard of living.</w:t>
      </w:r>
    </w:p>
    <w:p w14:paraId="4434B8FC" w14:textId="77777777" w:rsidR="004B3D66" w:rsidRDefault="004B3D66">
      <w:bookmarkStart w:id="0" w:name="_GoBack"/>
      <w:bookmarkEnd w:id="0"/>
    </w:p>
    <w:sectPr w:rsidR="004B3D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D66"/>
    <w:rsid w:val="004B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70B9D"/>
  <w15:chartTrackingRefBased/>
  <w15:docId w15:val="{B38864C7-67F3-48EC-AF54-A480411BA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D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1590</Words>
  <Characters>9063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1</cp:revision>
  <dcterms:created xsi:type="dcterms:W3CDTF">2019-07-10T09:24:00Z</dcterms:created>
  <dcterms:modified xsi:type="dcterms:W3CDTF">2019-07-10T09:25:00Z</dcterms:modified>
</cp:coreProperties>
</file>