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B9F857" w14:textId="5A7E3BF2" w:rsidR="004C168E" w:rsidRPr="004C168E" w:rsidRDefault="004C168E" w:rsidP="00CF0B9F">
      <w:pPr>
        <w:spacing w:line="480" w:lineRule="auto"/>
        <w:jc w:val="center"/>
        <w:rPr>
          <w:b/>
          <w:bCs/>
          <w:u w:val="single"/>
        </w:rPr>
      </w:pPr>
      <w:r w:rsidRPr="004C168E">
        <w:rPr>
          <w:b/>
          <w:bCs/>
          <w:u w:val="single"/>
        </w:rPr>
        <w:t>Script Outline</w:t>
      </w:r>
    </w:p>
    <w:p w14:paraId="350EAEF5" w14:textId="610ED2CD" w:rsidR="00812822" w:rsidRDefault="00812822" w:rsidP="00CF0B9F">
      <w:pPr>
        <w:spacing w:line="480" w:lineRule="auto"/>
        <w:jc w:val="center"/>
        <w:rPr>
          <w:b/>
          <w:bCs/>
        </w:rPr>
      </w:pPr>
      <w:r>
        <w:rPr>
          <w:b/>
          <w:bCs/>
        </w:rPr>
        <w:t>Title</w:t>
      </w:r>
    </w:p>
    <w:p w14:paraId="63639CCD" w14:textId="2B7ADC6D" w:rsidR="00812822" w:rsidRDefault="00812822" w:rsidP="00CF0B9F">
      <w:pPr>
        <w:pStyle w:val="ListParagraph"/>
        <w:numPr>
          <w:ilvl w:val="0"/>
          <w:numId w:val="7"/>
        </w:numPr>
        <w:spacing w:line="480" w:lineRule="auto"/>
      </w:pPr>
      <w:r>
        <w:t>Name</w:t>
      </w:r>
      <w:r w:rsidR="005019A8">
        <w:t xml:space="preserve"> here</w:t>
      </w:r>
    </w:p>
    <w:p w14:paraId="53DDBF29" w14:textId="462DDBE4" w:rsidR="00812822" w:rsidRPr="00812822" w:rsidRDefault="00812822" w:rsidP="00CF0B9F">
      <w:pPr>
        <w:pStyle w:val="ListParagraph"/>
        <w:numPr>
          <w:ilvl w:val="0"/>
          <w:numId w:val="7"/>
        </w:numPr>
        <w:spacing w:line="480" w:lineRule="auto"/>
      </w:pPr>
      <w:r w:rsidRPr="00812822">
        <w:t>(2024 ARTICLE)</w:t>
      </w:r>
    </w:p>
    <w:p w14:paraId="0F3513FB" w14:textId="77877E40" w:rsidR="00812822" w:rsidRPr="00812822" w:rsidRDefault="00812822" w:rsidP="00CF0B9F">
      <w:pPr>
        <w:pStyle w:val="ListParagraph"/>
        <w:numPr>
          <w:ilvl w:val="0"/>
          <w:numId w:val="7"/>
        </w:numPr>
        <w:spacing w:line="480" w:lineRule="auto"/>
      </w:pPr>
      <w:r w:rsidRPr="00812822">
        <w:t>Rebecca Brotherdale, Katherine Berry &amp; Sandra Bucci</w:t>
      </w:r>
    </w:p>
    <w:p w14:paraId="41A6D891" w14:textId="04E86C40" w:rsidR="00812822" w:rsidRPr="006E6418" w:rsidRDefault="00812822" w:rsidP="00CF0B9F">
      <w:pPr>
        <w:pStyle w:val="ListParagraph"/>
        <w:numPr>
          <w:ilvl w:val="0"/>
          <w:numId w:val="7"/>
        </w:numPr>
        <w:spacing w:line="480" w:lineRule="auto"/>
        <w:rPr>
          <w:i/>
          <w:iCs/>
        </w:rPr>
      </w:pPr>
      <w:r w:rsidRPr="006E6418">
        <w:rPr>
          <w:i/>
          <w:iCs/>
        </w:rPr>
        <w:t>Digital Health</w:t>
      </w:r>
    </w:p>
    <w:p w14:paraId="7DF92FE0" w14:textId="12CB6F89" w:rsidR="00812822" w:rsidRPr="006E6418" w:rsidRDefault="00812822" w:rsidP="00CF0B9F">
      <w:pPr>
        <w:pStyle w:val="ListParagraph"/>
        <w:numPr>
          <w:ilvl w:val="0"/>
          <w:numId w:val="7"/>
        </w:numPr>
        <w:spacing w:line="480" w:lineRule="auto"/>
        <w:rPr>
          <w:b/>
          <w:bCs/>
        </w:rPr>
      </w:pPr>
      <w:r w:rsidRPr="006E6418">
        <w:rPr>
          <w:b/>
          <w:bCs/>
        </w:rPr>
        <w:t>“A qualitative study exploring the digital therapeutic alliance with fully automated smartphone apps”</w:t>
      </w:r>
    </w:p>
    <w:p w14:paraId="65497569" w14:textId="6729437B" w:rsidR="00F96C6F" w:rsidRDefault="00F96C6F" w:rsidP="00CF0B9F">
      <w:pPr>
        <w:spacing w:line="480" w:lineRule="auto"/>
        <w:jc w:val="center"/>
        <w:rPr>
          <w:b/>
          <w:bCs/>
        </w:rPr>
      </w:pPr>
      <w:r w:rsidRPr="002A35E6">
        <w:rPr>
          <w:b/>
          <w:bCs/>
        </w:rPr>
        <w:t>Introduction</w:t>
      </w:r>
    </w:p>
    <w:p w14:paraId="46203E04" w14:textId="471A998B" w:rsidR="00D63972" w:rsidRPr="00D63972" w:rsidRDefault="00D63972" w:rsidP="00CF0B9F">
      <w:pPr>
        <w:spacing w:line="480" w:lineRule="auto"/>
        <w:rPr>
          <w:b/>
          <w:bCs/>
          <w:i/>
          <w:iCs/>
        </w:rPr>
      </w:pPr>
      <w:r>
        <w:rPr>
          <w:b/>
          <w:bCs/>
          <w:i/>
          <w:iCs/>
        </w:rPr>
        <w:t>Background</w:t>
      </w:r>
    </w:p>
    <w:p w14:paraId="12DD84D6" w14:textId="74962A51" w:rsidR="00F96C6F" w:rsidRDefault="00F96C6F" w:rsidP="00CF0B9F">
      <w:pPr>
        <w:spacing w:line="480" w:lineRule="auto"/>
      </w:pPr>
      <w:r>
        <w:t xml:space="preserve">The researchers </w:t>
      </w:r>
      <w:r w:rsidR="00735D4A">
        <w:t>were</w:t>
      </w:r>
      <w:r>
        <w:t xml:space="preserve"> looking into the importance of the therapeutic alliance in maintaining users’ engagement with digital mental health interventions.</w:t>
      </w:r>
    </w:p>
    <w:p w14:paraId="3027420B" w14:textId="400F6C3A" w:rsidR="00F96C6F" w:rsidRDefault="00F96C6F" w:rsidP="00CF0B9F">
      <w:pPr>
        <w:spacing w:line="480" w:lineRule="auto"/>
      </w:pPr>
      <w:r>
        <w:t xml:space="preserve">Post-Pandemic, literature has identified a strain on mental health services which have struggled to meet the needs of patients in timely fashion. </w:t>
      </w:r>
    </w:p>
    <w:p w14:paraId="674B2AD5" w14:textId="79C8B1EF" w:rsidR="00F96C6F" w:rsidRDefault="00F96C6F" w:rsidP="00CF0B9F">
      <w:pPr>
        <w:spacing w:line="480" w:lineRule="auto"/>
      </w:pPr>
      <w:r>
        <w:t>The range of digital health interventions available to support mental health difficulties has grown, bringing identified benefits of anonymity, accessibility and flexibility, however, high download rates are also coupled with high attrition rates with engagement loss over time.</w:t>
      </w:r>
    </w:p>
    <w:p w14:paraId="0FF947C8" w14:textId="35443F48" w:rsidR="00F96C6F" w:rsidRDefault="00F96C6F" w:rsidP="00CF0B9F">
      <w:pPr>
        <w:spacing w:line="480" w:lineRule="auto"/>
      </w:pPr>
      <w:r>
        <w:t>In in person therapy the paper asserts that attrition rates are empirically linked to Therapeutic Alliance. As such, this paper looks to qualitatively examine the nature of the Digital Therapeutic Alliance as experienced by app users.</w:t>
      </w:r>
    </w:p>
    <w:p w14:paraId="28A6E627" w14:textId="251F09FD" w:rsidR="00DC5DA2" w:rsidRDefault="00F96C6F" w:rsidP="00CF0B9F">
      <w:pPr>
        <w:spacing w:line="480" w:lineRule="auto"/>
      </w:pPr>
      <w:r>
        <w:lastRenderedPageBreak/>
        <w:t>The paper identifies that previous quantitative research has used scales like mobile Agnew Relationship Measure that simply s</w:t>
      </w:r>
      <w:r w:rsidR="009D7857">
        <w:t>w</w:t>
      </w:r>
      <w:r>
        <w:t xml:space="preserve">ap out the word therapist for app, modelling their criteria on Bordin’s (1979) alliance model. This paper suggests that the complexity of the digital health intervention environment means more </w:t>
      </w:r>
      <w:r w:rsidR="001535F8">
        <w:t>qualitative</w:t>
      </w:r>
      <w:r>
        <w:t xml:space="preserve"> investigation i</w:t>
      </w:r>
      <w:r w:rsidR="009D7857">
        <w:t xml:space="preserve">s </w:t>
      </w:r>
      <w:r>
        <w:t>necessary to understand the connection between therapy outcomes and the digital health alliance specifically</w:t>
      </w:r>
      <w:r w:rsidR="009D7857">
        <w:t>, with a focus on goal setting prominent in the analysis.</w:t>
      </w:r>
    </w:p>
    <w:p w14:paraId="5B665477" w14:textId="3F175948" w:rsidR="00DC5DA2" w:rsidRPr="00A63950" w:rsidRDefault="00DC5DA2" w:rsidP="00CF0B9F">
      <w:pPr>
        <w:spacing w:line="480" w:lineRule="auto"/>
        <w:rPr>
          <w:b/>
          <w:bCs/>
          <w:i/>
          <w:iCs/>
        </w:rPr>
      </w:pPr>
      <w:r w:rsidRPr="00D63972">
        <w:rPr>
          <w:b/>
          <w:bCs/>
          <w:i/>
          <w:iCs/>
        </w:rPr>
        <w:t>Objective</w:t>
      </w:r>
      <w:r w:rsidRPr="00D63972">
        <w:rPr>
          <w:i/>
          <w:iCs/>
        </w:rPr>
        <w:t xml:space="preserve"> of paper</w:t>
      </w:r>
      <w:r w:rsidR="00A63950">
        <w:rPr>
          <w:i/>
          <w:iCs/>
        </w:rPr>
        <w:t xml:space="preserve"> and </w:t>
      </w:r>
      <w:r w:rsidR="00A63950" w:rsidRPr="002A35E6">
        <w:rPr>
          <w:b/>
          <w:bCs/>
          <w:i/>
          <w:iCs/>
        </w:rPr>
        <w:t>Research questions</w:t>
      </w:r>
    </w:p>
    <w:p w14:paraId="3FDEB207" w14:textId="6484F2DF" w:rsidR="00DC5DA2" w:rsidRDefault="00DC5DA2" w:rsidP="00CF0B9F">
      <w:pPr>
        <w:spacing w:line="480" w:lineRule="auto"/>
      </w:pPr>
      <w:r>
        <w:t>To explore and conceptualise the DTA with mental health interventions delivered by standalone apps.</w:t>
      </w:r>
    </w:p>
    <w:p w14:paraId="2138A232" w14:textId="6FA9BB16" w:rsidR="00DC5DA2" w:rsidRDefault="00DC5DA2" w:rsidP="00CF0B9F">
      <w:pPr>
        <w:pStyle w:val="ListParagraph"/>
        <w:numPr>
          <w:ilvl w:val="0"/>
          <w:numId w:val="2"/>
        </w:numPr>
        <w:spacing w:line="480" w:lineRule="auto"/>
      </w:pPr>
      <w:r>
        <w:t>Do people with mental health difficulties form an alliance with DHI delivered by standalone apps?</w:t>
      </w:r>
    </w:p>
    <w:p w14:paraId="3C4F5C4B" w14:textId="28D3C3DF" w:rsidR="00DC5DA2" w:rsidRDefault="00DC5DA2" w:rsidP="00CF0B9F">
      <w:pPr>
        <w:pStyle w:val="ListParagraph"/>
        <w:numPr>
          <w:ilvl w:val="0"/>
          <w:numId w:val="1"/>
        </w:numPr>
        <w:spacing w:line="480" w:lineRule="auto"/>
      </w:pPr>
      <w:r>
        <w:t xml:space="preserve">What constitutes the DTA with standalone apps? </w:t>
      </w:r>
    </w:p>
    <w:p w14:paraId="367E2359" w14:textId="33ACF318" w:rsidR="00DC5DA2" w:rsidRDefault="00DC5DA2" w:rsidP="00CF0B9F">
      <w:pPr>
        <w:pStyle w:val="ListParagraph"/>
        <w:numPr>
          <w:ilvl w:val="0"/>
          <w:numId w:val="1"/>
        </w:numPr>
        <w:spacing w:line="480" w:lineRule="auto"/>
      </w:pPr>
      <w:r>
        <w:t>What are the similarities and differences in the traditional therapeutic alliance and the DTA, specifically regarding “goals”?</w:t>
      </w:r>
    </w:p>
    <w:p w14:paraId="4A523CF5" w14:textId="528CCFC6" w:rsidR="003A6798" w:rsidRDefault="003A6798" w:rsidP="00CF0B9F">
      <w:pPr>
        <w:spacing w:line="480" w:lineRule="auto"/>
        <w:jc w:val="center"/>
        <w:rPr>
          <w:b/>
          <w:bCs/>
        </w:rPr>
      </w:pPr>
      <w:r>
        <w:rPr>
          <w:b/>
          <w:bCs/>
        </w:rPr>
        <w:t>Method</w:t>
      </w:r>
    </w:p>
    <w:p w14:paraId="2B5EB5D4" w14:textId="1744ED59" w:rsidR="00A7624F" w:rsidRPr="003A6798" w:rsidRDefault="00A7624F" w:rsidP="00CF0B9F">
      <w:pPr>
        <w:spacing w:line="480" w:lineRule="auto"/>
        <w:rPr>
          <w:b/>
          <w:bCs/>
          <w:i/>
          <w:iCs/>
        </w:rPr>
      </w:pPr>
      <w:r w:rsidRPr="003A6798">
        <w:rPr>
          <w:b/>
          <w:bCs/>
          <w:i/>
          <w:iCs/>
        </w:rPr>
        <w:t>Participants</w:t>
      </w:r>
    </w:p>
    <w:p w14:paraId="5BF9CACB" w14:textId="4CA0A993" w:rsidR="00A7624F" w:rsidRDefault="00A7624F" w:rsidP="00CF0B9F">
      <w:pPr>
        <w:spacing w:line="480" w:lineRule="auto"/>
      </w:pPr>
      <w:r>
        <w:t>Eligibility criteria was as follow</w:t>
      </w:r>
      <w:r w:rsidR="00FA21FB">
        <w:t>s:</w:t>
      </w:r>
    </w:p>
    <w:p w14:paraId="038FD900" w14:textId="4642950D" w:rsidR="00FA21FB" w:rsidRDefault="00FA21FB" w:rsidP="00CF0B9F">
      <w:pPr>
        <w:pStyle w:val="ListParagraph"/>
        <w:numPr>
          <w:ilvl w:val="0"/>
          <w:numId w:val="3"/>
        </w:numPr>
        <w:spacing w:line="480" w:lineRule="auto"/>
      </w:pPr>
      <w:r>
        <w:t xml:space="preserve">Those who self-identified as having a MH difficulty, and </w:t>
      </w:r>
      <w:r w:rsidR="003A6798">
        <w:t xml:space="preserve">were either currently, or in the past six months, were receiving MH care treatment and/or had a mental health diagnosis </w:t>
      </w:r>
    </w:p>
    <w:p w14:paraId="0853C656" w14:textId="7A21E0BD" w:rsidR="003A6798" w:rsidRDefault="003A6798" w:rsidP="00CF0B9F">
      <w:pPr>
        <w:pStyle w:val="ListParagraph"/>
        <w:numPr>
          <w:ilvl w:val="0"/>
          <w:numId w:val="3"/>
        </w:numPr>
        <w:spacing w:line="480" w:lineRule="auto"/>
      </w:pPr>
      <w:r>
        <w:t>Currently using a smartphone app for those MH difficulties (within the last 6 months, in order to be able to accurately recall and reflect on their experiences)</w:t>
      </w:r>
    </w:p>
    <w:p w14:paraId="410284BC" w14:textId="0F3AE8E7" w:rsidR="00F96C6F" w:rsidRPr="003A6798" w:rsidRDefault="003A6798" w:rsidP="00CF0B9F">
      <w:pPr>
        <w:pStyle w:val="ListParagraph"/>
        <w:numPr>
          <w:ilvl w:val="0"/>
          <w:numId w:val="3"/>
        </w:numPr>
        <w:spacing w:line="480" w:lineRule="auto"/>
      </w:pPr>
      <w:r>
        <w:lastRenderedPageBreak/>
        <w:t>English speaking (</w:t>
      </w:r>
      <w:r>
        <w:rPr>
          <w:i/>
          <w:iCs/>
        </w:rPr>
        <w:t>no translation budget)</w:t>
      </w:r>
    </w:p>
    <w:p w14:paraId="0B64AEAB" w14:textId="7539A73B" w:rsidR="003A6798" w:rsidRDefault="003A6798" w:rsidP="00CF0B9F">
      <w:pPr>
        <w:pStyle w:val="ListParagraph"/>
        <w:numPr>
          <w:ilvl w:val="0"/>
          <w:numId w:val="3"/>
        </w:numPr>
        <w:spacing w:line="480" w:lineRule="auto"/>
      </w:pPr>
      <w:r>
        <w:t>Over 18</w:t>
      </w:r>
    </w:p>
    <w:p w14:paraId="614E92D3" w14:textId="23319B83" w:rsidR="003A6798" w:rsidRDefault="003A6798" w:rsidP="00CF0B9F">
      <w:pPr>
        <w:pStyle w:val="ListParagraph"/>
        <w:numPr>
          <w:ilvl w:val="0"/>
          <w:numId w:val="3"/>
        </w:numPr>
        <w:spacing w:line="480" w:lineRule="auto"/>
      </w:pPr>
      <w:r>
        <w:t>Able to give informed consent</w:t>
      </w:r>
    </w:p>
    <w:p w14:paraId="74723563" w14:textId="347F8004" w:rsidR="003A6798" w:rsidRDefault="003A6798" w:rsidP="00CF0B9F">
      <w:pPr>
        <w:spacing w:line="480" w:lineRule="auto"/>
        <w:rPr>
          <w:i/>
          <w:iCs/>
        </w:rPr>
      </w:pPr>
      <w:r>
        <w:rPr>
          <w:i/>
          <w:iCs/>
        </w:rPr>
        <w:t>Apps were defined as being used for MH difficulties as per the National Institute of MH 2020 classifications of apps.</w:t>
      </w:r>
    </w:p>
    <w:p w14:paraId="46666467" w14:textId="648DF907" w:rsidR="003A6798" w:rsidRPr="003A6798" w:rsidRDefault="003A6798" w:rsidP="00CF0B9F">
      <w:pPr>
        <w:spacing w:line="480" w:lineRule="auto"/>
      </w:pPr>
      <w:r>
        <w:t>Users registered their interest with author RB who screened via the listed criteria. Participants were offered a £10 voucher for their time.</w:t>
      </w:r>
    </w:p>
    <w:p w14:paraId="57EBE954" w14:textId="2AEB1302" w:rsidR="00DC5DA2" w:rsidRPr="003A6798" w:rsidRDefault="003A6798" w:rsidP="00CF0B9F">
      <w:pPr>
        <w:spacing w:line="480" w:lineRule="auto"/>
        <w:rPr>
          <w:b/>
          <w:bCs/>
          <w:i/>
          <w:iCs/>
        </w:rPr>
      </w:pPr>
      <w:r w:rsidRPr="003A6798">
        <w:rPr>
          <w:b/>
          <w:bCs/>
          <w:i/>
          <w:iCs/>
        </w:rPr>
        <w:t>Procedure</w:t>
      </w:r>
    </w:p>
    <w:p w14:paraId="468A1AF6" w14:textId="167C7F3D" w:rsidR="00DC5DA2" w:rsidRDefault="007A26E3" w:rsidP="00CF0B9F">
      <w:pPr>
        <w:pStyle w:val="ListParagraph"/>
        <w:numPr>
          <w:ilvl w:val="0"/>
          <w:numId w:val="2"/>
        </w:numPr>
        <w:spacing w:line="480" w:lineRule="auto"/>
      </w:pPr>
      <w:r w:rsidRPr="007A26E3">
        <w:t>Recruitment via social media and through university counselling service, and University email bulletins and posters.</w:t>
      </w:r>
    </w:p>
    <w:p w14:paraId="00801EFD" w14:textId="677B726B" w:rsidR="007A26E3" w:rsidRDefault="007A26E3" w:rsidP="00CF0B9F">
      <w:pPr>
        <w:pStyle w:val="ListParagraph"/>
        <w:numPr>
          <w:ilvl w:val="0"/>
          <w:numId w:val="2"/>
        </w:numPr>
        <w:spacing w:line="480" w:lineRule="auto"/>
      </w:pPr>
      <w:r w:rsidRPr="007A26E3">
        <w:t>Purposeful recruitment efforts were made to ensure a diverse range of experiences, e.g when female participants became the majority, an effort was made to get more male participants via changes the recruitment posters.</w:t>
      </w:r>
    </w:p>
    <w:p w14:paraId="298938C8" w14:textId="7F631CFB" w:rsidR="007A26E3" w:rsidRDefault="007A26E3" w:rsidP="00CF0B9F">
      <w:pPr>
        <w:pStyle w:val="ListParagraph"/>
        <w:numPr>
          <w:ilvl w:val="0"/>
          <w:numId w:val="2"/>
        </w:numPr>
        <w:spacing w:line="480" w:lineRule="auto"/>
      </w:pPr>
      <w:r w:rsidRPr="007A26E3">
        <w:t>Demographic information was taken, consent given, and questions given regarding app usage (piloted by a lived-experience advisory panel) to contextualise the results</w:t>
      </w:r>
    </w:p>
    <w:p w14:paraId="58AB71DE" w14:textId="4A102744" w:rsidR="007A26E3" w:rsidRDefault="007A26E3" w:rsidP="00CF0B9F">
      <w:pPr>
        <w:pStyle w:val="ListParagraph"/>
        <w:numPr>
          <w:ilvl w:val="0"/>
          <w:numId w:val="2"/>
        </w:numPr>
        <w:spacing w:line="480" w:lineRule="auto"/>
      </w:pPr>
      <w:r w:rsidRPr="007A26E3">
        <w:t>Interviews conducted by RB, who had training and experience in qualitative interviewing</w:t>
      </w:r>
    </w:p>
    <w:p w14:paraId="6A81A30F" w14:textId="1B399A44" w:rsidR="007A26E3" w:rsidRDefault="007A26E3" w:rsidP="00CF0B9F">
      <w:pPr>
        <w:pStyle w:val="ListParagraph"/>
        <w:numPr>
          <w:ilvl w:val="0"/>
          <w:numId w:val="2"/>
        </w:numPr>
        <w:spacing w:line="480" w:lineRule="auto"/>
      </w:pPr>
      <w:r w:rsidRPr="007A26E3">
        <w:t xml:space="preserve">RB followed a topic guide developed by the research team during </w:t>
      </w:r>
      <w:r w:rsidR="005D0B6E" w:rsidRPr="007A26E3">
        <w:t>interviews;</w:t>
      </w:r>
      <w:r w:rsidRPr="007A26E3">
        <w:t xml:space="preserve"> this was informed by Bordin’s (1979) TA conceptualisation model. Pilot interviews also took place before the study to help with the development of questions.</w:t>
      </w:r>
    </w:p>
    <w:p w14:paraId="2464AEBF" w14:textId="2692A417" w:rsidR="007A26E3" w:rsidRDefault="007A26E3" w:rsidP="00CF0B9F">
      <w:pPr>
        <w:pStyle w:val="ListParagraph"/>
        <w:numPr>
          <w:ilvl w:val="0"/>
          <w:numId w:val="2"/>
        </w:numPr>
        <w:spacing w:line="480" w:lineRule="auto"/>
      </w:pPr>
      <w:r w:rsidRPr="007A26E3">
        <w:lastRenderedPageBreak/>
        <w:t xml:space="preserve">Open-ended questions pertaining to TA experiences were in response to users spontaneously reflecting on an </w:t>
      </w:r>
      <w:r w:rsidR="005D0B6E" w:rsidRPr="007A26E3">
        <w:t>alliance</w:t>
      </w:r>
      <w:r w:rsidRPr="007A26E3">
        <w:t>, or using alliance terminology (e.g. “connection”</w:t>
      </w:r>
    </w:p>
    <w:p w14:paraId="44E018CE" w14:textId="1C3DDD0A" w:rsidR="007A26E3" w:rsidRDefault="007A26E3" w:rsidP="00CF0B9F">
      <w:pPr>
        <w:pStyle w:val="ListParagraph"/>
        <w:numPr>
          <w:ilvl w:val="0"/>
          <w:numId w:val="2"/>
        </w:numPr>
        <w:spacing w:line="480" w:lineRule="auto"/>
      </w:pPr>
      <w:r w:rsidRPr="007A26E3">
        <w:t xml:space="preserve">However, if, towards the middle of the interview, the user had not </w:t>
      </w:r>
      <w:r w:rsidR="005D0B6E" w:rsidRPr="007A26E3">
        <w:t>described</w:t>
      </w:r>
      <w:r w:rsidRPr="007A26E3">
        <w:t xml:space="preserve"> any experiences in relation to an alliance, specific questions were </w:t>
      </w:r>
      <w:r w:rsidR="005D0B6E" w:rsidRPr="007A26E3">
        <w:t>asked.</w:t>
      </w:r>
    </w:p>
    <w:p w14:paraId="6B56E87B" w14:textId="4D1C0D7D" w:rsidR="007A26E3" w:rsidRDefault="007A26E3" w:rsidP="00CF0B9F">
      <w:pPr>
        <w:pStyle w:val="ListParagraph"/>
        <w:numPr>
          <w:ilvl w:val="0"/>
          <w:numId w:val="2"/>
        </w:numPr>
        <w:spacing w:line="480" w:lineRule="auto"/>
      </w:pPr>
      <w:r w:rsidRPr="007A26E3">
        <w:t xml:space="preserve">RB explored views about connection. Goals were also specifically explored to </w:t>
      </w:r>
      <w:r w:rsidR="005D0B6E" w:rsidRPr="007A26E3">
        <w:t>reflect</w:t>
      </w:r>
      <w:r w:rsidRPr="007A26E3">
        <w:t xml:space="preserve"> the lack of clarity around this latter concept identified in the literature</w:t>
      </w:r>
    </w:p>
    <w:p w14:paraId="708BEC44" w14:textId="4077A2AA" w:rsidR="007A26E3" w:rsidRDefault="007A26E3" w:rsidP="00CF0B9F">
      <w:pPr>
        <w:pStyle w:val="ListParagraph"/>
        <w:numPr>
          <w:ilvl w:val="0"/>
          <w:numId w:val="2"/>
        </w:numPr>
        <w:spacing w:line="480" w:lineRule="auto"/>
      </w:pPr>
      <w:r w:rsidRPr="007A26E3">
        <w:t>The topic guide was revised to after 5 interviews to centre on topics that had begun to emerge</w:t>
      </w:r>
    </w:p>
    <w:p w14:paraId="77C24DD1" w14:textId="337DDA5A" w:rsidR="007A26E3" w:rsidRDefault="007A26E3" w:rsidP="00CF0B9F">
      <w:pPr>
        <w:pStyle w:val="ListParagraph"/>
        <w:numPr>
          <w:ilvl w:val="0"/>
          <w:numId w:val="2"/>
        </w:numPr>
        <w:spacing w:line="480" w:lineRule="auto"/>
      </w:pPr>
      <w:r w:rsidRPr="007A26E3">
        <w:t>Interviews were digitally recorded and lasted between 35-75 minutes each.</w:t>
      </w:r>
    </w:p>
    <w:p w14:paraId="002280F0" w14:textId="0A8DFD05" w:rsidR="007A26E3" w:rsidRDefault="007A26E3" w:rsidP="00CF0B9F">
      <w:pPr>
        <w:pStyle w:val="ListParagraph"/>
        <w:numPr>
          <w:ilvl w:val="0"/>
          <w:numId w:val="2"/>
        </w:numPr>
        <w:spacing w:line="480" w:lineRule="auto"/>
      </w:pPr>
      <w:r w:rsidRPr="007A26E3">
        <w:t>Recruitment ended when data sufficiency was reached, specifically, based on analysis of transcripts and an agreement within the research team that no additional themes were being generated by the data</w:t>
      </w:r>
    </w:p>
    <w:p w14:paraId="2324AB2B" w14:textId="7C32225D" w:rsidR="007A26E3" w:rsidRDefault="007A26E3" w:rsidP="00CF0B9F">
      <w:pPr>
        <w:spacing w:line="480" w:lineRule="auto"/>
        <w:ind w:left="360"/>
        <w:rPr>
          <w:b/>
          <w:bCs/>
          <w:i/>
          <w:iCs/>
        </w:rPr>
      </w:pPr>
      <w:r>
        <w:rPr>
          <w:b/>
          <w:bCs/>
          <w:i/>
          <w:iCs/>
        </w:rPr>
        <w:t>Materials/Measures</w:t>
      </w:r>
    </w:p>
    <w:p w14:paraId="56514176" w14:textId="0AD24152" w:rsidR="007A26E3" w:rsidRDefault="007A26E3" w:rsidP="00CF0B9F">
      <w:pPr>
        <w:spacing w:line="480" w:lineRule="auto"/>
        <w:ind w:left="360"/>
      </w:pPr>
      <w:r>
        <w:t>Qualitative semi-structured interviews were conducted online.</w:t>
      </w:r>
    </w:p>
    <w:p w14:paraId="613C7F44" w14:textId="44F3BFA6" w:rsidR="007A26E3" w:rsidRDefault="007A26E3" w:rsidP="00CF0B9F">
      <w:pPr>
        <w:spacing w:line="480" w:lineRule="auto"/>
        <w:ind w:left="360"/>
      </w:pPr>
      <w:r>
        <w:t>Then Thematic Analysis (Braun and Clarke, 2019) was used for data analysis, in the following steps;</w:t>
      </w:r>
    </w:p>
    <w:p w14:paraId="23F04937" w14:textId="454749A1" w:rsidR="007A26E3" w:rsidRPr="007A26E3" w:rsidRDefault="007A26E3" w:rsidP="00CF0B9F">
      <w:pPr>
        <w:pStyle w:val="ListParagraph"/>
        <w:numPr>
          <w:ilvl w:val="0"/>
          <w:numId w:val="6"/>
        </w:numPr>
        <w:spacing w:line="480" w:lineRule="auto"/>
      </w:pPr>
      <w:r w:rsidRPr="007A26E3">
        <w:t xml:space="preserve">researchers familiarised themselves with the transcripts </w:t>
      </w:r>
    </w:p>
    <w:p w14:paraId="54358358" w14:textId="4B60D7F9" w:rsidR="007A26E3" w:rsidRPr="007A26E3" w:rsidRDefault="007A26E3" w:rsidP="00CF0B9F">
      <w:pPr>
        <w:pStyle w:val="ListParagraph"/>
        <w:numPr>
          <w:ilvl w:val="0"/>
          <w:numId w:val="5"/>
        </w:numPr>
        <w:spacing w:line="480" w:lineRule="auto"/>
      </w:pPr>
      <w:r w:rsidRPr="007A26E3">
        <w:t>codes were developed from the transcript by researchers (</w:t>
      </w:r>
      <w:r w:rsidR="005D0B6E" w:rsidRPr="007A26E3">
        <w:t>notably</w:t>
      </w:r>
      <w:r w:rsidRPr="007A26E3">
        <w:t>, some codes were already taken from existing theoretical constructs around TA (e.g “goals”)</w:t>
      </w:r>
    </w:p>
    <w:p w14:paraId="23FCA1EF" w14:textId="210A7AA6" w:rsidR="007A26E3" w:rsidRPr="007A26E3" w:rsidRDefault="007A26E3" w:rsidP="00CF0B9F">
      <w:pPr>
        <w:pStyle w:val="ListParagraph"/>
        <w:numPr>
          <w:ilvl w:val="0"/>
          <w:numId w:val="5"/>
        </w:numPr>
        <w:spacing w:line="480" w:lineRule="auto"/>
      </w:pPr>
      <w:r w:rsidRPr="007A26E3">
        <w:t>generating initial themes</w:t>
      </w:r>
    </w:p>
    <w:p w14:paraId="2DDD14EF" w14:textId="4092A872" w:rsidR="007A26E3" w:rsidRPr="007A26E3" w:rsidRDefault="007A26E3" w:rsidP="00CF0B9F">
      <w:pPr>
        <w:pStyle w:val="ListParagraph"/>
        <w:numPr>
          <w:ilvl w:val="0"/>
          <w:numId w:val="5"/>
        </w:numPr>
        <w:spacing w:line="480" w:lineRule="auto"/>
      </w:pPr>
      <w:r w:rsidRPr="007A26E3">
        <w:t>themes were reviewed</w:t>
      </w:r>
    </w:p>
    <w:p w14:paraId="1578D6C4" w14:textId="395EB61C" w:rsidR="007A26E3" w:rsidRDefault="007A26E3" w:rsidP="00CF0B9F">
      <w:pPr>
        <w:pStyle w:val="ListParagraph"/>
        <w:numPr>
          <w:ilvl w:val="0"/>
          <w:numId w:val="5"/>
        </w:numPr>
        <w:spacing w:line="480" w:lineRule="auto"/>
      </w:pPr>
      <w:r w:rsidRPr="007A26E3">
        <w:lastRenderedPageBreak/>
        <w:t>themes were defined and named, this included gathering the appropriate quotes to support each theme</w:t>
      </w:r>
    </w:p>
    <w:p w14:paraId="7AC39DD4" w14:textId="1990B0BE" w:rsidR="001E3BD7" w:rsidRDefault="001E3BD7" w:rsidP="00CF0B9F">
      <w:pPr>
        <w:spacing w:line="480" w:lineRule="auto"/>
        <w:jc w:val="center"/>
        <w:rPr>
          <w:b/>
          <w:bCs/>
        </w:rPr>
      </w:pPr>
      <w:r>
        <w:rPr>
          <w:b/>
          <w:bCs/>
        </w:rPr>
        <w:t>Findings</w:t>
      </w:r>
    </w:p>
    <w:p w14:paraId="4CB68EAF" w14:textId="2F8012DA" w:rsidR="001E3BD7" w:rsidRDefault="001E3BD7" w:rsidP="00CF0B9F">
      <w:pPr>
        <w:spacing w:line="480" w:lineRule="auto"/>
      </w:pPr>
      <w:r>
        <w:t>Five themes were identified.</w:t>
      </w:r>
    </w:p>
    <w:p w14:paraId="2B9E9199" w14:textId="77777777" w:rsidR="001E3BD7" w:rsidRPr="001E3BD7" w:rsidRDefault="001E3BD7" w:rsidP="00CF0B9F">
      <w:pPr>
        <w:spacing w:line="480" w:lineRule="auto"/>
      </w:pPr>
      <w:r w:rsidRPr="001E3BD7">
        <w:t>(1) Connection with ‘an other’</w:t>
      </w:r>
    </w:p>
    <w:p w14:paraId="7D446056" w14:textId="77777777" w:rsidR="001E3BD7" w:rsidRPr="001E3BD7" w:rsidRDefault="001E3BD7" w:rsidP="00CF0B9F">
      <w:pPr>
        <w:spacing w:line="480" w:lineRule="auto"/>
      </w:pPr>
      <w:r w:rsidRPr="001E3BD7">
        <w:t>(2) Accessibility</w:t>
      </w:r>
    </w:p>
    <w:p w14:paraId="4330C791" w14:textId="77777777" w:rsidR="001E3BD7" w:rsidRPr="001E3BD7" w:rsidRDefault="001E3BD7" w:rsidP="00CF0B9F">
      <w:pPr>
        <w:spacing w:line="480" w:lineRule="auto"/>
      </w:pPr>
      <w:r w:rsidRPr="001E3BD7">
        <w:t>(3) Choice and Empowerment</w:t>
      </w:r>
    </w:p>
    <w:p w14:paraId="4164D720" w14:textId="77777777" w:rsidR="001E3BD7" w:rsidRPr="001E3BD7" w:rsidRDefault="001E3BD7" w:rsidP="00CF0B9F">
      <w:pPr>
        <w:spacing w:line="480" w:lineRule="auto"/>
      </w:pPr>
      <w:r w:rsidRPr="001E3BD7">
        <w:t xml:space="preserve">(4) Goals and Expectations; </w:t>
      </w:r>
      <w:r w:rsidRPr="001E3BD7">
        <w:rPr>
          <w:i/>
          <w:iCs/>
        </w:rPr>
        <w:t>having lower expectations than in-person support</w:t>
      </w:r>
    </w:p>
    <w:p w14:paraId="764FA7E2" w14:textId="2B5378EE" w:rsidR="00DC5DA2" w:rsidRDefault="001E3BD7" w:rsidP="00CF0B9F">
      <w:pPr>
        <w:spacing w:line="480" w:lineRule="auto"/>
      </w:pPr>
      <w:r w:rsidRPr="001E3BD7">
        <w:t xml:space="preserve">(5) safe place: </w:t>
      </w:r>
      <w:r w:rsidRPr="001E3BD7">
        <w:rPr>
          <w:i/>
          <w:iCs/>
        </w:rPr>
        <w:t>non-judgmental, loyalty, trust</w:t>
      </w:r>
    </w:p>
    <w:p w14:paraId="5B8B7C9D" w14:textId="3E1A61F9" w:rsidR="00FF471B" w:rsidRDefault="00FF471B" w:rsidP="00CF0B9F">
      <w:pPr>
        <w:spacing w:line="480" w:lineRule="auto"/>
        <w:jc w:val="center"/>
        <w:rPr>
          <w:b/>
          <w:bCs/>
        </w:rPr>
      </w:pPr>
      <w:r>
        <w:rPr>
          <w:b/>
          <w:bCs/>
        </w:rPr>
        <w:t>Discussion</w:t>
      </w:r>
    </w:p>
    <w:p w14:paraId="393579AF" w14:textId="653C7619" w:rsidR="00F50488" w:rsidRPr="00FF471B" w:rsidRDefault="00F50488" w:rsidP="00CF0B9F">
      <w:pPr>
        <w:spacing w:line="480" w:lineRule="auto"/>
        <w:rPr>
          <w:b/>
          <w:bCs/>
          <w:i/>
          <w:iCs/>
        </w:rPr>
      </w:pPr>
      <w:r w:rsidRPr="00FF471B">
        <w:rPr>
          <w:b/>
          <w:bCs/>
          <w:i/>
          <w:iCs/>
        </w:rPr>
        <w:t>Interpretations</w:t>
      </w:r>
    </w:p>
    <w:p w14:paraId="5F9441D7" w14:textId="3D96A4D4" w:rsidR="00166428" w:rsidRDefault="00F50488" w:rsidP="00CF0B9F">
      <w:pPr>
        <w:spacing w:line="480" w:lineRule="auto"/>
      </w:pPr>
      <w:r>
        <w:t>Digital therapeutic alliance is nuanced and cannot be fully captured by simply adapting Bordin’s (1979) model.</w:t>
      </w:r>
    </w:p>
    <w:p w14:paraId="7477BFB7" w14:textId="55AED17C" w:rsidR="00166428" w:rsidRPr="00FF471B" w:rsidRDefault="00166428" w:rsidP="00CF0B9F">
      <w:pPr>
        <w:spacing w:line="480" w:lineRule="auto"/>
        <w:rPr>
          <w:i/>
          <w:iCs/>
          <w:u w:val="single"/>
        </w:rPr>
      </w:pPr>
      <w:r w:rsidRPr="00FF471B">
        <w:rPr>
          <w:i/>
          <w:iCs/>
          <w:u w:val="single"/>
        </w:rPr>
        <w:t>Containment</w:t>
      </w:r>
    </w:p>
    <w:p w14:paraId="010B32FF" w14:textId="0C353ED1" w:rsidR="00F50488" w:rsidRDefault="00F50488" w:rsidP="00CF0B9F">
      <w:pPr>
        <w:spacing w:line="480" w:lineRule="auto"/>
      </w:pPr>
      <w:r>
        <w:t>Paper suggests that apps replicate Winnicot’s</w:t>
      </w:r>
      <w:r w:rsidR="00502E0F">
        <w:t xml:space="preserve"> (1953/2005)</w:t>
      </w:r>
      <w:r>
        <w:t xml:space="preserve"> holding environment for emotions, with an “unburdening” effect, comparative to that facilitated by a therapist.</w:t>
      </w:r>
    </w:p>
    <w:p w14:paraId="72E541DB" w14:textId="50C4FCF9" w:rsidR="00F50488" w:rsidRDefault="00F50488" w:rsidP="00CF0B9F">
      <w:pPr>
        <w:spacing w:line="480" w:lineRule="auto"/>
      </w:pPr>
      <w:r>
        <w:t xml:space="preserve">Containment is also possible, users can stay with difficult feelings, and project them </w:t>
      </w:r>
      <w:r w:rsidR="00166428">
        <w:t>i</w:t>
      </w:r>
      <w:r>
        <w:t>nto the</w:t>
      </w:r>
      <w:r w:rsidR="00166428">
        <w:t xml:space="preserve"> safe space of the</w:t>
      </w:r>
      <w:r>
        <w:t xml:space="preserve"> app with no </w:t>
      </w:r>
      <w:r w:rsidR="00B153B7">
        <w:t>judgment or stigma.</w:t>
      </w:r>
      <w:r w:rsidR="00166428">
        <w:t xml:space="preserve"> The paper considers that features which support increasing consistent engagement will allow for containment to most fully benefit users.</w:t>
      </w:r>
    </w:p>
    <w:p w14:paraId="50EF6076" w14:textId="08A9DFBF" w:rsidR="00166428" w:rsidRPr="003A6798" w:rsidRDefault="00B153B7" w:rsidP="00CF0B9F">
      <w:pPr>
        <w:spacing w:line="480" w:lineRule="auto"/>
      </w:pPr>
      <w:r>
        <w:lastRenderedPageBreak/>
        <w:t xml:space="preserve">The paper interprets trust and removal of perceived judgment as facilitators of faster alliance building removing the need to develop rapport with an </w:t>
      </w:r>
      <w:r w:rsidR="005D0B6E">
        <w:t>in-person</w:t>
      </w:r>
      <w:r>
        <w:t xml:space="preserve"> therapist</w:t>
      </w:r>
      <w:r w:rsidR="006515A8">
        <w:t>. However, this raised questions as to the app user’s ability</w:t>
      </w:r>
      <w:r w:rsidR="00723F5E">
        <w:t xml:space="preserve"> to</w:t>
      </w:r>
      <w:r w:rsidR="006515A8">
        <w:t xml:space="preserve"> handle crisis safely when supported only by app use.</w:t>
      </w:r>
    </w:p>
    <w:p w14:paraId="664CB660" w14:textId="33F11806" w:rsidR="00166428" w:rsidRPr="00FF471B" w:rsidRDefault="00166428" w:rsidP="00CF0B9F">
      <w:pPr>
        <w:spacing w:line="480" w:lineRule="auto"/>
        <w:rPr>
          <w:i/>
          <w:iCs/>
          <w:u w:val="single"/>
        </w:rPr>
      </w:pPr>
      <w:r w:rsidRPr="00FF471B">
        <w:rPr>
          <w:i/>
          <w:iCs/>
          <w:u w:val="single"/>
        </w:rPr>
        <w:t>Goals</w:t>
      </w:r>
    </w:p>
    <w:p w14:paraId="77213FCE" w14:textId="361A313B" w:rsidR="00166428" w:rsidRDefault="00166428" w:rsidP="00CF0B9F">
      <w:pPr>
        <w:spacing w:line="480" w:lineRule="auto"/>
      </w:pPr>
      <w:r>
        <w:t xml:space="preserve">The paper indicates that users establish alliance by having realistic and short-term goals from the outset. </w:t>
      </w:r>
    </w:p>
    <w:p w14:paraId="63570B18" w14:textId="0FF48C73" w:rsidR="00B153B7" w:rsidRDefault="00166428" w:rsidP="00CF0B9F">
      <w:pPr>
        <w:spacing w:line="480" w:lineRule="auto"/>
      </w:pPr>
      <w:r>
        <w:t>Goals can be achieved collaboratively with an app through process-oriented features, such as mood or habit tracking functions with tailored aspects based on the user’s inputs and choice.</w:t>
      </w:r>
    </w:p>
    <w:p w14:paraId="59644246" w14:textId="60D726E9" w:rsidR="00B153B7" w:rsidRPr="00FF471B" w:rsidRDefault="00B153B7" w:rsidP="00CF0B9F">
      <w:pPr>
        <w:spacing w:line="480" w:lineRule="auto"/>
        <w:rPr>
          <w:i/>
          <w:iCs/>
          <w:u w:val="single"/>
        </w:rPr>
      </w:pPr>
      <w:r w:rsidRPr="00FF471B">
        <w:rPr>
          <w:i/>
          <w:iCs/>
          <w:u w:val="single"/>
        </w:rPr>
        <w:t>Accessibility</w:t>
      </w:r>
    </w:p>
    <w:p w14:paraId="50216777" w14:textId="1A90C0E7" w:rsidR="00B153B7" w:rsidRDefault="00B153B7" w:rsidP="00CF0B9F">
      <w:pPr>
        <w:spacing w:line="480" w:lineRule="auto"/>
      </w:pPr>
      <w:r>
        <w:t>Ease of use and availability on demand were interpreted as important in fostering alliance development.</w:t>
      </w:r>
    </w:p>
    <w:p w14:paraId="7A0129A3" w14:textId="0C0DDAB1" w:rsidR="00B153B7" w:rsidRDefault="00B153B7" w:rsidP="00CF0B9F">
      <w:pPr>
        <w:spacing w:line="480" w:lineRule="auto"/>
      </w:pPr>
      <w:r>
        <w:t>Choice and agency emerged as elements which gave users perceived power and ownership over their MH difficulties.</w:t>
      </w:r>
    </w:p>
    <w:p w14:paraId="687F427A" w14:textId="4F9AF2D1" w:rsidR="00166428" w:rsidRDefault="00B153B7" w:rsidP="00CF0B9F">
      <w:pPr>
        <w:spacing w:line="480" w:lineRule="auto"/>
      </w:pPr>
      <w:r>
        <w:t>Accessibility on user’s own terms was perceived as fostering greater accountability in the user, most notable when considering stages of change models such as Prochaska and Di Climente</w:t>
      </w:r>
      <w:r w:rsidR="00502E0F">
        <w:t xml:space="preserve"> (1983)</w:t>
      </w:r>
      <w:r>
        <w:t xml:space="preserve">. </w:t>
      </w:r>
    </w:p>
    <w:p w14:paraId="7A14CD35" w14:textId="6AC9AFED" w:rsidR="00F50488" w:rsidRPr="00FF471B" w:rsidRDefault="006515A8" w:rsidP="00CF0B9F">
      <w:pPr>
        <w:spacing w:line="480" w:lineRule="auto"/>
        <w:rPr>
          <w:b/>
          <w:bCs/>
          <w:i/>
          <w:iCs/>
        </w:rPr>
      </w:pPr>
      <w:r w:rsidRPr="00FF471B">
        <w:rPr>
          <w:b/>
          <w:bCs/>
          <w:i/>
          <w:iCs/>
        </w:rPr>
        <w:t>Implications</w:t>
      </w:r>
    </w:p>
    <w:p w14:paraId="2F0E2C69" w14:textId="03FB5192" w:rsidR="00BF3899" w:rsidRDefault="00BF3899" w:rsidP="00CF0B9F">
      <w:pPr>
        <w:spacing w:line="480" w:lineRule="auto"/>
      </w:pPr>
      <w:r>
        <w:t>DHI apps should be designed with sound theoretical basis outlining their research</w:t>
      </w:r>
      <w:r w:rsidR="002A35E6">
        <w:t>-</w:t>
      </w:r>
      <w:r>
        <w:t>based model for promoting therapeutic change.</w:t>
      </w:r>
    </w:p>
    <w:p w14:paraId="2AEBF37B" w14:textId="4C0279A7" w:rsidR="00BF3899" w:rsidRDefault="00BF3899" w:rsidP="00CF0B9F">
      <w:pPr>
        <w:spacing w:line="480" w:lineRule="auto"/>
      </w:pPr>
      <w:r>
        <w:lastRenderedPageBreak/>
        <w:t>This design should prioritise ease of use, incorporate human voice features, profile customization, goals setting and individualised interventions intended to promote ongoing engagement.</w:t>
      </w:r>
    </w:p>
    <w:p w14:paraId="08F7A05B" w14:textId="3FDDB552" w:rsidR="00BF3899" w:rsidRDefault="002A35E6" w:rsidP="00CF0B9F">
      <w:pPr>
        <w:spacing w:line="480" w:lineRule="auto"/>
      </w:pPr>
      <w:r>
        <w:t>DHI via smartphone apps should be particularly targeted towards those who experience barriers to accessing reliable in-person support.</w:t>
      </w:r>
    </w:p>
    <w:p w14:paraId="44038C00" w14:textId="02D632A3" w:rsidR="002A35E6" w:rsidRDefault="002A35E6" w:rsidP="00CF0B9F">
      <w:pPr>
        <w:spacing w:line="480" w:lineRule="auto"/>
      </w:pPr>
      <w:r>
        <w:t>Further research is needed to replicate these findings.</w:t>
      </w:r>
    </w:p>
    <w:p w14:paraId="4DD16632" w14:textId="2FC2D0D0" w:rsidR="002A35E6" w:rsidRPr="00FF471B" w:rsidRDefault="002A35E6" w:rsidP="00CF0B9F">
      <w:pPr>
        <w:spacing w:line="480" w:lineRule="auto"/>
        <w:rPr>
          <w:b/>
          <w:bCs/>
          <w:i/>
          <w:iCs/>
        </w:rPr>
      </w:pPr>
      <w:r w:rsidRPr="00FF471B">
        <w:rPr>
          <w:b/>
          <w:bCs/>
          <w:i/>
          <w:iCs/>
        </w:rPr>
        <w:t>Critique</w:t>
      </w:r>
    </w:p>
    <w:p w14:paraId="1D35D81A" w14:textId="67A98F07" w:rsidR="0071742C" w:rsidRPr="0071742C" w:rsidRDefault="0071742C" w:rsidP="00CF0B9F">
      <w:pPr>
        <w:spacing w:line="480" w:lineRule="auto"/>
      </w:pPr>
      <w:r>
        <w:t xml:space="preserve">A strength identified in this paper is the deliberately comprehensive sampling of marginalised groups to understand their experience of DHI use. As this client population is often considered as isolated and less likely to benefit from MH intervention, then deliberate sourcing of user experience in these groups is beneficial to wider understanding of these clients. </w:t>
      </w:r>
    </w:p>
    <w:p w14:paraId="0A34021D" w14:textId="2A2AA6FA" w:rsidR="0038488D" w:rsidRDefault="0038488D" w:rsidP="00CF0B9F">
      <w:pPr>
        <w:spacing w:line="480" w:lineRule="auto"/>
      </w:pPr>
      <w:r>
        <w:t xml:space="preserve">This paper highlights that following the pandemic, the strain on services has led to great difficulty in providing appropriate mental health support, available at the point of need. The paper’s inquiry aims to identify whether the therapeutic alliance can be seen as replicated in the digital alliance in the experiences of service users, and whether understanding of elements promoting engagement could prove beneficial to reducing attrition rates. </w:t>
      </w:r>
    </w:p>
    <w:p w14:paraId="7F19846F" w14:textId="2F2EC8FC" w:rsidR="0038488D" w:rsidRDefault="0038488D" w:rsidP="00CF0B9F">
      <w:pPr>
        <w:spacing w:line="480" w:lineRule="auto"/>
      </w:pPr>
      <w:r>
        <w:t>There is, however, real critique to be made of whether Digital Health Interventions in the form of apps are meeting the</w:t>
      </w:r>
      <w:r w:rsidR="0050198D">
        <w:t xml:space="preserve"> </w:t>
      </w:r>
      <w:r w:rsidR="00EE5D4D">
        <w:t>National Health Service (</w:t>
      </w:r>
      <w:r w:rsidR="0050198D">
        <w:t>NHS</w:t>
      </w:r>
      <w:r w:rsidR="00EE5D4D">
        <w:t>)</w:t>
      </w:r>
      <w:r>
        <w:t xml:space="preserve"> standards of provision. In this sense, the</w:t>
      </w:r>
      <w:r w:rsidR="008B20E4">
        <w:t xml:space="preserve"> inclusion</w:t>
      </w:r>
      <w:r>
        <w:t xml:space="preserve"> of </w:t>
      </w:r>
      <w:r w:rsidR="00EE5D4D">
        <w:t>National Institute for Health and Care Excellence (</w:t>
      </w:r>
      <w:r>
        <w:t>NICE</w:t>
      </w:r>
      <w:r w:rsidR="00EE5D4D">
        <w:t>)</w:t>
      </w:r>
      <w:r>
        <w:t xml:space="preserve"> guidance around DHI’s</w:t>
      </w:r>
      <w:r w:rsidR="00502E0F">
        <w:t xml:space="preserve"> (</w:t>
      </w:r>
      <w:r w:rsidR="00EE5D4D">
        <w:t xml:space="preserve">NICE, </w:t>
      </w:r>
      <w:r w:rsidR="00502E0F">
        <w:t>2022)</w:t>
      </w:r>
      <w:r>
        <w:t xml:space="preserve"> as well as details of availability and signposting to </w:t>
      </w:r>
      <w:r>
        <w:lastRenderedPageBreak/>
        <w:t>users</w:t>
      </w:r>
      <w:r w:rsidR="0050198D">
        <w:t xml:space="preserve"> by healthcare professionals</w:t>
      </w:r>
      <w:r>
        <w:t xml:space="preserve">, </w:t>
      </w:r>
      <w:r w:rsidR="0050198D">
        <w:t xml:space="preserve">might provide additional information which would inform around DHI attrition. </w:t>
      </w:r>
      <w:r w:rsidR="005627DD">
        <w:t>The participant gathering information for this study omits to ascertain how users learned of the apps used and whether they were signposted to them by MH professionals.</w:t>
      </w:r>
    </w:p>
    <w:p w14:paraId="2A399E1D" w14:textId="3A2754E0" w:rsidR="0050198D" w:rsidRDefault="0050198D" w:rsidP="00CF0B9F">
      <w:pPr>
        <w:spacing w:line="480" w:lineRule="auto"/>
      </w:pPr>
      <w:r>
        <w:t xml:space="preserve">The </w:t>
      </w:r>
      <w:r w:rsidR="001D5B86">
        <w:t>British Association for Counselling and Psychotherapy (</w:t>
      </w:r>
      <w:r>
        <w:t>BACP</w:t>
      </w:r>
      <w:r w:rsidR="001D5B86">
        <w:t>)</w:t>
      </w:r>
      <w:r>
        <w:t xml:space="preserve"> does not produce guidance specifically regarding DHI’s, and in fact, highlights the necessary nature of human guidance and oversight in all therapeutic work with vulnerable clients</w:t>
      </w:r>
      <w:r w:rsidR="001D5B86">
        <w:t xml:space="preserve"> (BACP, 2019)</w:t>
      </w:r>
      <w:r>
        <w:t xml:space="preserve">. More specific guidance from the BACP around signposting might impact studies which seek to draw parallels between the therapeutic alliance as found in person as opposed to standalone apps. </w:t>
      </w:r>
    </w:p>
    <w:p w14:paraId="26EBF6B4" w14:textId="77777777" w:rsidR="0050198D" w:rsidRDefault="0050198D" w:rsidP="00CF0B9F">
      <w:pPr>
        <w:spacing w:line="480" w:lineRule="auto"/>
      </w:pPr>
    </w:p>
    <w:p w14:paraId="2D8B2F96" w14:textId="7DB56FAA" w:rsidR="0050198D" w:rsidRDefault="0050198D" w:rsidP="00CF0B9F">
      <w:pPr>
        <w:spacing w:line="480" w:lineRule="auto"/>
      </w:pPr>
      <w:r>
        <w:t>The NHS lists for apps are not equally accessible in different regions and different local health boards and NHS trusts have their own approaches and information available</w:t>
      </w:r>
      <w:r w:rsidR="007F584E">
        <w:t xml:space="preserve"> (</w:t>
      </w:r>
      <w:r w:rsidR="007F584E">
        <w:t>Cheshire and Merseyside NHS Trust, n.d.</w:t>
      </w:r>
      <w:r w:rsidR="007F584E">
        <w:t>; Cumbria, Northumberland, Tyne and Wear NHS Trust, 2023</w:t>
      </w:r>
      <w:r w:rsidR="007F584E">
        <w:t>)</w:t>
      </w:r>
      <w:r>
        <w:t>. Cheshire and Merseyside</w:t>
      </w:r>
      <w:r w:rsidR="007F584E">
        <w:t xml:space="preserve"> (Cheshire and Merseyside NHS Trust, n.d.)</w:t>
      </w:r>
      <w:r>
        <w:t xml:space="preserve"> have a searchable information page outlining cost, </w:t>
      </w:r>
      <w:r w:rsidR="003118AB">
        <w:t>categories and descriptions of digital apps but the NHS nationwide app library</w:t>
      </w:r>
      <w:r w:rsidR="007F584E">
        <w:t xml:space="preserve"> (NHS, 2025)</w:t>
      </w:r>
      <w:r w:rsidR="003118AB">
        <w:t xml:space="preserve"> was decommissioned in 2021. Articles from 2015 </w:t>
      </w:r>
      <w:r w:rsidR="007F584E">
        <w:t>(</w:t>
      </w:r>
      <w:r w:rsidR="00475B8D">
        <w:t xml:space="preserve">Meek, 2015; Tsekleves, 2015) </w:t>
      </w:r>
      <w:r w:rsidR="003118AB">
        <w:t>suggest that data management policies of certain apps were in breach of patients’ rights to privacy and data protection with their information being sold on or not kept securely. Reservations were also made clear regarding the research foundations of many apps claiming to have mental health impact</w:t>
      </w:r>
      <w:r w:rsidR="00A87D40">
        <w:t xml:space="preserve"> </w:t>
      </w:r>
      <w:r w:rsidR="00A87D40">
        <w:t>(Meek, 2015; Tsekleves, 2015)</w:t>
      </w:r>
      <w:r w:rsidR="003118AB">
        <w:t>.</w:t>
      </w:r>
    </w:p>
    <w:p w14:paraId="71B23914" w14:textId="791A87CF" w:rsidR="003118AB" w:rsidRDefault="00C137D4" w:rsidP="00CF0B9F">
      <w:pPr>
        <w:spacing w:line="480" w:lineRule="auto"/>
      </w:pPr>
      <w:r>
        <w:lastRenderedPageBreak/>
        <w:t>NICE guidance</w:t>
      </w:r>
      <w:r w:rsidR="00E30EB6">
        <w:t xml:space="preserve"> (NICE, 2022)</w:t>
      </w:r>
      <w:r>
        <w:t xml:space="preserve"> regarding SaMD (software as a medical device)</w:t>
      </w:r>
      <w:r w:rsidR="00E30EB6">
        <w:t xml:space="preserve"> (International Medical Device Regulators Forum [IMDRF], 2014)</w:t>
      </w:r>
      <w:r>
        <w:t xml:space="preserve"> specifically urges caution around the use of digital apps as treatment for mental health conditions. Guidance outlines limitations of the clinical evidence base regarding digital interventions and highlights the risks associated with SaMD use for vulnerable users in crisis or users with barriers to understanding</w:t>
      </w:r>
      <w:r w:rsidR="00813641">
        <w:t xml:space="preserve"> (IMDRF, 2014; NICE, 2022)</w:t>
      </w:r>
      <w:r>
        <w:t>. Practitioners are urged to consider whether SaMD use could create hazardous situations to patients if unsupervised</w:t>
      </w:r>
      <w:r w:rsidR="00813641">
        <w:t xml:space="preserve"> </w:t>
      </w:r>
      <w:r w:rsidR="00813641">
        <w:t>(IMDRF, 2014; NICE, 2022)</w:t>
      </w:r>
      <w:r>
        <w:t>. SaMD use is only considered for use in cases of complexity, severity or risk when there is a clear barrier to other more suitable guidance and support</w:t>
      </w:r>
      <w:r w:rsidR="00813641">
        <w:t xml:space="preserve"> </w:t>
      </w:r>
      <w:r w:rsidR="00813641">
        <w:t>(IMDRF, 2014; NICE, 2022)</w:t>
      </w:r>
      <w:r>
        <w:t xml:space="preserve">. Assessment of suitability is at the centre of NICE guidance and the article’s lack of information regarding routes to DHI use is in need of further exploration. </w:t>
      </w:r>
    </w:p>
    <w:p w14:paraId="0AEE1CDB" w14:textId="64CFE07E" w:rsidR="00581E94" w:rsidRDefault="00581E94" w:rsidP="00CF0B9F">
      <w:pPr>
        <w:spacing w:line="480" w:lineRule="auto"/>
      </w:pPr>
      <w:r>
        <w:t>This paper deliberately examines continued engagement and attrition rates in app use</w:t>
      </w:r>
      <w:r w:rsidR="008B20E4">
        <w:t>.</w:t>
      </w:r>
      <w:r>
        <w:t xml:space="preserve"> </w:t>
      </w:r>
      <w:r w:rsidR="008B20E4">
        <w:t>More exploration</w:t>
      </w:r>
      <w:r>
        <w:t xml:space="preserve"> in </w:t>
      </w:r>
      <w:r w:rsidR="00A032E5">
        <w:t xml:space="preserve">clarifying routes to app use and </w:t>
      </w:r>
      <w:r w:rsidR="008B20E4">
        <w:t xml:space="preserve">the </w:t>
      </w:r>
      <w:r w:rsidR="00A032E5">
        <w:t>suitability of app use for mental health difficulty of different forms</w:t>
      </w:r>
      <w:r w:rsidR="00BD3DE1">
        <w:t xml:space="preserve"> would be beneficial</w:t>
      </w:r>
      <w:r w:rsidR="00A032E5">
        <w:t>. In conflict of interest</w:t>
      </w:r>
      <w:r w:rsidR="00BD3DE1">
        <w:t>,</w:t>
      </w:r>
      <w:r w:rsidR="00A032E5">
        <w:t xml:space="preserve"> researcher SB identifies their own shareholder and director status at a DHI development and marketing ltd. </w:t>
      </w:r>
      <w:r w:rsidR="008B20E4">
        <w:t>c</w:t>
      </w:r>
      <w:r w:rsidR="00A032E5">
        <w:t>ompany</w:t>
      </w:r>
      <w:r w:rsidR="008B20E4">
        <w:t xml:space="preserve">. </w:t>
      </w:r>
    </w:p>
    <w:p w14:paraId="72521EE0" w14:textId="24A8E095" w:rsidR="00834CFE" w:rsidRDefault="00BD3DE1" w:rsidP="00CF0B9F">
      <w:pPr>
        <w:spacing w:line="480" w:lineRule="auto"/>
      </w:pPr>
      <w:r>
        <w:t>This paper is founded on the potential that therapeutic alliance can be transferable to DHI’s. Counselling modalities such as person-centred counselling would refute the notion that the core conditions of empathy, UPR and congruence could be replicated</w:t>
      </w:r>
      <w:r w:rsidR="00C619B3">
        <w:t xml:space="preserve"> (Rogers, 1957)</w:t>
      </w:r>
      <w:r>
        <w:t xml:space="preserve"> by DHI’s</w:t>
      </w:r>
      <w:r w:rsidR="00593301">
        <w:t>. O</w:t>
      </w:r>
      <w:r>
        <w:t>ther modalities, likewise, such a psychodynamic, existential, relational, all contain foundational elements extremely unlikely to be represented in DHI experiences.</w:t>
      </w:r>
    </w:p>
    <w:p w14:paraId="24B56E3F" w14:textId="235A720C" w:rsidR="00834CFE" w:rsidRDefault="00834CFE" w:rsidP="00CF0B9F">
      <w:pPr>
        <w:spacing w:line="480" w:lineRule="auto"/>
        <w:jc w:val="center"/>
        <w:rPr>
          <w:b/>
          <w:bCs/>
        </w:rPr>
      </w:pPr>
      <w:r w:rsidRPr="003A6798">
        <w:rPr>
          <w:b/>
          <w:bCs/>
        </w:rPr>
        <w:lastRenderedPageBreak/>
        <w:t>Conclusion</w:t>
      </w:r>
    </w:p>
    <w:p w14:paraId="73E045A2" w14:textId="32C53833" w:rsidR="003A6798" w:rsidRPr="003A6798" w:rsidRDefault="003A6798" w:rsidP="00CF0B9F">
      <w:pPr>
        <w:spacing w:line="480" w:lineRule="auto"/>
        <w:rPr>
          <w:b/>
          <w:bCs/>
          <w:i/>
          <w:iCs/>
        </w:rPr>
      </w:pPr>
      <w:r>
        <w:rPr>
          <w:b/>
          <w:bCs/>
          <w:i/>
          <w:iCs/>
        </w:rPr>
        <w:t>Key Points</w:t>
      </w:r>
    </w:p>
    <w:p w14:paraId="2C504A3A" w14:textId="44489A34" w:rsidR="00834CFE" w:rsidRDefault="006A39FD" w:rsidP="00CF0B9F">
      <w:pPr>
        <w:spacing w:line="480" w:lineRule="auto"/>
      </w:pPr>
      <w:r>
        <w:t>This paper examines user experience of experiencing therapeutic alliance in DHI’s examining elements which constitute a DTA or digital therapeutic alliance.</w:t>
      </w:r>
    </w:p>
    <w:p w14:paraId="7048B8EC" w14:textId="312C1E62" w:rsidR="006A39FD" w:rsidRDefault="006A39FD" w:rsidP="00CF0B9F">
      <w:pPr>
        <w:spacing w:line="480" w:lineRule="auto"/>
      </w:pPr>
      <w:r>
        <w:t xml:space="preserve">Elements which were identified as facilitating strong DTA were, connection with another through emotional containment, accessibility choice and empowerment, goals and </w:t>
      </w:r>
      <w:r w:rsidR="00A7624F">
        <w:t>expectancies</w:t>
      </w:r>
      <w:r>
        <w:t xml:space="preserve"> and provision of a safe space.</w:t>
      </w:r>
    </w:p>
    <w:p w14:paraId="373036D6" w14:textId="3B479ECD" w:rsidR="003A6798" w:rsidRDefault="006A39FD" w:rsidP="00CF0B9F">
      <w:pPr>
        <w:spacing w:line="480" w:lineRule="auto"/>
      </w:pPr>
      <w:r>
        <w:t>Recommendations for development of DHI’s accordingly highlighted the possibility to utilise adapt apps to include user friendly and personable interfaces, even the use of human voice interaction, choice and control, building of goal features and functionality tailored by user input.</w:t>
      </w:r>
    </w:p>
    <w:p w14:paraId="3EA224ED" w14:textId="66E64837" w:rsidR="003A6798" w:rsidRPr="003A6798" w:rsidRDefault="003A6798" w:rsidP="00CF0B9F">
      <w:pPr>
        <w:spacing w:line="480" w:lineRule="auto"/>
        <w:rPr>
          <w:b/>
          <w:bCs/>
          <w:i/>
          <w:iCs/>
        </w:rPr>
      </w:pPr>
      <w:r>
        <w:rPr>
          <w:b/>
          <w:bCs/>
          <w:i/>
          <w:iCs/>
        </w:rPr>
        <w:t>Future Directions, Unanswered Questions.</w:t>
      </w:r>
    </w:p>
    <w:p w14:paraId="507BD8B4" w14:textId="76E6E675" w:rsidR="006A39FD" w:rsidRDefault="006A39FD" w:rsidP="00CF0B9F">
      <w:pPr>
        <w:spacing w:line="480" w:lineRule="auto"/>
      </w:pPr>
      <w:r>
        <w:t xml:space="preserve">Whilst the paper highlights the need for DHI development to progress alongside evidence-based research, critique of this paper would highlight that more research is required to understand how DHI’s exist within a user’s engagement with mental health professionals and a healthcare system responsible for meeting their needs. More examination is needed as to whether DHI’s can </w:t>
      </w:r>
      <w:r w:rsidR="00F02603">
        <w:t>responsibly provide MH intervention with comparable standards as outlined in NICE guidance for mental health professionals</w:t>
      </w:r>
      <w:r w:rsidR="00686EA5">
        <w:t xml:space="preserve"> (NICE, 2022)</w:t>
      </w:r>
      <w:r w:rsidR="00F02603">
        <w:t xml:space="preserve">. </w:t>
      </w:r>
    </w:p>
    <w:p w14:paraId="137F6124" w14:textId="3A084E97" w:rsidR="00C137D4" w:rsidRPr="0038488D" w:rsidRDefault="00F02603" w:rsidP="00CF0B9F">
      <w:pPr>
        <w:spacing w:line="480" w:lineRule="auto"/>
      </w:pPr>
      <w:r>
        <w:t xml:space="preserve">More inquiry as to the routes to use and accessibility of standalone apps and most importantly, the safety and suitability of DHI’s for vulnerable people would be responsible to gain a clear view of where DHI’s can or should meet need in a system </w:t>
      </w:r>
      <w:r>
        <w:lastRenderedPageBreak/>
        <w:t>under strain.</w:t>
      </w:r>
      <w:r w:rsidR="00A7624F">
        <w:t xml:space="preserve"> As the BACP recommends DHI’s should be a supplement to counselling or therapy for those with MH difficulties, not a replacement</w:t>
      </w:r>
      <w:r w:rsidR="00686EA5">
        <w:t xml:space="preserve"> (BACP, 2019)</w:t>
      </w:r>
      <w:r w:rsidR="00A7624F">
        <w:t>.</w:t>
      </w:r>
    </w:p>
    <w:p w14:paraId="46E69659" w14:textId="77777777" w:rsidR="006515A8" w:rsidRDefault="006515A8" w:rsidP="00CF0B9F">
      <w:pPr>
        <w:spacing w:line="480" w:lineRule="auto"/>
      </w:pPr>
    </w:p>
    <w:p w14:paraId="02D190EC" w14:textId="77777777" w:rsidR="00F50488" w:rsidRDefault="00F50488" w:rsidP="00CF0B9F">
      <w:pPr>
        <w:spacing w:line="480" w:lineRule="auto"/>
      </w:pPr>
    </w:p>
    <w:p w14:paraId="2C0AB64E" w14:textId="77777777" w:rsidR="00904B93" w:rsidRDefault="00904B93" w:rsidP="00CF0B9F">
      <w:pPr>
        <w:spacing w:after="0" w:line="480" w:lineRule="auto"/>
        <w:jc w:val="center"/>
      </w:pPr>
    </w:p>
    <w:p w14:paraId="5B1607FD" w14:textId="77777777" w:rsidR="00904B93" w:rsidRDefault="00904B93" w:rsidP="00CF0B9F">
      <w:pPr>
        <w:spacing w:after="0" w:line="480" w:lineRule="auto"/>
        <w:jc w:val="center"/>
      </w:pPr>
    </w:p>
    <w:p w14:paraId="09D2D18F" w14:textId="77777777" w:rsidR="00904B93" w:rsidRDefault="00904B93" w:rsidP="00CF0B9F">
      <w:pPr>
        <w:spacing w:after="0" w:line="480" w:lineRule="auto"/>
        <w:jc w:val="center"/>
      </w:pPr>
    </w:p>
    <w:p w14:paraId="4EFD5722" w14:textId="77777777" w:rsidR="00904B93" w:rsidRDefault="00904B93" w:rsidP="00CF0B9F">
      <w:pPr>
        <w:spacing w:after="0" w:line="480" w:lineRule="auto"/>
        <w:jc w:val="center"/>
      </w:pPr>
    </w:p>
    <w:p w14:paraId="1466C2EC" w14:textId="77777777" w:rsidR="00904B93" w:rsidRDefault="00904B93" w:rsidP="00CF0B9F">
      <w:pPr>
        <w:spacing w:after="0" w:line="480" w:lineRule="auto"/>
        <w:jc w:val="center"/>
      </w:pPr>
    </w:p>
    <w:p w14:paraId="3CB1B708" w14:textId="77777777" w:rsidR="00904B93" w:rsidRDefault="00904B93" w:rsidP="00CF0B9F">
      <w:pPr>
        <w:spacing w:after="0" w:line="480" w:lineRule="auto"/>
        <w:jc w:val="center"/>
      </w:pPr>
    </w:p>
    <w:p w14:paraId="6B086C8A" w14:textId="77777777" w:rsidR="00904B93" w:rsidRDefault="00904B93" w:rsidP="00CF0B9F">
      <w:pPr>
        <w:spacing w:after="0" w:line="480" w:lineRule="auto"/>
        <w:jc w:val="center"/>
      </w:pPr>
    </w:p>
    <w:p w14:paraId="4652B2BD" w14:textId="77777777" w:rsidR="00904B93" w:rsidRDefault="00904B93" w:rsidP="00CF0B9F">
      <w:pPr>
        <w:spacing w:after="0" w:line="480" w:lineRule="auto"/>
        <w:jc w:val="center"/>
      </w:pPr>
    </w:p>
    <w:p w14:paraId="26CCAB7F" w14:textId="77777777" w:rsidR="00904B93" w:rsidRDefault="00904B93" w:rsidP="00CF0B9F">
      <w:pPr>
        <w:spacing w:after="0" w:line="480" w:lineRule="auto"/>
        <w:jc w:val="center"/>
      </w:pPr>
    </w:p>
    <w:p w14:paraId="51AF0716" w14:textId="77777777" w:rsidR="00904B93" w:rsidRDefault="00904B93" w:rsidP="00CF0B9F">
      <w:pPr>
        <w:spacing w:after="0" w:line="480" w:lineRule="auto"/>
        <w:jc w:val="center"/>
      </w:pPr>
    </w:p>
    <w:p w14:paraId="6902EE58" w14:textId="77777777" w:rsidR="00904B93" w:rsidRDefault="00904B93" w:rsidP="00CF0B9F">
      <w:pPr>
        <w:spacing w:after="0" w:line="480" w:lineRule="auto"/>
        <w:jc w:val="center"/>
      </w:pPr>
    </w:p>
    <w:p w14:paraId="0055F5BD" w14:textId="77777777" w:rsidR="00904B93" w:rsidRDefault="00904B93" w:rsidP="00CF0B9F">
      <w:pPr>
        <w:spacing w:after="0" w:line="480" w:lineRule="auto"/>
        <w:jc w:val="center"/>
      </w:pPr>
    </w:p>
    <w:p w14:paraId="11A67923" w14:textId="77777777" w:rsidR="00904B93" w:rsidRDefault="00904B93" w:rsidP="00CF0B9F">
      <w:pPr>
        <w:spacing w:after="0" w:line="480" w:lineRule="auto"/>
        <w:jc w:val="center"/>
      </w:pPr>
    </w:p>
    <w:p w14:paraId="24F68FD2" w14:textId="77777777" w:rsidR="00904B93" w:rsidRDefault="00904B93" w:rsidP="00CF0B9F">
      <w:pPr>
        <w:spacing w:after="0" w:line="480" w:lineRule="auto"/>
        <w:jc w:val="center"/>
      </w:pPr>
    </w:p>
    <w:p w14:paraId="47734EDB" w14:textId="77777777" w:rsidR="00904B93" w:rsidRDefault="00904B93" w:rsidP="00CF0B9F">
      <w:pPr>
        <w:spacing w:after="0" w:line="480" w:lineRule="auto"/>
        <w:jc w:val="center"/>
      </w:pPr>
    </w:p>
    <w:p w14:paraId="30166200" w14:textId="77777777" w:rsidR="00904B93" w:rsidRDefault="00904B93" w:rsidP="00CF0B9F">
      <w:pPr>
        <w:spacing w:after="0" w:line="480" w:lineRule="auto"/>
        <w:jc w:val="center"/>
      </w:pPr>
    </w:p>
    <w:p w14:paraId="3CA494A8" w14:textId="77777777" w:rsidR="00904B93" w:rsidRDefault="00904B93" w:rsidP="00CF0B9F">
      <w:pPr>
        <w:spacing w:after="0" w:line="480" w:lineRule="auto"/>
        <w:jc w:val="center"/>
      </w:pPr>
    </w:p>
    <w:p w14:paraId="08ED9417" w14:textId="77777777" w:rsidR="00904B93" w:rsidRDefault="00904B93" w:rsidP="00CF0B9F">
      <w:pPr>
        <w:spacing w:after="0" w:line="480" w:lineRule="auto"/>
      </w:pPr>
    </w:p>
    <w:p w14:paraId="0E5CD9D7" w14:textId="77777777" w:rsidR="00CF0B9F" w:rsidRDefault="00CF0B9F" w:rsidP="00CF0B9F">
      <w:pPr>
        <w:spacing w:after="0" w:line="480" w:lineRule="auto"/>
      </w:pPr>
    </w:p>
    <w:p w14:paraId="38F33DD3" w14:textId="0AE8EB2B" w:rsidR="00E55311" w:rsidRPr="00481177" w:rsidRDefault="00E55311" w:rsidP="00481177">
      <w:pPr>
        <w:spacing w:after="0" w:line="480" w:lineRule="auto"/>
        <w:jc w:val="center"/>
        <w:rPr>
          <w:b/>
          <w:bCs/>
        </w:rPr>
      </w:pPr>
      <w:r w:rsidRPr="00481177">
        <w:rPr>
          <w:b/>
          <w:bCs/>
        </w:rPr>
        <w:lastRenderedPageBreak/>
        <w:t>References</w:t>
      </w:r>
    </w:p>
    <w:p w14:paraId="66979580" w14:textId="77777777" w:rsidR="00E55311" w:rsidRPr="00E55311" w:rsidRDefault="00E55311" w:rsidP="00CF0B9F">
      <w:pPr>
        <w:spacing w:after="0" w:line="480" w:lineRule="auto"/>
        <w:ind w:left="851" w:hanging="851"/>
      </w:pPr>
      <w:r w:rsidRPr="00E55311">
        <w:t xml:space="preserve">British Association for Counselling and Psychotherapy. (2019). </w:t>
      </w:r>
      <w:r w:rsidRPr="00E55311">
        <w:rPr>
          <w:i/>
          <w:iCs/>
        </w:rPr>
        <w:t xml:space="preserve">Using digital technology in counselling professions. </w:t>
      </w:r>
      <w:r w:rsidRPr="00E55311">
        <w:t xml:space="preserve">BACP. </w:t>
      </w:r>
      <w:hyperlink r:id="rId8" w:history="1">
        <w:r w:rsidRPr="00E55311">
          <w:rPr>
            <w:rStyle w:val="Hyperlink"/>
          </w:rPr>
          <w:t>https://www.bacp.co.uk/media/6308/bacp-using-digital-technology-in-counselling-professions-research-overview-gpia107-july2019.pdf</w:t>
        </w:r>
      </w:hyperlink>
      <w:r w:rsidRPr="00E55311">
        <w:t xml:space="preserve"> </w:t>
      </w:r>
    </w:p>
    <w:p w14:paraId="604F4523" w14:textId="77777777" w:rsidR="00E55311" w:rsidRPr="00E55311" w:rsidRDefault="00E55311" w:rsidP="00CF0B9F">
      <w:pPr>
        <w:spacing w:after="0" w:line="480" w:lineRule="auto"/>
        <w:ind w:left="851" w:hanging="851"/>
      </w:pPr>
    </w:p>
    <w:p w14:paraId="5C1C304C" w14:textId="77777777" w:rsidR="00E55311" w:rsidRPr="00E55311" w:rsidRDefault="00E55311" w:rsidP="00CF0B9F">
      <w:pPr>
        <w:spacing w:after="0" w:line="480" w:lineRule="auto"/>
        <w:ind w:left="851" w:hanging="851"/>
      </w:pPr>
    </w:p>
    <w:p w14:paraId="4075B29E" w14:textId="77777777" w:rsidR="00E55311" w:rsidRPr="00E55311" w:rsidRDefault="00E55311" w:rsidP="00CF0B9F">
      <w:pPr>
        <w:spacing w:after="0" w:line="480" w:lineRule="auto"/>
        <w:ind w:left="851" w:hanging="851"/>
      </w:pPr>
      <w:r w:rsidRPr="00E55311">
        <w:t>Braun, V., &amp; Clarke, V. (2019). Reflecting on reflexive thematic analysis. </w:t>
      </w:r>
      <w:r w:rsidRPr="00E55311">
        <w:rPr>
          <w:i/>
          <w:iCs/>
        </w:rPr>
        <w:t>Qualitative Research in Sport, Exercise and Health</w:t>
      </w:r>
      <w:r w:rsidRPr="00E55311">
        <w:t>, </w:t>
      </w:r>
      <w:r w:rsidRPr="00E55311">
        <w:rPr>
          <w:i/>
          <w:iCs/>
        </w:rPr>
        <w:t>11</w:t>
      </w:r>
      <w:r w:rsidRPr="00E55311">
        <w:t xml:space="preserve">(4), 589–597. </w:t>
      </w:r>
      <w:hyperlink r:id="rId9" w:history="1">
        <w:r w:rsidRPr="00E55311">
          <w:rPr>
            <w:rStyle w:val="Hyperlink"/>
          </w:rPr>
          <w:t>https://doi.org/10.1080/2159676X.2019.1628806</w:t>
        </w:r>
      </w:hyperlink>
      <w:r w:rsidRPr="00E55311">
        <w:t xml:space="preserve"> </w:t>
      </w:r>
    </w:p>
    <w:p w14:paraId="7E523D86" w14:textId="77777777" w:rsidR="00E55311" w:rsidRPr="00E55311" w:rsidRDefault="00E55311" w:rsidP="00CF0B9F">
      <w:pPr>
        <w:spacing w:after="0" w:line="480" w:lineRule="auto"/>
        <w:ind w:left="851" w:hanging="851"/>
      </w:pPr>
    </w:p>
    <w:p w14:paraId="340F2DA0" w14:textId="77777777" w:rsidR="00E55311" w:rsidRPr="00E55311" w:rsidRDefault="00E55311" w:rsidP="00CF0B9F">
      <w:pPr>
        <w:spacing w:after="0" w:line="480" w:lineRule="auto"/>
        <w:ind w:left="851" w:hanging="851"/>
      </w:pPr>
      <w:r w:rsidRPr="00E55311">
        <w:t xml:space="preserve">Brotherdale, R., Berry, K. &amp; Bucci, S. (2024) A qualitative study exploring the digital therapeutic alliance with fully automated smartphone apps. </w:t>
      </w:r>
      <w:r w:rsidRPr="00E55311">
        <w:rPr>
          <w:i/>
          <w:iCs/>
        </w:rPr>
        <w:t>Digital Health, 10</w:t>
      </w:r>
      <w:r w:rsidRPr="00E55311">
        <w:t xml:space="preserve">, 1-15. </w:t>
      </w:r>
      <w:hyperlink r:id="rId10" w:history="1">
        <w:r w:rsidRPr="00E55311">
          <w:rPr>
            <w:rStyle w:val="Hyperlink"/>
          </w:rPr>
          <w:t>https://doi.org/10.1177/20552076241277712</w:t>
        </w:r>
      </w:hyperlink>
      <w:r w:rsidRPr="00E55311">
        <w:t xml:space="preserve">  </w:t>
      </w:r>
    </w:p>
    <w:p w14:paraId="455614FD" w14:textId="77777777" w:rsidR="00E55311" w:rsidRPr="00E55311" w:rsidRDefault="00E55311" w:rsidP="00CF0B9F">
      <w:pPr>
        <w:spacing w:after="0" w:line="480" w:lineRule="auto"/>
      </w:pPr>
    </w:p>
    <w:p w14:paraId="126FFACA" w14:textId="77777777" w:rsidR="00E55311" w:rsidRPr="00E55311" w:rsidRDefault="00E55311" w:rsidP="00CF0B9F">
      <w:pPr>
        <w:spacing w:after="0" w:line="480" w:lineRule="auto"/>
        <w:ind w:left="851" w:hanging="851"/>
      </w:pPr>
      <w:r w:rsidRPr="00E55311">
        <w:t xml:space="preserve">Cheshire and Merseyside NHS Trust. (n.d.). </w:t>
      </w:r>
      <w:r w:rsidRPr="00E55311">
        <w:rPr>
          <w:i/>
          <w:iCs/>
        </w:rPr>
        <w:t xml:space="preserve">Health and care apps library. </w:t>
      </w:r>
      <w:hyperlink r:id="rId11" w:history="1">
        <w:r w:rsidRPr="00E55311">
          <w:rPr>
            <w:rStyle w:val="Hyperlink"/>
          </w:rPr>
          <w:t>https://cheshireandmerseyside.orchahealth.com/enGB/search?search=&amp;sortBy=AccreditationScoreDesc</w:t>
        </w:r>
      </w:hyperlink>
      <w:r w:rsidRPr="00E55311">
        <w:t xml:space="preserve"> </w:t>
      </w:r>
    </w:p>
    <w:p w14:paraId="6CF4D8CB" w14:textId="77777777" w:rsidR="00E55311" w:rsidRPr="00E55311" w:rsidRDefault="00E55311" w:rsidP="00CF0B9F">
      <w:pPr>
        <w:spacing w:after="0" w:line="480" w:lineRule="auto"/>
        <w:ind w:left="851" w:hanging="851"/>
      </w:pPr>
      <w:r w:rsidRPr="00E55311">
        <w:t xml:space="preserve">Cumbria, Northumberland, Tyne and Wear NHS Trust. (2023, December 21). </w:t>
      </w:r>
      <w:r w:rsidRPr="00E55311">
        <w:rPr>
          <w:i/>
          <w:iCs/>
        </w:rPr>
        <w:t xml:space="preserve">Apps to support your mental health and wellbeing. </w:t>
      </w:r>
      <w:hyperlink r:id="rId12" w:history="1">
        <w:r w:rsidRPr="00E55311">
          <w:rPr>
            <w:rStyle w:val="Hyperlink"/>
          </w:rPr>
          <w:t>https://www.cntw.nhs.uk/resource-library/apps-to-support-your-mental-health-and-wellbeing/</w:t>
        </w:r>
      </w:hyperlink>
      <w:r w:rsidRPr="00E55311">
        <w:t xml:space="preserve"> </w:t>
      </w:r>
    </w:p>
    <w:p w14:paraId="082DD38B" w14:textId="77777777" w:rsidR="00E55311" w:rsidRPr="00E55311" w:rsidRDefault="00E55311" w:rsidP="00CF0B9F">
      <w:pPr>
        <w:spacing w:after="0" w:line="480" w:lineRule="auto"/>
        <w:ind w:left="851" w:hanging="851"/>
      </w:pPr>
    </w:p>
    <w:p w14:paraId="61192F45" w14:textId="77777777" w:rsidR="00E55311" w:rsidRPr="00E55311" w:rsidRDefault="00E55311" w:rsidP="00CF0B9F">
      <w:pPr>
        <w:spacing w:after="0" w:line="480" w:lineRule="auto"/>
        <w:ind w:left="851" w:hanging="851"/>
        <w:rPr>
          <w:i/>
          <w:iCs/>
        </w:rPr>
      </w:pPr>
      <w:r w:rsidRPr="00E55311">
        <w:t xml:space="preserve">Meek, T. (2015, October 9). NHS health apps library to close. </w:t>
      </w:r>
      <w:r w:rsidRPr="00E55311">
        <w:rPr>
          <w:i/>
          <w:iCs/>
        </w:rPr>
        <w:t xml:space="preserve">Digital Health. </w:t>
      </w:r>
      <w:hyperlink r:id="rId13" w:anchor=":~:text=Concerns%20were%20raised%20last%20month,Bit%20of%20a%20farce%20really.%E2%80%9D" w:history="1">
        <w:r w:rsidRPr="00E55311">
          <w:rPr>
            <w:rStyle w:val="Hyperlink"/>
          </w:rPr>
          <w:t>https://www.digitalhealth.net/2015/10/nhs-health-apps-library-to-</w:t>
        </w:r>
        <w:r w:rsidRPr="00E55311">
          <w:rPr>
            <w:rStyle w:val="Hyperlink"/>
          </w:rPr>
          <w:lastRenderedPageBreak/>
          <w:t>close/#:~:text=Concerns%20were%20raised%20last%20month,Bit%20of%20a%20farce%20really.%E2%80%9D</w:t>
        </w:r>
      </w:hyperlink>
      <w:r w:rsidRPr="00E55311">
        <w:rPr>
          <w:i/>
          <w:iCs/>
        </w:rPr>
        <w:t xml:space="preserve"> </w:t>
      </w:r>
    </w:p>
    <w:p w14:paraId="1E37579D" w14:textId="77777777" w:rsidR="00E55311" w:rsidRPr="00E55311" w:rsidRDefault="00E55311" w:rsidP="00CF0B9F">
      <w:pPr>
        <w:spacing w:after="0" w:line="480" w:lineRule="auto"/>
      </w:pPr>
    </w:p>
    <w:p w14:paraId="4C28EAF1" w14:textId="77777777" w:rsidR="00E55311" w:rsidRPr="00E55311" w:rsidRDefault="00E55311" w:rsidP="00CF0B9F">
      <w:pPr>
        <w:spacing w:after="0" w:line="480" w:lineRule="auto"/>
        <w:ind w:left="851" w:hanging="851"/>
      </w:pPr>
      <w:r w:rsidRPr="00E55311">
        <w:t xml:space="preserve">National Institute for Health and Care Excellence (2022, August 9). </w:t>
      </w:r>
      <w:r w:rsidRPr="00E55311">
        <w:rPr>
          <w:i/>
          <w:iCs/>
        </w:rPr>
        <w:t xml:space="preserve">Evidence standards framework for digital health technologies </w:t>
      </w:r>
      <w:r w:rsidRPr="00E55311">
        <w:t xml:space="preserve">(Document No. ECD7). </w:t>
      </w:r>
      <w:hyperlink r:id="rId14" w:history="1">
        <w:r w:rsidRPr="00E55311">
          <w:rPr>
            <w:rStyle w:val="Hyperlink"/>
          </w:rPr>
          <w:t>https://www.nice.org.uk/corporate/ecd7/resources/evidence-standards-framework-for-digital-health-technologies-pdf-1124017457605</w:t>
        </w:r>
      </w:hyperlink>
      <w:r w:rsidRPr="00E55311">
        <w:t xml:space="preserve"> </w:t>
      </w:r>
    </w:p>
    <w:p w14:paraId="58C9EF46" w14:textId="77777777" w:rsidR="00E55311" w:rsidRPr="00E55311" w:rsidRDefault="00E55311" w:rsidP="00CF0B9F">
      <w:pPr>
        <w:spacing w:after="0" w:line="480" w:lineRule="auto"/>
        <w:ind w:left="851" w:hanging="851"/>
        <w:rPr>
          <w:i/>
          <w:iCs/>
        </w:rPr>
      </w:pPr>
    </w:p>
    <w:p w14:paraId="55ED3475" w14:textId="77777777" w:rsidR="00E55311" w:rsidRPr="00E55311" w:rsidRDefault="00E55311" w:rsidP="00CF0B9F">
      <w:pPr>
        <w:spacing w:after="0" w:line="480" w:lineRule="auto"/>
      </w:pPr>
    </w:p>
    <w:p w14:paraId="08025927" w14:textId="77777777" w:rsidR="00E55311" w:rsidRPr="00E55311" w:rsidRDefault="00E55311" w:rsidP="00CF0B9F">
      <w:pPr>
        <w:spacing w:after="0" w:line="480" w:lineRule="auto"/>
        <w:ind w:left="851" w:hanging="851"/>
      </w:pPr>
      <w:r w:rsidRPr="00E55311">
        <w:t xml:space="preserve">NHS (2025, June 24). </w:t>
      </w:r>
      <w:r w:rsidRPr="00E55311">
        <w:rPr>
          <w:i/>
          <w:iCs/>
        </w:rPr>
        <w:t xml:space="preserve">NHS apps library. </w:t>
      </w:r>
      <w:hyperlink r:id="rId15" w:history="1">
        <w:r w:rsidRPr="00E55311">
          <w:rPr>
            <w:rStyle w:val="Hyperlink"/>
          </w:rPr>
          <w:t>https://digital.nhs.uk/services/nhs-apps-library</w:t>
        </w:r>
      </w:hyperlink>
      <w:r w:rsidRPr="00E55311">
        <w:t xml:space="preserve"> </w:t>
      </w:r>
    </w:p>
    <w:p w14:paraId="5D22EF2E" w14:textId="77777777" w:rsidR="00E55311" w:rsidRPr="00E55311" w:rsidRDefault="00E55311" w:rsidP="00CF0B9F">
      <w:pPr>
        <w:spacing w:after="0" w:line="480" w:lineRule="auto"/>
        <w:ind w:left="851" w:hanging="851"/>
      </w:pPr>
    </w:p>
    <w:p w14:paraId="203E9287" w14:textId="77777777" w:rsidR="00E55311" w:rsidRPr="00E55311" w:rsidRDefault="00E55311" w:rsidP="00CF0B9F">
      <w:pPr>
        <w:spacing w:after="0" w:line="480" w:lineRule="auto"/>
        <w:ind w:left="851" w:hanging="851"/>
      </w:pPr>
      <w:r w:rsidRPr="00E55311">
        <w:t xml:space="preserve">International Medical Device Regulators Forum. (2014). </w:t>
      </w:r>
      <w:r w:rsidRPr="00E55311">
        <w:rPr>
          <w:i/>
          <w:iCs/>
        </w:rPr>
        <w:t xml:space="preserve">Software as a medical device: Possible framework for risk categorization and corresponding considerations. </w:t>
      </w:r>
      <w:r w:rsidRPr="00E55311">
        <w:t xml:space="preserve">IMDRF. </w:t>
      </w:r>
      <w:hyperlink r:id="rId16" w:history="1">
        <w:r w:rsidRPr="00E55311">
          <w:rPr>
            <w:rStyle w:val="Hyperlink"/>
          </w:rPr>
          <w:t>https://www.imdrf.org/sites/default/files/docs/imdrf/final/technical/imdrf-tech-140918-samd-framework-risk-categorization-141013.pdf</w:t>
        </w:r>
      </w:hyperlink>
      <w:r w:rsidRPr="00E55311">
        <w:t xml:space="preserve"> </w:t>
      </w:r>
    </w:p>
    <w:p w14:paraId="1B87FE37" w14:textId="77777777" w:rsidR="00E55311" w:rsidRPr="00E55311" w:rsidRDefault="00E55311" w:rsidP="00CF0B9F">
      <w:pPr>
        <w:spacing w:after="0" w:line="480" w:lineRule="auto"/>
        <w:ind w:left="851" w:hanging="851"/>
      </w:pPr>
    </w:p>
    <w:p w14:paraId="4B304E29" w14:textId="77777777" w:rsidR="00E55311" w:rsidRPr="00E55311" w:rsidRDefault="00E55311" w:rsidP="00CF0B9F">
      <w:pPr>
        <w:spacing w:after="0" w:line="480" w:lineRule="auto"/>
        <w:ind w:left="851" w:hanging="851"/>
      </w:pPr>
      <w:r w:rsidRPr="00E55311">
        <w:t>Prochaska, J. O., &amp; DiClemente, C. C. (1983). Stages and processes of self-change of smoking: Toward an integrative model of change. </w:t>
      </w:r>
      <w:r w:rsidRPr="00E55311">
        <w:rPr>
          <w:i/>
          <w:iCs/>
        </w:rPr>
        <w:t>Journal of Consulting and Clinical Psychology, 51</w:t>
      </w:r>
      <w:r w:rsidRPr="00E55311">
        <w:t>(3), 390–395. </w:t>
      </w:r>
      <w:hyperlink r:id="rId17" w:tgtFrame="_blank" w:history="1">
        <w:r w:rsidRPr="00E55311">
          <w:rPr>
            <w:rStyle w:val="Hyperlink"/>
          </w:rPr>
          <w:t>https://doi.org/10.1037/0022-006X.51.3.390</w:t>
        </w:r>
      </w:hyperlink>
    </w:p>
    <w:p w14:paraId="17334DFE" w14:textId="77777777" w:rsidR="00E55311" w:rsidRPr="00E55311" w:rsidRDefault="00E55311" w:rsidP="00CF0B9F">
      <w:pPr>
        <w:spacing w:after="0" w:line="480" w:lineRule="auto"/>
        <w:ind w:left="851" w:hanging="851"/>
      </w:pPr>
    </w:p>
    <w:p w14:paraId="2643CD9C" w14:textId="77777777" w:rsidR="00E55311" w:rsidRPr="00E55311" w:rsidRDefault="00E55311" w:rsidP="00CF0B9F">
      <w:pPr>
        <w:spacing w:after="0" w:line="480" w:lineRule="auto"/>
        <w:ind w:left="1134" w:hanging="1134"/>
      </w:pPr>
      <w:r w:rsidRPr="00E55311">
        <w:lastRenderedPageBreak/>
        <w:t>Rogers, C. R. (1957). The necessary and sufficient conditions of therapeutic personality change. </w:t>
      </w:r>
      <w:r w:rsidRPr="00E55311">
        <w:rPr>
          <w:i/>
          <w:iCs/>
        </w:rPr>
        <w:t>Journal of Consulting Psychology, 21</w:t>
      </w:r>
      <w:r w:rsidRPr="00E55311">
        <w:t xml:space="preserve">(2), 95-103. </w:t>
      </w:r>
      <w:hyperlink r:id="rId18" w:history="1">
        <w:r w:rsidRPr="00E55311">
          <w:rPr>
            <w:rStyle w:val="Hyperlink"/>
          </w:rPr>
          <w:t>https://doi.org/10.1037/h0045357</w:t>
        </w:r>
      </w:hyperlink>
    </w:p>
    <w:p w14:paraId="1233A654" w14:textId="77777777" w:rsidR="00E55311" w:rsidRPr="00E55311" w:rsidRDefault="00E55311" w:rsidP="00CF0B9F">
      <w:pPr>
        <w:spacing w:after="0" w:line="480" w:lineRule="auto"/>
      </w:pPr>
    </w:p>
    <w:p w14:paraId="62809105" w14:textId="77777777" w:rsidR="00E55311" w:rsidRPr="00E55311" w:rsidRDefault="00E55311" w:rsidP="00CF0B9F">
      <w:pPr>
        <w:spacing w:after="0" w:line="480" w:lineRule="auto"/>
        <w:ind w:left="851" w:hanging="851"/>
      </w:pPr>
      <w:r w:rsidRPr="00E55311">
        <w:t xml:space="preserve">Tsekleves, E. (2015, October 27). It’s not too late to turn the NHS app library disaster into an opportunity. </w:t>
      </w:r>
      <w:r w:rsidRPr="00E55311">
        <w:rPr>
          <w:i/>
          <w:iCs/>
        </w:rPr>
        <w:t xml:space="preserve">The Conversation. </w:t>
      </w:r>
      <w:hyperlink r:id="rId19" w:history="1">
        <w:r w:rsidRPr="00E55311">
          <w:rPr>
            <w:rStyle w:val="Hyperlink"/>
          </w:rPr>
          <w:t>https://doi.org/10.64628/AB.a54emchq3</w:t>
        </w:r>
      </w:hyperlink>
    </w:p>
    <w:p w14:paraId="794868F8" w14:textId="77777777" w:rsidR="00E55311" w:rsidRPr="00E55311" w:rsidRDefault="00E55311" w:rsidP="00CF0B9F">
      <w:pPr>
        <w:spacing w:after="0" w:line="480" w:lineRule="auto"/>
        <w:ind w:left="851" w:hanging="851"/>
      </w:pPr>
    </w:p>
    <w:p w14:paraId="69EFF178" w14:textId="77777777" w:rsidR="00E55311" w:rsidRPr="00AA1B00" w:rsidRDefault="00E55311" w:rsidP="00CF0B9F">
      <w:pPr>
        <w:spacing w:after="0" w:line="480" w:lineRule="auto"/>
        <w:ind w:left="851" w:hanging="851"/>
      </w:pPr>
      <w:r w:rsidRPr="00E55311">
        <w:t>Winnicott, D.W. (1953/2005) Transitional objects and transitional phenomena. In: D.W. Winnicott, </w:t>
      </w:r>
      <w:r w:rsidRPr="00E55311">
        <w:rPr>
          <w:i/>
          <w:iCs/>
        </w:rPr>
        <w:t>Playing and Reality</w:t>
      </w:r>
      <w:r w:rsidRPr="00E55311">
        <w:t>. Routledge Classic Edition. Routledge.</w:t>
      </w:r>
    </w:p>
    <w:p w14:paraId="5EC9FED7" w14:textId="77777777" w:rsidR="00D4161C" w:rsidRDefault="00D4161C" w:rsidP="00D4161C"/>
    <w:p w14:paraId="4A628A31" w14:textId="77777777" w:rsidR="00C26122" w:rsidRDefault="00C26122" w:rsidP="00D4161C"/>
    <w:p w14:paraId="0FD3374D" w14:textId="77777777" w:rsidR="00C26122" w:rsidRDefault="00C26122" w:rsidP="00D4161C"/>
    <w:p w14:paraId="74C9BEA6" w14:textId="77777777" w:rsidR="00C26122" w:rsidRDefault="00C26122" w:rsidP="00D4161C"/>
    <w:p w14:paraId="7B702ABF" w14:textId="77777777" w:rsidR="00C26122" w:rsidRDefault="00C26122" w:rsidP="00D4161C"/>
    <w:p w14:paraId="38875D3D" w14:textId="77777777" w:rsidR="00C26122" w:rsidRDefault="00C26122" w:rsidP="00D4161C"/>
    <w:p w14:paraId="6A33823B" w14:textId="77777777" w:rsidR="00C26122" w:rsidRDefault="00C26122" w:rsidP="00D4161C"/>
    <w:p w14:paraId="1527A5E2" w14:textId="77777777" w:rsidR="00C26122" w:rsidRDefault="00C26122" w:rsidP="00D4161C"/>
    <w:p w14:paraId="63DAF307" w14:textId="77777777" w:rsidR="00C26122" w:rsidRDefault="00C26122" w:rsidP="00D4161C"/>
    <w:p w14:paraId="591774B6" w14:textId="77777777" w:rsidR="00C26122" w:rsidRDefault="00C26122" w:rsidP="00D4161C"/>
    <w:p w14:paraId="3F8C273C" w14:textId="77777777" w:rsidR="00C26122" w:rsidRDefault="00C26122" w:rsidP="00D4161C"/>
    <w:p w14:paraId="25080D95" w14:textId="77777777" w:rsidR="00C26122" w:rsidRDefault="00C26122" w:rsidP="00D4161C"/>
    <w:p w14:paraId="62DB4015" w14:textId="77777777" w:rsidR="00C26122" w:rsidRDefault="00C26122" w:rsidP="00D4161C"/>
    <w:p w14:paraId="1752F40D" w14:textId="77777777" w:rsidR="00C26122" w:rsidRDefault="00C26122" w:rsidP="00C26122">
      <w:pPr>
        <w:jc w:val="center"/>
      </w:pPr>
    </w:p>
    <w:p w14:paraId="5E976FA1" w14:textId="77777777" w:rsidR="00CF0B9F" w:rsidRDefault="00CF0B9F" w:rsidP="00C26122">
      <w:pPr>
        <w:jc w:val="center"/>
      </w:pPr>
    </w:p>
    <w:p w14:paraId="585D9719" w14:textId="77777777" w:rsidR="00CF0B9F" w:rsidRDefault="00CF0B9F" w:rsidP="00C26122">
      <w:pPr>
        <w:jc w:val="center"/>
      </w:pPr>
    </w:p>
    <w:p w14:paraId="0D3ECE0F" w14:textId="77777777" w:rsidR="00CF0B9F" w:rsidRDefault="00CF0B9F" w:rsidP="00C26122">
      <w:pPr>
        <w:jc w:val="center"/>
      </w:pPr>
    </w:p>
    <w:p w14:paraId="3A0809DE" w14:textId="2E911CA7" w:rsidR="00C26122" w:rsidRPr="00EA2ED2" w:rsidRDefault="00C26122" w:rsidP="00C26122">
      <w:pPr>
        <w:jc w:val="center"/>
        <w:rPr>
          <w:b/>
          <w:bCs/>
        </w:rPr>
      </w:pPr>
      <w:r w:rsidRPr="00EA2ED2">
        <w:rPr>
          <w:b/>
          <w:bCs/>
        </w:rPr>
        <w:lastRenderedPageBreak/>
        <w:t>Notes to Take into Presentation (Prompting Aid)</w:t>
      </w:r>
    </w:p>
    <w:p w14:paraId="64D5B20A" w14:textId="19B90FA6" w:rsidR="00EA2ED2" w:rsidRDefault="00767609" w:rsidP="00C26122">
      <w:pPr>
        <w:jc w:val="center"/>
        <w:rPr>
          <w:i/>
          <w:iCs/>
        </w:rPr>
      </w:pPr>
      <w:r>
        <w:rPr>
          <w:i/>
          <w:iCs/>
        </w:rPr>
        <w:t>[</w:t>
      </w:r>
      <w:r w:rsidR="00764B9B">
        <w:rPr>
          <w:i/>
          <w:iCs/>
        </w:rPr>
        <w:t>Th</w:t>
      </w:r>
      <w:r w:rsidR="00624187">
        <w:rPr>
          <w:i/>
          <w:iCs/>
        </w:rPr>
        <w:t>e content herein is the</w:t>
      </w:r>
      <w:r w:rsidR="00764B9B">
        <w:rPr>
          <w:i/>
          <w:iCs/>
        </w:rPr>
        <w:t xml:space="preserve"> same as above, in a format that is easier to process for myself</w:t>
      </w:r>
      <w:r w:rsidR="00EA2ED2">
        <w:rPr>
          <w:i/>
          <w:iCs/>
        </w:rPr>
        <w:t xml:space="preserve">. </w:t>
      </w:r>
      <w:r w:rsidR="00624187">
        <w:rPr>
          <w:i/>
          <w:iCs/>
        </w:rPr>
        <w:t>I have included it for transparency, as it is what I will use during the presentation, and have used to rehearse the above mentioned script</w:t>
      </w:r>
      <w:r w:rsidR="00EA2ED2">
        <w:rPr>
          <w:i/>
          <w:iCs/>
        </w:rPr>
        <w:t>.]</w:t>
      </w:r>
    </w:p>
    <w:p w14:paraId="2B677126" w14:textId="16390FF4" w:rsidR="00C26122" w:rsidRDefault="004317AA" w:rsidP="00C26122">
      <w:pPr>
        <w:jc w:val="center"/>
        <w:rPr>
          <w:i/>
          <w:iCs/>
        </w:rPr>
      </w:pPr>
      <w:r>
        <w:rPr>
          <w:noProof/>
        </w:rPr>
        <mc:AlternateContent>
          <mc:Choice Requires="wps">
            <w:drawing>
              <wp:anchor distT="0" distB="0" distL="114300" distR="114300" simplePos="0" relativeHeight="251659264" behindDoc="0" locked="0" layoutInCell="1" allowOverlap="1" wp14:anchorId="2625D145" wp14:editId="288DBA21">
                <wp:simplePos x="0" y="0"/>
                <wp:positionH relativeFrom="column">
                  <wp:posOffset>768350</wp:posOffset>
                </wp:positionH>
                <wp:positionV relativeFrom="paragraph">
                  <wp:posOffset>541655</wp:posOffset>
                </wp:positionV>
                <wp:extent cx="1746250" cy="412750"/>
                <wp:effectExtent l="0" t="0" r="25400" b="25400"/>
                <wp:wrapNone/>
                <wp:docPr id="18240613" name="Rectangle 12"/>
                <wp:cNvGraphicFramePr/>
                <a:graphic xmlns:a="http://schemas.openxmlformats.org/drawingml/2006/main">
                  <a:graphicData uri="http://schemas.microsoft.com/office/word/2010/wordprocessingShape">
                    <wps:wsp>
                      <wps:cNvSpPr/>
                      <wps:spPr>
                        <a:xfrm>
                          <a:off x="0" y="0"/>
                          <a:ext cx="1746250" cy="412750"/>
                        </a:xfrm>
                        <a:prstGeom prst="rect">
                          <a:avLst/>
                        </a:prstGeom>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0EE3E6B" id="Rectangle 12" o:spid="_x0000_s1026" style="position:absolute;margin-left:60.5pt;margin-top:42.65pt;width:137.5pt;height:32.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" fillcolor="black [3200]" strokecolor="black [480]" strokeweight="1pt"/>
            </w:pict>
          </mc:Fallback>
        </mc:AlternateContent>
      </w:r>
      <w:r w:rsidR="00EA2ED2">
        <w:rPr>
          <w:noProof/>
        </w:rPr>
        <w:drawing>
          <wp:inline distT="0" distB="0" distL="0" distR="0" wp14:anchorId="3238E63F" wp14:editId="0DBDC9F8">
            <wp:extent cx="5044966" cy="3514188"/>
            <wp:effectExtent l="0" t="0" r="3810" b="0"/>
            <wp:docPr id="1064442802" name="Picture 3" descr="A close-up of a whiteboar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4442802" name="Picture 3" descr="A close-up of a whiteboard&#10;&#10;AI-generated content may be incorrect."/>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055049" cy="3521212"/>
                    </a:xfrm>
                    <a:prstGeom prst="rect">
                      <a:avLst/>
                    </a:prstGeom>
                    <a:noFill/>
                    <a:ln>
                      <a:noFill/>
                    </a:ln>
                  </pic:spPr>
                </pic:pic>
              </a:graphicData>
            </a:graphic>
          </wp:inline>
        </w:drawing>
      </w:r>
    </w:p>
    <w:p w14:paraId="60DA169A" w14:textId="77777777" w:rsidR="00EA2ED2" w:rsidRDefault="00EA2ED2" w:rsidP="00C26122">
      <w:pPr>
        <w:jc w:val="center"/>
        <w:rPr>
          <w:i/>
          <w:iCs/>
        </w:rPr>
      </w:pPr>
    </w:p>
    <w:p w14:paraId="4394AA0F" w14:textId="6A95BA87" w:rsidR="00EA2ED2" w:rsidRDefault="00EA2ED2" w:rsidP="00C26122">
      <w:pPr>
        <w:jc w:val="center"/>
        <w:rPr>
          <w:i/>
          <w:iCs/>
        </w:rPr>
      </w:pPr>
      <w:r>
        <w:rPr>
          <w:i/>
          <w:iCs/>
          <w:noProof/>
        </w:rPr>
        <w:drawing>
          <wp:inline distT="0" distB="0" distL="0" distR="0" wp14:anchorId="72A59D64" wp14:editId="2CD52BC1">
            <wp:extent cx="4920875" cy="3469771"/>
            <wp:effectExtent l="0" t="0" r="0" b="0"/>
            <wp:docPr id="70086179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931284" cy="3477110"/>
                    </a:xfrm>
                    <a:prstGeom prst="rect">
                      <a:avLst/>
                    </a:prstGeom>
                    <a:noFill/>
                    <a:ln>
                      <a:noFill/>
                    </a:ln>
                  </pic:spPr>
                </pic:pic>
              </a:graphicData>
            </a:graphic>
          </wp:inline>
        </w:drawing>
      </w:r>
    </w:p>
    <w:p w14:paraId="5158A8C0" w14:textId="77777777" w:rsidR="00EA2ED2" w:rsidRDefault="00EA2ED2" w:rsidP="00C26122">
      <w:pPr>
        <w:jc w:val="center"/>
        <w:rPr>
          <w:i/>
          <w:iCs/>
        </w:rPr>
      </w:pPr>
    </w:p>
    <w:p w14:paraId="50D3A549" w14:textId="77777777" w:rsidR="00EA2ED2" w:rsidRDefault="00EA2ED2" w:rsidP="00EA2ED2">
      <w:pPr>
        <w:rPr>
          <w:i/>
          <w:iCs/>
        </w:rPr>
      </w:pPr>
    </w:p>
    <w:p w14:paraId="4F36AD62" w14:textId="77777777" w:rsidR="00EA2ED2" w:rsidRDefault="00EA2ED2" w:rsidP="00C26122">
      <w:pPr>
        <w:jc w:val="center"/>
        <w:rPr>
          <w:i/>
          <w:iCs/>
        </w:rPr>
      </w:pPr>
    </w:p>
    <w:p w14:paraId="2DEA516A" w14:textId="7F0DA130" w:rsidR="00EA2ED2" w:rsidRDefault="00EA2ED2" w:rsidP="00C26122">
      <w:pPr>
        <w:jc w:val="center"/>
        <w:rPr>
          <w:i/>
          <w:iCs/>
        </w:rPr>
      </w:pPr>
      <w:r>
        <w:rPr>
          <w:i/>
          <w:iCs/>
          <w:noProof/>
        </w:rPr>
        <w:drawing>
          <wp:inline distT="0" distB="0" distL="0" distR="0" wp14:anchorId="315B59EE" wp14:editId="6D223B19">
            <wp:extent cx="5026925" cy="3531454"/>
            <wp:effectExtent l="0" t="0" r="2540" b="0"/>
            <wp:docPr id="111290828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033851" cy="3536319"/>
                    </a:xfrm>
                    <a:prstGeom prst="rect">
                      <a:avLst/>
                    </a:prstGeom>
                    <a:noFill/>
                    <a:ln>
                      <a:noFill/>
                    </a:ln>
                  </pic:spPr>
                </pic:pic>
              </a:graphicData>
            </a:graphic>
          </wp:inline>
        </w:drawing>
      </w:r>
    </w:p>
    <w:p w14:paraId="626D2C83" w14:textId="77777777" w:rsidR="00EA2ED2" w:rsidRDefault="00EA2ED2" w:rsidP="00C26122">
      <w:pPr>
        <w:jc w:val="center"/>
        <w:rPr>
          <w:i/>
          <w:iCs/>
        </w:rPr>
      </w:pPr>
    </w:p>
    <w:p w14:paraId="00A40301" w14:textId="2BD7AFF3" w:rsidR="00EA2ED2" w:rsidRDefault="00EA2ED2" w:rsidP="00C26122">
      <w:pPr>
        <w:jc w:val="center"/>
        <w:rPr>
          <w:i/>
          <w:iCs/>
        </w:rPr>
      </w:pPr>
      <w:r>
        <w:rPr>
          <w:i/>
          <w:iCs/>
          <w:noProof/>
        </w:rPr>
        <w:drawing>
          <wp:inline distT="0" distB="0" distL="0" distR="0" wp14:anchorId="6034F1CE" wp14:editId="5ED512B4">
            <wp:extent cx="5021387" cy="3499704"/>
            <wp:effectExtent l="0" t="0" r="8255" b="5715"/>
            <wp:docPr id="110398792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rot="10800000">
                      <a:off x="0" y="0"/>
                      <a:ext cx="5029756" cy="3505537"/>
                    </a:xfrm>
                    <a:prstGeom prst="rect">
                      <a:avLst/>
                    </a:prstGeom>
                    <a:noFill/>
                    <a:ln>
                      <a:noFill/>
                    </a:ln>
                  </pic:spPr>
                </pic:pic>
              </a:graphicData>
            </a:graphic>
          </wp:inline>
        </w:drawing>
      </w:r>
    </w:p>
    <w:p w14:paraId="14CA82B8" w14:textId="77777777" w:rsidR="00EA2ED2" w:rsidRDefault="00EA2ED2" w:rsidP="00C26122">
      <w:pPr>
        <w:jc w:val="center"/>
        <w:rPr>
          <w:i/>
          <w:iCs/>
        </w:rPr>
      </w:pPr>
    </w:p>
    <w:p w14:paraId="47466DE2" w14:textId="77777777" w:rsidR="00EA2ED2" w:rsidRDefault="00EA2ED2" w:rsidP="00C26122">
      <w:pPr>
        <w:jc w:val="center"/>
        <w:rPr>
          <w:i/>
          <w:iCs/>
        </w:rPr>
      </w:pPr>
    </w:p>
    <w:p w14:paraId="306BB27E" w14:textId="77777777" w:rsidR="00EA2ED2" w:rsidRDefault="00EA2ED2" w:rsidP="00C26122">
      <w:pPr>
        <w:jc w:val="center"/>
        <w:rPr>
          <w:i/>
          <w:iCs/>
        </w:rPr>
      </w:pPr>
    </w:p>
    <w:p w14:paraId="006049F8" w14:textId="25587652" w:rsidR="00EA2ED2" w:rsidRDefault="00EA2ED2" w:rsidP="00C26122">
      <w:pPr>
        <w:jc w:val="center"/>
        <w:rPr>
          <w:i/>
          <w:iCs/>
        </w:rPr>
      </w:pPr>
      <w:r>
        <w:rPr>
          <w:i/>
          <w:iCs/>
          <w:noProof/>
        </w:rPr>
        <w:drawing>
          <wp:inline distT="0" distB="0" distL="0" distR="0" wp14:anchorId="7E14A65E" wp14:editId="7A12ADFB">
            <wp:extent cx="4802506" cy="3373798"/>
            <wp:effectExtent l="0" t="0" r="0" b="0"/>
            <wp:docPr id="611707611"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808404" cy="3377941"/>
                    </a:xfrm>
                    <a:prstGeom prst="rect">
                      <a:avLst/>
                    </a:prstGeom>
                    <a:noFill/>
                    <a:ln>
                      <a:noFill/>
                    </a:ln>
                  </pic:spPr>
                </pic:pic>
              </a:graphicData>
            </a:graphic>
          </wp:inline>
        </w:drawing>
      </w:r>
    </w:p>
    <w:p w14:paraId="34AE2B9B" w14:textId="77777777" w:rsidR="00EA2ED2" w:rsidRDefault="00EA2ED2" w:rsidP="00C26122">
      <w:pPr>
        <w:jc w:val="center"/>
        <w:rPr>
          <w:i/>
          <w:iCs/>
        </w:rPr>
      </w:pPr>
    </w:p>
    <w:p w14:paraId="5AB59E30" w14:textId="77777777" w:rsidR="00EA2ED2" w:rsidRDefault="00EA2ED2" w:rsidP="00C26122">
      <w:pPr>
        <w:jc w:val="center"/>
        <w:rPr>
          <w:i/>
          <w:iCs/>
        </w:rPr>
      </w:pPr>
    </w:p>
    <w:p w14:paraId="1FC12E9C" w14:textId="77777777" w:rsidR="00EA2ED2" w:rsidRDefault="00EA2ED2" w:rsidP="00C26122">
      <w:pPr>
        <w:jc w:val="center"/>
        <w:rPr>
          <w:i/>
          <w:iCs/>
        </w:rPr>
      </w:pPr>
    </w:p>
    <w:p w14:paraId="31478B4C" w14:textId="347608AF" w:rsidR="00EA2ED2" w:rsidRDefault="00EA2ED2" w:rsidP="00C26122">
      <w:pPr>
        <w:jc w:val="center"/>
        <w:rPr>
          <w:i/>
          <w:iCs/>
        </w:rPr>
      </w:pPr>
      <w:r>
        <w:rPr>
          <w:i/>
          <w:iCs/>
          <w:noProof/>
        </w:rPr>
        <w:drawing>
          <wp:inline distT="0" distB="0" distL="0" distR="0" wp14:anchorId="321A87B5" wp14:editId="7CCEC0DC">
            <wp:extent cx="4831984" cy="3421315"/>
            <wp:effectExtent l="0" t="0" r="6985" b="8255"/>
            <wp:docPr id="555334225"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838561" cy="3425972"/>
                    </a:xfrm>
                    <a:prstGeom prst="rect">
                      <a:avLst/>
                    </a:prstGeom>
                    <a:noFill/>
                    <a:ln>
                      <a:noFill/>
                    </a:ln>
                  </pic:spPr>
                </pic:pic>
              </a:graphicData>
            </a:graphic>
          </wp:inline>
        </w:drawing>
      </w:r>
    </w:p>
    <w:p w14:paraId="2F253B52" w14:textId="77777777" w:rsidR="00EA2ED2" w:rsidRDefault="00EA2ED2" w:rsidP="00C26122">
      <w:pPr>
        <w:jc w:val="center"/>
        <w:rPr>
          <w:i/>
          <w:iCs/>
        </w:rPr>
      </w:pPr>
    </w:p>
    <w:p w14:paraId="34E6D4CA" w14:textId="77777777" w:rsidR="00EA2ED2" w:rsidRDefault="00EA2ED2" w:rsidP="00C26122">
      <w:pPr>
        <w:jc w:val="center"/>
        <w:rPr>
          <w:i/>
          <w:iCs/>
        </w:rPr>
      </w:pPr>
    </w:p>
    <w:p w14:paraId="7F53BC4C" w14:textId="77777777" w:rsidR="00EA2ED2" w:rsidRDefault="00EA2ED2" w:rsidP="00C26122">
      <w:pPr>
        <w:jc w:val="center"/>
        <w:rPr>
          <w:i/>
          <w:iCs/>
        </w:rPr>
      </w:pPr>
    </w:p>
    <w:p w14:paraId="2291D5BA" w14:textId="3BE582F2" w:rsidR="00EA2ED2" w:rsidRDefault="00EA2ED2" w:rsidP="00C26122">
      <w:pPr>
        <w:jc w:val="center"/>
        <w:rPr>
          <w:i/>
          <w:iCs/>
        </w:rPr>
      </w:pPr>
      <w:r>
        <w:rPr>
          <w:i/>
          <w:iCs/>
          <w:noProof/>
        </w:rPr>
        <w:drawing>
          <wp:inline distT="0" distB="0" distL="0" distR="0" wp14:anchorId="66096AB2" wp14:editId="308507F9">
            <wp:extent cx="4658027" cy="3311065"/>
            <wp:effectExtent l="0" t="0" r="9525" b="3810"/>
            <wp:docPr id="1206684128"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666472" cy="3317068"/>
                    </a:xfrm>
                    <a:prstGeom prst="rect">
                      <a:avLst/>
                    </a:prstGeom>
                    <a:noFill/>
                    <a:ln>
                      <a:noFill/>
                    </a:ln>
                  </pic:spPr>
                </pic:pic>
              </a:graphicData>
            </a:graphic>
          </wp:inline>
        </w:drawing>
      </w:r>
    </w:p>
    <w:p w14:paraId="76EE6D7C" w14:textId="77777777" w:rsidR="00EA2ED2" w:rsidRDefault="00EA2ED2" w:rsidP="00C26122">
      <w:pPr>
        <w:jc w:val="center"/>
        <w:rPr>
          <w:i/>
          <w:iCs/>
        </w:rPr>
      </w:pPr>
    </w:p>
    <w:p w14:paraId="5E8E33B0" w14:textId="1FF1060B" w:rsidR="00EA2ED2" w:rsidRPr="00764B9B" w:rsidRDefault="00EA2ED2" w:rsidP="00C26122">
      <w:pPr>
        <w:jc w:val="center"/>
        <w:rPr>
          <w:i/>
          <w:iCs/>
        </w:rPr>
      </w:pPr>
      <w:r>
        <w:rPr>
          <w:i/>
          <w:iCs/>
          <w:noProof/>
        </w:rPr>
        <w:drawing>
          <wp:inline distT="0" distB="0" distL="0" distR="0" wp14:anchorId="472703A8" wp14:editId="1B79AD68">
            <wp:extent cx="2517799" cy="3531520"/>
            <wp:effectExtent l="0" t="0" r="0" b="0"/>
            <wp:docPr id="913848256"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521778" cy="3537101"/>
                    </a:xfrm>
                    <a:prstGeom prst="rect">
                      <a:avLst/>
                    </a:prstGeom>
                    <a:noFill/>
                    <a:ln>
                      <a:noFill/>
                    </a:ln>
                  </pic:spPr>
                </pic:pic>
              </a:graphicData>
            </a:graphic>
          </wp:inline>
        </w:drawing>
      </w:r>
    </w:p>
    <w:sectPr w:rsidR="00EA2ED2" w:rsidRPr="00764B9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239AEE" w14:textId="77777777" w:rsidR="00D83B85" w:rsidRDefault="00D83B85" w:rsidP="006515A8">
      <w:pPr>
        <w:spacing w:after="0" w:line="240" w:lineRule="auto"/>
      </w:pPr>
      <w:r>
        <w:separator/>
      </w:r>
    </w:p>
  </w:endnote>
  <w:endnote w:type="continuationSeparator" w:id="0">
    <w:p w14:paraId="39476410" w14:textId="77777777" w:rsidR="00D83B85" w:rsidRDefault="00D83B85" w:rsidP="006515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B4D51E" w14:textId="77777777" w:rsidR="00D83B85" w:rsidRDefault="00D83B85" w:rsidP="006515A8">
      <w:pPr>
        <w:spacing w:after="0" w:line="240" w:lineRule="auto"/>
      </w:pPr>
      <w:r>
        <w:separator/>
      </w:r>
    </w:p>
  </w:footnote>
  <w:footnote w:type="continuationSeparator" w:id="0">
    <w:p w14:paraId="0777F3B8" w14:textId="77777777" w:rsidR="00D83B85" w:rsidRDefault="00D83B85" w:rsidP="006515A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6D31CF9"/>
    <w:multiLevelType w:val="hybridMultilevel"/>
    <w:tmpl w:val="6E32E16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94A6DB6"/>
    <w:multiLevelType w:val="hybridMultilevel"/>
    <w:tmpl w:val="5E5A0D86"/>
    <w:lvl w:ilvl="0" w:tplc="0704604A">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F6B0D9E"/>
    <w:multiLevelType w:val="hybridMultilevel"/>
    <w:tmpl w:val="68C6E9DE"/>
    <w:lvl w:ilvl="0" w:tplc="0704604A">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43D714F"/>
    <w:multiLevelType w:val="hybridMultilevel"/>
    <w:tmpl w:val="381CE3F8"/>
    <w:lvl w:ilvl="0" w:tplc="89E69CF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BD63817"/>
    <w:multiLevelType w:val="hybridMultilevel"/>
    <w:tmpl w:val="1D00F50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E1E538D"/>
    <w:multiLevelType w:val="hybridMultilevel"/>
    <w:tmpl w:val="0C3A7A74"/>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4C21AB8"/>
    <w:multiLevelType w:val="hybridMultilevel"/>
    <w:tmpl w:val="44BAE1FC"/>
    <w:lvl w:ilvl="0" w:tplc="9C003742">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50635365">
    <w:abstractNumId w:val="6"/>
  </w:num>
  <w:num w:numId="2" w16cid:durableId="489056569">
    <w:abstractNumId w:val="1"/>
  </w:num>
  <w:num w:numId="3" w16cid:durableId="495387245">
    <w:abstractNumId w:val="3"/>
  </w:num>
  <w:num w:numId="4" w16cid:durableId="492336940">
    <w:abstractNumId w:val="0"/>
  </w:num>
  <w:num w:numId="5" w16cid:durableId="1969778838">
    <w:abstractNumId w:val="5"/>
  </w:num>
  <w:num w:numId="6" w16cid:durableId="2130204494">
    <w:abstractNumId w:val="4"/>
  </w:num>
  <w:num w:numId="7" w16cid:durableId="57543820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0488"/>
    <w:rsid w:val="00071156"/>
    <w:rsid w:val="000B04F0"/>
    <w:rsid w:val="001535F8"/>
    <w:rsid w:val="00166428"/>
    <w:rsid w:val="001D5B86"/>
    <w:rsid w:val="001E3BD7"/>
    <w:rsid w:val="002A35E6"/>
    <w:rsid w:val="00311226"/>
    <w:rsid w:val="003118AB"/>
    <w:rsid w:val="0038488D"/>
    <w:rsid w:val="003A6798"/>
    <w:rsid w:val="004317AA"/>
    <w:rsid w:val="00475B8D"/>
    <w:rsid w:val="00481177"/>
    <w:rsid w:val="004C168E"/>
    <w:rsid w:val="004C70C7"/>
    <w:rsid w:val="0050198D"/>
    <w:rsid w:val="005019A8"/>
    <w:rsid w:val="00502E0F"/>
    <w:rsid w:val="005627DD"/>
    <w:rsid w:val="00581E94"/>
    <w:rsid w:val="0058404B"/>
    <w:rsid w:val="00593301"/>
    <w:rsid w:val="005A3FC9"/>
    <w:rsid w:val="005B07A4"/>
    <w:rsid w:val="005D0B6E"/>
    <w:rsid w:val="00624187"/>
    <w:rsid w:val="006515A8"/>
    <w:rsid w:val="00686EA5"/>
    <w:rsid w:val="006A39FD"/>
    <w:rsid w:val="006E6418"/>
    <w:rsid w:val="0071742C"/>
    <w:rsid w:val="00723F5E"/>
    <w:rsid w:val="00735D4A"/>
    <w:rsid w:val="00751DB5"/>
    <w:rsid w:val="00764B9B"/>
    <w:rsid w:val="00767609"/>
    <w:rsid w:val="007A26E3"/>
    <w:rsid w:val="007B038C"/>
    <w:rsid w:val="007F584E"/>
    <w:rsid w:val="00812822"/>
    <w:rsid w:val="00813641"/>
    <w:rsid w:val="00834CFE"/>
    <w:rsid w:val="008B20E4"/>
    <w:rsid w:val="00904B93"/>
    <w:rsid w:val="00975B07"/>
    <w:rsid w:val="009D7857"/>
    <w:rsid w:val="00A032E5"/>
    <w:rsid w:val="00A22A1D"/>
    <w:rsid w:val="00A63950"/>
    <w:rsid w:val="00A7624F"/>
    <w:rsid w:val="00A87D40"/>
    <w:rsid w:val="00AD1E1F"/>
    <w:rsid w:val="00B153B7"/>
    <w:rsid w:val="00BD3DE1"/>
    <w:rsid w:val="00BF3899"/>
    <w:rsid w:val="00C137D4"/>
    <w:rsid w:val="00C26122"/>
    <w:rsid w:val="00C619B3"/>
    <w:rsid w:val="00CF0B9F"/>
    <w:rsid w:val="00D4161C"/>
    <w:rsid w:val="00D63972"/>
    <w:rsid w:val="00D83B85"/>
    <w:rsid w:val="00DC5DA2"/>
    <w:rsid w:val="00E30EB6"/>
    <w:rsid w:val="00E40416"/>
    <w:rsid w:val="00E55311"/>
    <w:rsid w:val="00E91D9D"/>
    <w:rsid w:val="00EA2ED2"/>
    <w:rsid w:val="00EE5D4D"/>
    <w:rsid w:val="00F02603"/>
    <w:rsid w:val="00F05F35"/>
    <w:rsid w:val="00F50488"/>
    <w:rsid w:val="00F96C6F"/>
    <w:rsid w:val="00FA21FB"/>
    <w:rsid w:val="00FF47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BDD29A"/>
  <w15:chartTrackingRefBased/>
  <w15:docId w15:val="{0C4A2ADA-D7C6-4347-8BD5-E3CB9CE169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5048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5048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5048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5048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5048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5048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5048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5048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5048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5048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5048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5048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5048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5048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5048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5048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5048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50488"/>
    <w:rPr>
      <w:rFonts w:eastAsiaTheme="majorEastAsia" w:cstheme="majorBidi"/>
      <w:color w:val="272727" w:themeColor="text1" w:themeTint="D8"/>
    </w:rPr>
  </w:style>
  <w:style w:type="paragraph" w:styleId="Title">
    <w:name w:val="Title"/>
    <w:basedOn w:val="Normal"/>
    <w:next w:val="Normal"/>
    <w:link w:val="TitleChar"/>
    <w:uiPriority w:val="10"/>
    <w:qFormat/>
    <w:rsid w:val="00F5048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5048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5048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5048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50488"/>
    <w:pPr>
      <w:spacing w:before="160"/>
      <w:jc w:val="center"/>
    </w:pPr>
    <w:rPr>
      <w:i/>
      <w:iCs/>
      <w:color w:val="404040" w:themeColor="text1" w:themeTint="BF"/>
    </w:rPr>
  </w:style>
  <w:style w:type="character" w:customStyle="1" w:styleId="QuoteChar">
    <w:name w:val="Quote Char"/>
    <w:basedOn w:val="DefaultParagraphFont"/>
    <w:link w:val="Quote"/>
    <w:uiPriority w:val="29"/>
    <w:rsid w:val="00F50488"/>
    <w:rPr>
      <w:i/>
      <w:iCs/>
      <w:color w:val="404040" w:themeColor="text1" w:themeTint="BF"/>
    </w:rPr>
  </w:style>
  <w:style w:type="paragraph" w:styleId="ListParagraph">
    <w:name w:val="List Paragraph"/>
    <w:basedOn w:val="Normal"/>
    <w:uiPriority w:val="34"/>
    <w:qFormat/>
    <w:rsid w:val="00F50488"/>
    <w:pPr>
      <w:ind w:left="720"/>
      <w:contextualSpacing/>
    </w:pPr>
  </w:style>
  <w:style w:type="character" w:styleId="IntenseEmphasis">
    <w:name w:val="Intense Emphasis"/>
    <w:basedOn w:val="DefaultParagraphFont"/>
    <w:uiPriority w:val="21"/>
    <w:qFormat/>
    <w:rsid w:val="00F50488"/>
    <w:rPr>
      <w:i/>
      <w:iCs/>
      <w:color w:val="0F4761" w:themeColor="accent1" w:themeShade="BF"/>
    </w:rPr>
  </w:style>
  <w:style w:type="paragraph" w:styleId="IntenseQuote">
    <w:name w:val="Intense Quote"/>
    <w:basedOn w:val="Normal"/>
    <w:next w:val="Normal"/>
    <w:link w:val="IntenseQuoteChar"/>
    <w:uiPriority w:val="30"/>
    <w:qFormat/>
    <w:rsid w:val="00F5048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50488"/>
    <w:rPr>
      <w:i/>
      <w:iCs/>
      <w:color w:val="0F4761" w:themeColor="accent1" w:themeShade="BF"/>
    </w:rPr>
  </w:style>
  <w:style w:type="character" w:styleId="IntenseReference">
    <w:name w:val="Intense Reference"/>
    <w:basedOn w:val="DefaultParagraphFont"/>
    <w:uiPriority w:val="32"/>
    <w:qFormat/>
    <w:rsid w:val="00F50488"/>
    <w:rPr>
      <w:b/>
      <w:bCs/>
      <w:smallCaps/>
      <w:color w:val="0F4761" w:themeColor="accent1" w:themeShade="BF"/>
      <w:spacing w:val="5"/>
    </w:rPr>
  </w:style>
  <w:style w:type="paragraph" w:styleId="Header">
    <w:name w:val="header"/>
    <w:basedOn w:val="Normal"/>
    <w:link w:val="HeaderChar"/>
    <w:uiPriority w:val="99"/>
    <w:unhideWhenUsed/>
    <w:rsid w:val="006515A8"/>
    <w:pPr>
      <w:tabs>
        <w:tab w:val="center" w:pos="4513"/>
        <w:tab w:val="right" w:pos="9026"/>
      </w:tabs>
      <w:spacing w:after="0" w:line="240" w:lineRule="auto"/>
    </w:pPr>
  </w:style>
  <w:style w:type="character" w:customStyle="1" w:styleId="HeaderChar">
    <w:name w:val="Header Char"/>
    <w:basedOn w:val="DefaultParagraphFont"/>
    <w:link w:val="Header"/>
    <w:uiPriority w:val="99"/>
    <w:rsid w:val="006515A8"/>
  </w:style>
  <w:style w:type="paragraph" w:styleId="Footer">
    <w:name w:val="footer"/>
    <w:basedOn w:val="Normal"/>
    <w:link w:val="FooterChar"/>
    <w:uiPriority w:val="99"/>
    <w:unhideWhenUsed/>
    <w:rsid w:val="006515A8"/>
    <w:pPr>
      <w:tabs>
        <w:tab w:val="center" w:pos="4513"/>
        <w:tab w:val="right" w:pos="9026"/>
      </w:tabs>
      <w:spacing w:after="0" w:line="240" w:lineRule="auto"/>
    </w:pPr>
  </w:style>
  <w:style w:type="character" w:customStyle="1" w:styleId="FooterChar">
    <w:name w:val="Footer Char"/>
    <w:basedOn w:val="DefaultParagraphFont"/>
    <w:link w:val="Footer"/>
    <w:uiPriority w:val="99"/>
    <w:rsid w:val="006515A8"/>
  </w:style>
  <w:style w:type="character" w:styleId="Hyperlink">
    <w:name w:val="Hyperlink"/>
    <w:basedOn w:val="DefaultParagraphFont"/>
    <w:uiPriority w:val="99"/>
    <w:unhideWhenUsed/>
    <w:rsid w:val="00D4161C"/>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acp.co.uk/media/6308/bacp-using-digital-technology-in-counselling-professions-research-overview-gpia107-july2019.pdf" TargetMode="External"/><Relationship Id="rId13" Type="http://schemas.openxmlformats.org/officeDocument/2006/relationships/hyperlink" Target="https://www.digitalhealth.net/2015/10/nhs-health-apps-library-to-close/" TargetMode="External"/><Relationship Id="rId18" Type="http://schemas.openxmlformats.org/officeDocument/2006/relationships/hyperlink" Target="https://doi.org/10.1037/h0045357" TargetMode="External"/><Relationship Id="rId26" Type="http://schemas.openxmlformats.org/officeDocument/2006/relationships/image" Target="media/image7.png"/><Relationship Id="rId3" Type="http://schemas.openxmlformats.org/officeDocument/2006/relationships/styles" Target="styles.xml"/><Relationship Id="rId21" Type="http://schemas.openxmlformats.org/officeDocument/2006/relationships/image" Target="media/image2.png"/><Relationship Id="rId7" Type="http://schemas.openxmlformats.org/officeDocument/2006/relationships/endnotes" Target="endnotes.xml"/><Relationship Id="rId12" Type="http://schemas.openxmlformats.org/officeDocument/2006/relationships/hyperlink" Target="https://www.cntw.nhs.uk/resource-library/apps-to-support-your-mental-health-and-wellbeing/" TargetMode="External"/><Relationship Id="rId17" Type="http://schemas.openxmlformats.org/officeDocument/2006/relationships/hyperlink" Target="https://psycnet.apa.org/doi/10.1037/0022-006X.51.3.390" TargetMode="External"/><Relationship Id="rId25" Type="http://schemas.openxmlformats.org/officeDocument/2006/relationships/image" Target="media/image6.png"/><Relationship Id="rId2" Type="http://schemas.openxmlformats.org/officeDocument/2006/relationships/numbering" Target="numbering.xml"/><Relationship Id="rId16" Type="http://schemas.openxmlformats.org/officeDocument/2006/relationships/hyperlink" Target="https://www.imdrf.org/sites/default/files/docs/imdrf/final/technical/imdrf-tech-140918-samd-framework-risk-categorization-141013.pdf" TargetMode="External"/><Relationship Id="rId20" Type="http://schemas.openxmlformats.org/officeDocument/2006/relationships/image" Target="media/image1.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heshireandmerseyside.orchahealth.com/enGB/search?search=&amp;sortBy=AccreditationScoreDesc" TargetMode="External"/><Relationship Id="rId24" Type="http://schemas.openxmlformats.org/officeDocument/2006/relationships/image" Target="media/image5.png"/><Relationship Id="rId5" Type="http://schemas.openxmlformats.org/officeDocument/2006/relationships/webSettings" Target="webSettings.xml"/><Relationship Id="rId15" Type="http://schemas.openxmlformats.org/officeDocument/2006/relationships/hyperlink" Target="https://digital.nhs.uk/services/nhs-apps-library" TargetMode="External"/><Relationship Id="rId23" Type="http://schemas.openxmlformats.org/officeDocument/2006/relationships/image" Target="media/image4.png"/><Relationship Id="rId28" Type="http://schemas.openxmlformats.org/officeDocument/2006/relationships/fontTable" Target="fontTable.xml"/><Relationship Id="rId10" Type="http://schemas.openxmlformats.org/officeDocument/2006/relationships/hyperlink" Target="https://doi.org/10.1177/20552076241277712" TargetMode="External"/><Relationship Id="rId19" Type="http://schemas.openxmlformats.org/officeDocument/2006/relationships/hyperlink" Target="https://doi.org/10.64628/AB.a54emchq3" TargetMode="External"/><Relationship Id="rId4" Type="http://schemas.openxmlformats.org/officeDocument/2006/relationships/settings" Target="settings.xml"/><Relationship Id="rId9" Type="http://schemas.openxmlformats.org/officeDocument/2006/relationships/hyperlink" Target="https://doi.org/10.1080/2159676X.2019.1628806" TargetMode="External"/><Relationship Id="rId14" Type="http://schemas.openxmlformats.org/officeDocument/2006/relationships/hyperlink" Target="https://www.nice.org.uk/corporate/ecd7/resources/evidence-standards-framework-for-digital-health-technologies-pdf-1124017457605" TargetMode="External"/><Relationship Id="rId22" Type="http://schemas.openxmlformats.org/officeDocument/2006/relationships/image" Target="media/image3.png"/><Relationship Id="rId27"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E246A3-9833-4E98-A40E-2A59886ED9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496</TotalTime>
  <Pages>18</Pages>
  <Words>2655</Words>
  <Characters>15137</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Tegan Cartlidge (1400899)</dc:creator>
  <cp:keywords/>
  <dc:description/>
  <cp:lastModifiedBy>Tegan Cartlidge (1400899)</cp:lastModifiedBy>
  <cp:revision>69</cp:revision>
  <dcterms:created xsi:type="dcterms:W3CDTF">2026-01-10T10:35:00Z</dcterms:created>
  <dcterms:modified xsi:type="dcterms:W3CDTF">2026-01-11T16:15:00Z</dcterms:modified>
</cp:coreProperties>
</file>