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C9257" w14:textId="612DBD7F" w:rsidR="0055010E" w:rsidRDefault="0055010E" w:rsidP="0055010E">
      <w:pPr>
        <w:pStyle w:val="Title"/>
        <w:jc w:val="center"/>
        <w:rPr>
          <w:b/>
          <w:bCs/>
          <w:sz w:val="40"/>
          <w:szCs w:val="40"/>
          <w:u w:val="single"/>
        </w:rPr>
      </w:pPr>
      <w:r w:rsidRPr="00FA4443">
        <w:rPr>
          <w:b/>
          <w:bCs/>
          <w:sz w:val="40"/>
          <w:szCs w:val="40"/>
          <w:u w:val="single"/>
        </w:rPr>
        <w:t xml:space="preserve">Assessment </w:t>
      </w:r>
      <w:r w:rsidR="00790AFD">
        <w:rPr>
          <w:b/>
          <w:bCs/>
          <w:sz w:val="40"/>
          <w:szCs w:val="40"/>
          <w:u w:val="single"/>
        </w:rPr>
        <w:t>3</w:t>
      </w:r>
      <w:r w:rsidRPr="00FA4443">
        <w:rPr>
          <w:b/>
          <w:bCs/>
          <w:sz w:val="40"/>
          <w:szCs w:val="40"/>
          <w:u w:val="single"/>
        </w:rPr>
        <w:t>:</w:t>
      </w:r>
      <w:r w:rsidR="00790AFD">
        <w:rPr>
          <w:b/>
          <w:bCs/>
          <w:sz w:val="40"/>
          <w:szCs w:val="40"/>
          <w:u w:val="single"/>
        </w:rPr>
        <w:t xml:space="preserve"> </w:t>
      </w:r>
      <w:r w:rsidR="00380674">
        <w:rPr>
          <w:b/>
          <w:bCs/>
          <w:sz w:val="40"/>
          <w:szCs w:val="40"/>
          <w:u w:val="single"/>
        </w:rPr>
        <w:t xml:space="preserve">Dating Exercise </w:t>
      </w:r>
      <w:r w:rsidRPr="00FA4443">
        <w:rPr>
          <w:b/>
          <w:bCs/>
          <w:sz w:val="40"/>
          <w:szCs w:val="40"/>
          <w:u w:val="single"/>
        </w:rPr>
        <w:t>– By Matthew Cowley</w:t>
      </w:r>
    </w:p>
    <w:p w14:paraId="420FA83B" w14:textId="4A909DEC" w:rsidR="005F48DF" w:rsidRPr="005F48DF" w:rsidRDefault="005F48DF">
      <w:pPr>
        <w:spacing w:line="360" w:lineRule="auto"/>
        <w:rPr>
          <w:rFonts w:cstheme="minorHAnsi"/>
        </w:rPr>
      </w:pPr>
    </w:p>
    <w:p w14:paraId="29074E10" w14:textId="541A9A4B" w:rsidR="005F48DF" w:rsidRPr="000E124D" w:rsidRDefault="005F48DF" w:rsidP="00CC40BF">
      <w:pPr>
        <w:pStyle w:val="ListParagraph"/>
        <w:numPr>
          <w:ilvl w:val="0"/>
          <w:numId w:val="1"/>
        </w:numPr>
        <w:spacing w:line="360" w:lineRule="auto"/>
        <w:rPr>
          <w:rFonts w:cstheme="minorHAnsi"/>
        </w:rPr>
      </w:pPr>
      <w:r w:rsidRPr="000E124D">
        <w:rPr>
          <w:rFonts w:cstheme="minorHAnsi"/>
        </w:rPr>
        <w:t>Memorandum that the Thursday after the Assumption of the Blessed Virgin Mary in the 8th year of King Richard II the abbot of Byland was accused in the wapentake court held at Pickering.</w:t>
      </w:r>
    </w:p>
    <w:p w14:paraId="2C01FC24" w14:textId="37EFB19C" w:rsidR="005E41E5" w:rsidRDefault="00A97F32" w:rsidP="005E41E5">
      <w:pPr>
        <w:spacing w:line="360" w:lineRule="auto"/>
        <w:rPr>
          <w:rFonts w:cstheme="minorHAnsi"/>
        </w:rPr>
      </w:pPr>
      <w:r>
        <w:rPr>
          <w:rFonts w:cstheme="minorHAnsi"/>
        </w:rPr>
        <w:t>T</w:t>
      </w:r>
      <w:r w:rsidR="005E41E5">
        <w:rPr>
          <w:rFonts w:cstheme="minorHAnsi"/>
        </w:rPr>
        <w:t>he modern equivalent for the medieval date given in th</w:t>
      </w:r>
      <w:r w:rsidR="002B197E">
        <w:rPr>
          <w:rFonts w:cstheme="minorHAnsi"/>
        </w:rPr>
        <w:t xml:space="preserve">is </w:t>
      </w:r>
      <w:r w:rsidR="005E41E5">
        <w:rPr>
          <w:rFonts w:cstheme="minorHAnsi"/>
        </w:rPr>
        <w:t>extract would be Thursday 18</w:t>
      </w:r>
      <w:r w:rsidR="005E41E5" w:rsidRPr="005E41E5">
        <w:rPr>
          <w:rFonts w:cstheme="minorHAnsi"/>
          <w:vertAlign w:val="superscript"/>
        </w:rPr>
        <w:t>th</w:t>
      </w:r>
      <w:r w:rsidR="005E41E5">
        <w:rPr>
          <w:rFonts w:cstheme="minorHAnsi"/>
        </w:rPr>
        <w:t xml:space="preserve"> August 138</w:t>
      </w:r>
      <w:r>
        <w:rPr>
          <w:rFonts w:cstheme="minorHAnsi"/>
        </w:rPr>
        <w:t>4</w:t>
      </w:r>
      <w:r w:rsidR="00DB57B0">
        <w:rPr>
          <w:rFonts w:cstheme="minorHAnsi"/>
        </w:rPr>
        <w:t xml:space="preserve">. This </w:t>
      </w:r>
      <w:r>
        <w:rPr>
          <w:rFonts w:cstheme="minorHAnsi"/>
        </w:rPr>
        <w:t xml:space="preserve">was </w:t>
      </w:r>
      <w:r w:rsidR="005728F1">
        <w:rPr>
          <w:rFonts w:cstheme="minorHAnsi"/>
        </w:rPr>
        <w:t>calculated</w:t>
      </w:r>
      <w:r w:rsidR="005E41E5">
        <w:rPr>
          <w:rFonts w:cstheme="minorHAnsi"/>
        </w:rPr>
        <w:t xml:space="preserve"> </w:t>
      </w:r>
      <w:r>
        <w:rPr>
          <w:rFonts w:cstheme="minorHAnsi"/>
        </w:rPr>
        <w:t>using</w:t>
      </w:r>
      <w:r w:rsidR="005E41E5">
        <w:rPr>
          <w:rFonts w:cstheme="minorHAnsi"/>
        </w:rPr>
        <w:t xml:space="preserve"> the Handbook of British Chronology to work out the dates for the reign o</w:t>
      </w:r>
      <w:r>
        <w:rPr>
          <w:rFonts w:cstheme="minorHAnsi"/>
        </w:rPr>
        <w:t xml:space="preserve">f </w:t>
      </w:r>
      <w:r w:rsidR="005E41E5">
        <w:rPr>
          <w:rFonts w:cstheme="minorHAnsi"/>
        </w:rPr>
        <w:t>Richard II, who</w:t>
      </w:r>
      <w:r w:rsidR="00DB57B0">
        <w:rPr>
          <w:rFonts w:cstheme="minorHAnsi"/>
        </w:rPr>
        <w:t xml:space="preserve"> ruled</w:t>
      </w:r>
      <w:r w:rsidR="005E41E5">
        <w:rPr>
          <w:rFonts w:cstheme="minorHAnsi"/>
        </w:rPr>
        <w:t xml:space="preserve"> </w:t>
      </w:r>
      <w:r w:rsidR="00DB57B0">
        <w:rPr>
          <w:rFonts w:cstheme="minorHAnsi"/>
        </w:rPr>
        <w:t>from</w:t>
      </w:r>
      <w:r w:rsidR="005E41E5">
        <w:rPr>
          <w:rFonts w:cstheme="minorHAnsi"/>
        </w:rPr>
        <w:t xml:space="preserve"> 22</w:t>
      </w:r>
      <w:r w:rsidR="005E41E5" w:rsidRPr="005E41E5">
        <w:rPr>
          <w:rFonts w:cstheme="minorHAnsi"/>
          <w:vertAlign w:val="superscript"/>
        </w:rPr>
        <w:t>nd</w:t>
      </w:r>
      <w:r w:rsidR="005E41E5">
        <w:rPr>
          <w:rFonts w:cstheme="minorHAnsi"/>
        </w:rPr>
        <w:t xml:space="preserve"> June 1377 </w:t>
      </w:r>
      <w:r w:rsidR="00DB57B0">
        <w:rPr>
          <w:rFonts w:cstheme="minorHAnsi"/>
        </w:rPr>
        <w:t>to</w:t>
      </w:r>
      <w:r w:rsidR="005E41E5">
        <w:rPr>
          <w:rFonts w:cstheme="minorHAnsi"/>
        </w:rPr>
        <w:t xml:space="preserve"> 29</w:t>
      </w:r>
      <w:r w:rsidR="005E41E5" w:rsidRPr="005E41E5">
        <w:rPr>
          <w:rFonts w:cstheme="minorHAnsi"/>
          <w:vertAlign w:val="superscript"/>
        </w:rPr>
        <w:t>th</w:t>
      </w:r>
      <w:r w:rsidR="005E41E5">
        <w:rPr>
          <w:rFonts w:cstheme="minorHAnsi"/>
        </w:rPr>
        <w:t xml:space="preserve"> September 1399</w:t>
      </w:r>
      <w:r w:rsidR="00DB57B0">
        <w:rPr>
          <w:rFonts w:cstheme="minorHAnsi"/>
        </w:rPr>
        <w:t>, before calculating his eighth regnal year, which fell between 22</w:t>
      </w:r>
      <w:r w:rsidR="00DB57B0" w:rsidRPr="00BA328B">
        <w:rPr>
          <w:rFonts w:cstheme="minorHAnsi"/>
          <w:vertAlign w:val="superscript"/>
        </w:rPr>
        <w:t>nd</w:t>
      </w:r>
      <w:r w:rsidR="00DB57B0">
        <w:rPr>
          <w:rFonts w:cstheme="minorHAnsi"/>
        </w:rPr>
        <w:t xml:space="preserve"> June 1384 and 21</w:t>
      </w:r>
      <w:r w:rsidR="00DB57B0" w:rsidRPr="00BA328B">
        <w:rPr>
          <w:rFonts w:cstheme="minorHAnsi"/>
          <w:vertAlign w:val="superscript"/>
        </w:rPr>
        <w:t>st</w:t>
      </w:r>
      <w:r w:rsidR="00DB57B0">
        <w:rPr>
          <w:rFonts w:cstheme="minorHAnsi"/>
        </w:rPr>
        <w:t xml:space="preserve"> June 1385</w:t>
      </w:r>
      <w:r w:rsidR="005E41E5">
        <w:rPr>
          <w:rFonts w:cstheme="minorHAnsi"/>
        </w:rPr>
        <w:t>.</w:t>
      </w:r>
      <w:r w:rsidR="005E41E5">
        <w:rPr>
          <w:rStyle w:val="FootnoteReference"/>
          <w:rFonts w:cstheme="minorHAnsi"/>
        </w:rPr>
        <w:footnoteReference w:id="1"/>
      </w:r>
      <w:r w:rsidR="00BA328B">
        <w:rPr>
          <w:rFonts w:cstheme="minorHAnsi"/>
        </w:rPr>
        <w:t xml:space="preserve"> </w:t>
      </w:r>
      <w:r w:rsidR="00DB57B0">
        <w:rPr>
          <w:rFonts w:cstheme="minorHAnsi"/>
        </w:rPr>
        <w:t>From this,</w:t>
      </w:r>
      <w:r w:rsidR="00BA328B">
        <w:rPr>
          <w:rFonts w:cstheme="minorHAnsi"/>
        </w:rPr>
        <w:t xml:space="preserve"> the list of ‘Saints’ Days and Feasts’ </w:t>
      </w:r>
      <w:r w:rsidR="002B197E">
        <w:rPr>
          <w:rFonts w:cstheme="minorHAnsi"/>
        </w:rPr>
        <w:t>in</w:t>
      </w:r>
      <w:r w:rsidR="00BA328B">
        <w:rPr>
          <w:rFonts w:cstheme="minorHAnsi"/>
        </w:rPr>
        <w:t xml:space="preserve"> the Handbook of Dates</w:t>
      </w:r>
      <w:r w:rsidR="00DB57B0">
        <w:rPr>
          <w:rFonts w:cstheme="minorHAnsi"/>
        </w:rPr>
        <w:t xml:space="preserve"> </w:t>
      </w:r>
      <w:r w:rsidR="00730816">
        <w:rPr>
          <w:rFonts w:cstheme="minorHAnsi"/>
        </w:rPr>
        <w:t>was</w:t>
      </w:r>
      <w:r w:rsidR="00DB57B0">
        <w:rPr>
          <w:rFonts w:cstheme="minorHAnsi"/>
        </w:rPr>
        <w:t xml:space="preserve"> analysed</w:t>
      </w:r>
      <w:r w:rsidR="00BA328B">
        <w:rPr>
          <w:rFonts w:cstheme="minorHAnsi"/>
        </w:rPr>
        <w:t xml:space="preserve"> to establish when the Assumption of the Blessed Virgin Mary occurred, which was the 15</w:t>
      </w:r>
      <w:r w:rsidR="00BA328B" w:rsidRPr="00BA328B">
        <w:rPr>
          <w:rFonts w:cstheme="minorHAnsi"/>
          <w:vertAlign w:val="superscript"/>
        </w:rPr>
        <w:t>th</w:t>
      </w:r>
      <w:r w:rsidR="00BA328B">
        <w:rPr>
          <w:rFonts w:cstheme="minorHAnsi"/>
        </w:rPr>
        <w:t xml:space="preserve"> August.</w:t>
      </w:r>
      <w:r w:rsidR="00BA328B">
        <w:rPr>
          <w:rStyle w:val="FootnoteReference"/>
          <w:rFonts w:cstheme="minorHAnsi"/>
        </w:rPr>
        <w:footnoteReference w:id="2"/>
      </w:r>
      <w:r w:rsidR="006C6629">
        <w:rPr>
          <w:rFonts w:cstheme="minorHAnsi"/>
        </w:rPr>
        <w:t xml:space="preserve"> </w:t>
      </w:r>
      <w:r w:rsidR="005728F1">
        <w:rPr>
          <w:rFonts w:cstheme="minorHAnsi"/>
        </w:rPr>
        <w:t>T</w:t>
      </w:r>
      <w:r w:rsidR="00C555E9">
        <w:rPr>
          <w:rFonts w:cstheme="minorHAnsi"/>
        </w:rPr>
        <w:t>he</w:t>
      </w:r>
      <w:r w:rsidR="005728F1">
        <w:rPr>
          <w:rFonts w:cstheme="minorHAnsi"/>
        </w:rPr>
        <w:t xml:space="preserve"> date could be narrowed down further by </w:t>
      </w:r>
      <w:r w:rsidR="006C6629">
        <w:rPr>
          <w:rFonts w:cstheme="minorHAnsi"/>
        </w:rPr>
        <w:t>us</w:t>
      </w:r>
      <w:r w:rsidR="005728F1">
        <w:rPr>
          <w:rFonts w:cstheme="minorHAnsi"/>
        </w:rPr>
        <w:t>ing</w:t>
      </w:r>
      <w:r w:rsidR="006C6629">
        <w:rPr>
          <w:rFonts w:cstheme="minorHAnsi"/>
        </w:rPr>
        <w:t xml:space="preserve"> the chronological table for Easter dates from the Handbook of Dates</w:t>
      </w:r>
      <w:r w:rsidR="005728F1">
        <w:rPr>
          <w:rFonts w:cstheme="minorHAnsi"/>
        </w:rPr>
        <w:t xml:space="preserve"> to find that</w:t>
      </w:r>
      <w:r w:rsidR="006C6629">
        <w:rPr>
          <w:rFonts w:cstheme="minorHAnsi"/>
        </w:rPr>
        <w:t xml:space="preserve"> Easter</w:t>
      </w:r>
      <w:r w:rsidR="005728F1">
        <w:rPr>
          <w:rFonts w:cstheme="minorHAnsi"/>
        </w:rPr>
        <w:t xml:space="preserve"> Sunday in 1384 </w:t>
      </w:r>
      <w:r w:rsidR="006C6629">
        <w:rPr>
          <w:rFonts w:cstheme="minorHAnsi"/>
        </w:rPr>
        <w:t>fell on 10</w:t>
      </w:r>
      <w:r w:rsidR="006C6629" w:rsidRPr="006C6629">
        <w:rPr>
          <w:rFonts w:cstheme="minorHAnsi"/>
          <w:vertAlign w:val="superscript"/>
        </w:rPr>
        <w:t>th</w:t>
      </w:r>
      <w:r w:rsidR="006C6629">
        <w:rPr>
          <w:rFonts w:cstheme="minorHAnsi"/>
        </w:rPr>
        <w:t xml:space="preserve"> April.</w:t>
      </w:r>
      <w:r w:rsidR="006C6629">
        <w:rPr>
          <w:rStyle w:val="FootnoteReference"/>
          <w:rFonts w:cstheme="minorHAnsi"/>
        </w:rPr>
        <w:footnoteReference w:id="3"/>
      </w:r>
      <w:r w:rsidR="006C6629">
        <w:rPr>
          <w:rFonts w:cstheme="minorHAnsi"/>
        </w:rPr>
        <w:t xml:space="preserve"> With this, </w:t>
      </w:r>
      <w:r w:rsidR="004A24D4">
        <w:rPr>
          <w:rFonts w:cstheme="minorHAnsi"/>
        </w:rPr>
        <w:t>a modern calendar where 10</w:t>
      </w:r>
      <w:r w:rsidR="004A24D4" w:rsidRPr="004A24D4">
        <w:rPr>
          <w:rFonts w:cstheme="minorHAnsi"/>
          <w:vertAlign w:val="superscript"/>
        </w:rPr>
        <w:t>th</w:t>
      </w:r>
      <w:r w:rsidR="004A24D4">
        <w:rPr>
          <w:rFonts w:cstheme="minorHAnsi"/>
        </w:rPr>
        <w:t xml:space="preserve"> April </w:t>
      </w:r>
      <w:r w:rsidR="00987BA7">
        <w:rPr>
          <w:rFonts w:cstheme="minorHAnsi"/>
        </w:rPr>
        <w:t>was</w:t>
      </w:r>
      <w:r w:rsidR="004A24D4">
        <w:rPr>
          <w:rFonts w:cstheme="minorHAnsi"/>
        </w:rPr>
        <w:t xml:space="preserve"> on a Sunday</w:t>
      </w:r>
      <w:r w:rsidR="005728F1">
        <w:rPr>
          <w:rFonts w:cstheme="minorHAnsi"/>
        </w:rPr>
        <w:t xml:space="preserve"> could be looked at</w:t>
      </w:r>
      <w:r w:rsidR="004A24D4">
        <w:rPr>
          <w:rFonts w:cstheme="minorHAnsi"/>
        </w:rPr>
        <w:t xml:space="preserve">, </w:t>
      </w:r>
      <w:r w:rsidR="00E702A8">
        <w:rPr>
          <w:rFonts w:cstheme="minorHAnsi"/>
        </w:rPr>
        <w:t xml:space="preserve">as years repeat themselves, </w:t>
      </w:r>
      <w:r w:rsidR="005728F1">
        <w:rPr>
          <w:rFonts w:cstheme="minorHAnsi"/>
        </w:rPr>
        <w:t xml:space="preserve">in order to </w:t>
      </w:r>
      <w:r w:rsidR="004A24D4">
        <w:rPr>
          <w:rFonts w:cstheme="minorHAnsi"/>
        </w:rPr>
        <w:t>find</w:t>
      </w:r>
      <w:r w:rsidR="005728F1">
        <w:rPr>
          <w:rFonts w:cstheme="minorHAnsi"/>
        </w:rPr>
        <w:t xml:space="preserve"> out</w:t>
      </w:r>
      <w:r w:rsidR="004A24D4">
        <w:rPr>
          <w:rFonts w:cstheme="minorHAnsi"/>
        </w:rPr>
        <w:t xml:space="preserve"> what day</w:t>
      </w:r>
      <w:r w:rsidR="00FB2BB5">
        <w:rPr>
          <w:rFonts w:cstheme="minorHAnsi"/>
        </w:rPr>
        <w:t xml:space="preserve"> the Thursday following the</w:t>
      </w:r>
      <w:r w:rsidR="004A24D4">
        <w:rPr>
          <w:rFonts w:cstheme="minorHAnsi"/>
        </w:rPr>
        <w:t xml:space="preserve"> 15</w:t>
      </w:r>
      <w:r w:rsidR="004A24D4" w:rsidRPr="004A24D4">
        <w:rPr>
          <w:rFonts w:cstheme="minorHAnsi"/>
          <w:vertAlign w:val="superscript"/>
        </w:rPr>
        <w:t>th</w:t>
      </w:r>
      <w:r w:rsidR="004A24D4">
        <w:rPr>
          <w:rFonts w:cstheme="minorHAnsi"/>
        </w:rPr>
        <w:t xml:space="preserve"> August </w:t>
      </w:r>
      <w:r w:rsidR="00FB2BB5">
        <w:rPr>
          <w:rFonts w:cstheme="minorHAnsi"/>
        </w:rPr>
        <w:t>would be</w:t>
      </w:r>
      <w:r w:rsidR="004A24D4">
        <w:rPr>
          <w:rFonts w:cstheme="minorHAnsi"/>
        </w:rPr>
        <w:t>.</w:t>
      </w:r>
      <w:r w:rsidR="000E124D">
        <w:rPr>
          <w:rStyle w:val="FootnoteReference"/>
          <w:rFonts w:cstheme="minorHAnsi"/>
        </w:rPr>
        <w:footnoteReference w:id="4"/>
      </w:r>
      <w:r w:rsidR="004A24D4">
        <w:rPr>
          <w:rFonts w:cstheme="minorHAnsi"/>
        </w:rPr>
        <w:t xml:space="preserve"> </w:t>
      </w:r>
      <w:r w:rsidR="005728F1">
        <w:rPr>
          <w:rFonts w:cstheme="minorHAnsi"/>
        </w:rPr>
        <w:t>It was</w:t>
      </w:r>
      <w:r w:rsidR="004A24D4">
        <w:rPr>
          <w:rFonts w:cstheme="minorHAnsi"/>
        </w:rPr>
        <w:t xml:space="preserve"> found that 10</w:t>
      </w:r>
      <w:r w:rsidR="004A24D4" w:rsidRPr="004A24D4">
        <w:rPr>
          <w:rFonts w:cstheme="minorHAnsi"/>
          <w:vertAlign w:val="superscript"/>
        </w:rPr>
        <w:t>th</w:t>
      </w:r>
      <w:r w:rsidR="004A24D4">
        <w:rPr>
          <w:rFonts w:cstheme="minorHAnsi"/>
        </w:rPr>
        <w:t xml:space="preserve"> April in 2022 fell on the necessary date and that 15</w:t>
      </w:r>
      <w:r w:rsidR="004A24D4" w:rsidRPr="004A24D4">
        <w:rPr>
          <w:rFonts w:cstheme="minorHAnsi"/>
          <w:vertAlign w:val="superscript"/>
        </w:rPr>
        <w:t>th</w:t>
      </w:r>
      <w:r w:rsidR="004A24D4">
        <w:rPr>
          <w:rFonts w:cstheme="minorHAnsi"/>
        </w:rPr>
        <w:t xml:space="preserve"> August 2022 fell on a Monday, which </w:t>
      </w:r>
      <w:r w:rsidR="007B5F30">
        <w:rPr>
          <w:rFonts w:cstheme="minorHAnsi"/>
        </w:rPr>
        <w:t>meant that the</w:t>
      </w:r>
      <w:r w:rsidR="004A24D4">
        <w:rPr>
          <w:rFonts w:cstheme="minorHAnsi"/>
        </w:rPr>
        <w:t xml:space="preserve"> Thursday after would be 18</w:t>
      </w:r>
      <w:r w:rsidR="004A24D4" w:rsidRPr="004A24D4">
        <w:rPr>
          <w:rFonts w:cstheme="minorHAnsi"/>
          <w:vertAlign w:val="superscript"/>
        </w:rPr>
        <w:t>th</w:t>
      </w:r>
      <w:r w:rsidR="004A24D4">
        <w:rPr>
          <w:rFonts w:cstheme="minorHAnsi"/>
        </w:rPr>
        <w:t xml:space="preserve"> August, which is how the modern date for this text </w:t>
      </w:r>
      <w:r w:rsidR="007B5F30">
        <w:rPr>
          <w:rFonts w:cstheme="minorHAnsi"/>
        </w:rPr>
        <w:t xml:space="preserve">was calculated </w:t>
      </w:r>
      <w:r w:rsidR="004A24D4">
        <w:rPr>
          <w:rFonts w:cstheme="minorHAnsi"/>
        </w:rPr>
        <w:t>to be 18</w:t>
      </w:r>
      <w:r w:rsidR="004A24D4" w:rsidRPr="004A24D4">
        <w:rPr>
          <w:rFonts w:cstheme="minorHAnsi"/>
          <w:vertAlign w:val="superscript"/>
        </w:rPr>
        <w:t>th</w:t>
      </w:r>
      <w:r w:rsidR="004A24D4">
        <w:rPr>
          <w:rFonts w:cstheme="minorHAnsi"/>
        </w:rPr>
        <w:t xml:space="preserve"> August 1384.</w:t>
      </w:r>
      <w:r w:rsidR="000E124D">
        <w:rPr>
          <w:rStyle w:val="FootnoteReference"/>
          <w:rFonts w:cstheme="minorHAnsi"/>
        </w:rPr>
        <w:footnoteReference w:id="5"/>
      </w:r>
    </w:p>
    <w:p w14:paraId="71C45159" w14:textId="77777777" w:rsidR="00CC40BF" w:rsidRDefault="00CC40BF" w:rsidP="00CC40BF">
      <w:pPr>
        <w:spacing w:line="360" w:lineRule="auto"/>
        <w:rPr>
          <w:rFonts w:cstheme="minorHAnsi"/>
        </w:rPr>
      </w:pPr>
    </w:p>
    <w:p w14:paraId="2AF3488E" w14:textId="3B0464F2" w:rsidR="00CC40BF" w:rsidRPr="00F4647F" w:rsidRDefault="00CC40BF" w:rsidP="00CC40BF">
      <w:pPr>
        <w:pStyle w:val="ListParagraph"/>
        <w:numPr>
          <w:ilvl w:val="0"/>
          <w:numId w:val="1"/>
        </w:numPr>
        <w:spacing w:line="360" w:lineRule="auto"/>
        <w:rPr>
          <w:sz w:val="20"/>
          <w:szCs w:val="20"/>
        </w:rPr>
      </w:pPr>
      <w:r w:rsidRPr="00F4647F">
        <w:t>Confirmation by Bishop Anian of St Asaph of the charters for Shrewsbury Abbey issued by his predecessors Bishops Reiner, Abraham, and Hugh. Given at Shrewsbury the day after St Mary Magdalene in the first year of his pontificate.</w:t>
      </w:r>
    </w:p>
    <w:p w14:paraId="17A26E67" w14:textId="7640AB72" w:rsidR="007F0966" w:rsidRDefault="007F0966" w:rsidP="005F48DF">
      <w:pPr>
        <w:spacing w:line="360" w:lineRule="auto"/>
        <w:rPr>
          <w:rFonts w:cstheme="minorHAnsi"/>
        </w:rPr>
      </w:pPr>
      <w:r>
        <w:rPr>
          <w:rFonts w:cstheme="minorHAnsi"/>
        </w:rPr>
        <w:t xml:space="preserve">For this extract, </w:t>
      </w:r>
      <w:r w:rsidR="00DB57B0">
        <w:rPr>
          <w:rFonts w:cstheme="minorHAnsi"/>
        </w:rPr>
        <w:t>the</w:t>
      </w:r>
      <w:r>
        <w:rPr>
          <w:rFonts w:cstheme="minorHAnsi"/>
        </w:rPr>
        <w:t xml:space="preserve"> modern date would be 23</w:t>
      </w:r>
      <w:r w:rsidRPr="007F0966">
        <w:rPr>
          <w:rFonts w:cstheme="minorHAnsi"/>
          <w:vertAlign w:val="superscript"/>
        </w:rPr>
        <w:t>rd</w:t>
      </w:r>
      <w:r>
        <w:rPr>
          <w:rFonts w:cstheme="minorHAnsi"/>
        </w:rPr>
        <w:t xml:space="preserve"> July 1250, which was calculated </w:t>
      </w:r>
      <w:r w:rsidR="000D7C24">
        <w:rPr>
          <w:rFonts w:cstheme="minorHAnsi"/>
        </w:rPr>
        <w:t>by f</w:t>
      </w:r>
      <w:r w:rsidR="00DB57B0">
        <w:rPr>
          <w:rFonts w:cstheme="minorHAnsi"/>
        </w:rPr>
        <w:t>irstly</w:t>
      </w:r>
      <w:r w:rsidR="000D7C24">
        <w:rPr>
          <w:rFonts w:cstheme="minorHAnsi"/>
        </w:rPr>
        <w:t xml:space="preserve"> identifying who</w:t>
      </w:r>
      <w:r>
        <w:rPr>
          <w:rFonts w:cstheme="minorHAnsi"/>
        </w:rPr>
        <w:t xml:space="preserve"> Anian of St Asaph</w:t>
      </w:r>
      <w:r w:rsidR="000D7C24">
        <w:rPr>
          <w:rFonts w:cstheme="minorHAnsi"/>
        </w:rPr>
        <w:t xml:space="preserve"> was</w:t>
      </w:r>
      <w:r>
        <w:rPr>
          <w:rFonts w:cstheme="minorHAnsi"/>
        </w:rPr>
        <w:t xml:space="preserve">, </w:t>
      </w:r>
      <w:r w:rsidR="006030CF">
        <w:rPr>
          <w:rFonts w:cstheme="minorHAnsi"/>
        </w:rPr>
        <w:t xml:space="preserve">with the </w:t>
      </w:r>
      <w:r w:rsidR="00AF2954">
        <w:rPr>
          <w:rFonts w:cstheme="minorHAnsi"/>
        </w:rPr>
        <w:t>only</w:t>
      </w:r>
      <w:r w:rsidR="006030CF">
        <w:rPr>
          <w:rFonts w:cstheme="minorHAnsi"/>
        </w:rPr>
        <w:t xml:space="preserve"> </w:t>
      </w:r>
      <w:r w:rsidR="00DB57B0">
        <w:rPr>
          <w:rFonts w:cstheme="minorHAnsi"/>
        </w:rPr>
        <w:t>aid</w:t>
      </w:r>
      <w:r w:rsidR="006030CF">
        <w:rPr>
          <w:rFonts w:cstheme="minorHAnsi"/>
        </w:rPr>
        <w:t xml:space="preserve"> being that </w:t>
      </w:r>
      <w:r w:rsidR="00AF2954">
        <w:rPr>
          <w:rFonts w:cstheme="minorHAnsi"/>
        </w:rPr>
        <w:t>three of his predecessors were bishops name</w:t>
      </w:r>
      <w:r w:rsidR="000D7C24">
        <w:rPr>
          <w:rFonts w:cstheme="minorHAnsi"/>
        </w:rPr>
        <w:t>d</w:t>
      </w:r>
      <w:r w:rsidR="00AF2954">
        <w:rPr>
          <w:rFonts w:cstheme="minorHAnsi"/>
        </w:rPr>
        <w:t xml:space="preserve"> Reiner, Abraham, and Hugh. As such, </w:t>
      </w:r>
      <w:r w:rsidR="008A4992">
        <w:rPr>
          <w:rFonts w:cstheme="minorHAnsi"/>
        </w:rPr>
        <w:t>the list of bishops of St Asaph</w:t>
      </w:r>
      <w:r w:rsidR="006E1C2B" w:rsidRPr="006E1C2B">
        <w:rPr>
          <w:rFonts w:cstheme="minorHAnsi"/>
        </w:rPr>
        <w:t xml:space="preserve"> </w:t>
      </w:r>
      <w:r w:rsidR="006E1C2B">
        <w:rPr>
          <w:rFonts w:cstheme="minorHAnsi"/>
        </w:rPr>
        <w:t xml:space="preserve">in the Handbook of British Chronology was used, </w:t>
      </w:r>
      <w:r w:rsidR="008A4992">
        <w:rPr>
          <w:rFonts w:cstheme="minorHAnsi"/>
        </w:rPr>
        <w:t xml:space="preserve">and two </w:t>
      </w:r>
      <w:r w:rsidR="006E1C2B">
        <w:rPr>
          <w:rFonts w:cstheme="minorHAnsi"/>
        </w:rPr>
        <w:t>bishops</w:t>
      </w:r>
      <w:r w:rsidR="00F55A64">
        <w:rPr>
          <w:rFonts w:cstheme="minorHAnsi"/>
        </w:rPr>
        <w:t xml:space="preserve"> by the name of </w:t>
      </w:r>
      <w:r w:rsidR="008A4992">
        <w:rPr>
          <w:rFonts w:cstheme="minorHAnsi"/>
        </w:rPr>
        <w:t>Anian</w:t>
      </w:r>
      <w:r w:rsidR="006E1C2B">
        <w:rPr>
          <w:rFonts w:cstheme="minorHAnsi"/>
        </w:rPr>
        <w:t xml:space="preserve"> were identified</w:t>
      </w:r>
      <w:r w:rsidR="00F55A64">
        <w:rPr>
          <w:rFonts w:cstheme="minorHAnsi"/>
        </w:rPr>
        <w:t xml:space="preserve">, one dating between November 1249 and September 1266 while the other </w:t>
      </w:r>
      <w:r w:rsidR="006E1C2B">
        <w:rPr>
          <w:rFonts w:cstheme="minorHAnsi"/>
        </w:rPr>
        <w:t>was from</w:t>
      </w:r>
      <w:r w:rsidR="00F55A64">
        <w:rPr>
          <w:rFonts w:cstheme="minorHAnsi"/>
        </w:rPr>
        <w:t xml:space="preserve"> October 1268 </w:t>
      </w:r>
      <w:r w:rsidR="006E1C2B">
        <w:rPr>
          <w:rFonts w:cstheme="minorHAnsi"/>
        </w:rPr>
        <w:t>to</w:t>
      </w:r>
      <w:r w:rsidR="00F55A64">
        <w:rPr>
          <w:rFonts w:cstheme="minorHAnsi"/>
        </w:rPr>
        <w:t xml:space="preserve"> February </w:t>
      </w:r>
      <w:r w:rsidR="00F55A64">
        <w:rPr>
          <w:rFonts w:cstheme="minorHAnsi"/>
        </w:rPr>
        <w:lastRenderedPageBreak/>
        <w:t xml:space="preserve">1293. </w:t>
      </w:r>
      <w:r w:rsidR="006E1C2B">
        <w:rPr>
          <w:rFonts w:cstheme="minorHAnsi"/>
        </w:rPr>
        <w:t xml:space="preserve">From this, the </w:t>
      </w:r>
      <w:r w:rsidR="00F55A64">
        <w:rPr>
          <w:rFonts w:cstheme="minorHAnsi"/>
        </w:rPr>
        <w:t xml:space="preserve">list of bishops </w:t>
      </w:r>
      <w:r w:rsidR="006E1C2B">
        <w:rPr>
          <w:rFonts w:cstheme="minorHAnsi"/>
        </w:rPr>
        <w:t xml:space="preserve">was used again </w:t>
      </w:r>
      <w:r w:rsidR="00F55A64">
        <w:rPr>
          <w:rFonts w:cstheme="minorHAnsi"/>
        </w:rPr>
        <w:t xml:space="preserve">to </w:t>
      </w:r>
      <w:r w:rsidR="006E1C2B">
        <w:rPr>
          <w:rFonts w:cstheme="minorHAnsi"/>
        </w:rPr>
        <w:t>identify</w:t>
      </w:r>
      <w:r w:rsidR="00F55A64">
        <w:rPr>
          <w:rFonts w:cstheme="minorHAnsi"/>
        </w:rPr>
        <w:t xml:space="preserve"> the predecessors of the</w:t>
      </w:r>
      <w:r w:rsidR="006E1C2B">
        <w:rPr>
          <w:rFonts w:cstheme="minorHAnsi"/>
        </w:rPr>
        <w:t>se</w:t>
      </w:r>
      <w:r w:rsidR="00F55A64">
        <w:rPr>
          <w:rFonts w:cstheme="minorHAnsi"/>
        </w:rPr>
        <w:t xml:space="preserve"> two individuals, </w:t>
      </w:r>
      <w:r w:rsidR="006E1C2B">
        <w:rPr>
          <w:rFonts w:cstheme="minorHAnsi"/>
        </w:rPr>
        <w:t>and it was found that</w:t>
      </w:r>
      <w:r w:rsidR="00F55A64">
        <w:rPr>
          <w:rFonts w:cstheme="minorHAnsi"/>
        </w:rPr>
        <w:t xml:space="preserve"> </w:t>
      </w:r>
      <w:r w:rsidR="000D7C24">
        <w:rPr>
          <w:rFonts w:cstheme="minorHAnsi"/>
        </w:rPr>
        <w:t>these</w:t>
      </w:r>
      <w:r w:rsidR="00F55A64">
        <w:rPr>
          <w:rFonts w:cstheme="minorHAnsi"/>
        </w:rPr>
        <w:t xml:space="preserve"> predecessors </w:t>
      </w:r>
      <w:r w:rsidR="000D7C24">
        <w:rPr>
          <w:rFonts w:cstheme="minorHAnsi"/>
        </w:rPr>
        <w:t xml:space="preserve">were in office </w:t>
      </w:r>
      <w:r w:rsidR="00F55A64">
        <w:rPr>
          <w:rFonts w:cstheme="minorHAnsi"/>
        </w:rPr>
        <w:t xml:space="preserve">between August 1186 and 1224, June 1225 and February 1233, and June 1235 </w:t>
      </w:r>
      <w:r w:rsidR="00987BA7">
        <w:rPr>
          <w:rFonts w:cstheme="minorHAnsi"/>
        </w:rPr>
        <w:t>to</w:t>
      </w:r>
      <w:r w:rsidR="00F55A64">
        <w:rPr>
          <w:rFonts w:cstheme="minorHAnsi"/>
        </w:rPr>
        <w:t xml:space="preserve"> 1240 respectively.</w:t>
      </w:r>
      <w:r w:rsidR="00F55A64">
        <w:rPr>
          <w:rStyle w:val="FootnoteReference"/>
          <w:rFonts w:cstheme="minorHAnsi"/>
        </w:rPr>
        <w:footnoteReference w:id="6"/>
      </w:r>
      <w:r w:rsidR="00F55A64">
        <w:rPr>
          <w:rFonts w:cstheme="minorHAnsi"/>
        </w:rPr>
        <w:t xml:space="preserve"> </w:t>
      </w:r>
      <w:r w:rsidR="00C95EFD">
        <w:rPr>
          <w:rFonts w:cstheme="minorHAnsi"/>
        </w:rPr>
        <w:t>From this, it was possible to identify that the Bishop Anian referred to in the extract was the one in office between 1249 and 1266</w:t>
      </w:r>
      <w:r w:rsidR="006E1C2B">
        <w:rPr>
          <w:rFonts w:cstheme="minorHAnsi"/>
        </w:rPr>
        <w:t xml:space="preserve">, so </w:t>
      </w:r>
      <w:r w:rsidR="001861AC">
        <w:rPr>
          <w:rFonts w:cstheme="minorHAnsi"/>
        </w:rPr>
        <w:t>his</w:t>
      </w:r>
      <w:r w:rsidR="006E1C2B">
        <w:rPr>
          <w:rFonts w:cstheme="minorHAnsi"/>
        </w:rPr>
        <w:t xml:space="preserve"> first year in office </w:t>
      </w:r>
      <w:r w:rsidR="00C95EFD">
        <w:rPr>
          <w:rFonts w:cstheme="minorHAnsi"/>
        </w:rPr>
        <w:t xml:space="preserve">ran roughly between November 1249 and October/November 1250, depending on </w:t>
      </w:r>
      <w:r w:rsidR="00987BA7">
        <w:rPr>
          <w:rFonts w:cstheme="minorHAnsi"/>
        </w:rPr>
        <w:t xml:space="preserve">his </w:t>
      </w:r>
      <w:r w:rsidR="00C95EFD">
        <w:rPr>
          <w:rFonts w:cstheme="minorHAnsi"/>
        </w:rPr>
        <w:t>consecrat</w:t>
      </w:r>
      <w:r w:rsidR="00987BA7">
        <w:rPr>
          <w:rFonts w:cstheme="minorHAnsi"/>
        </w:rPr>
        <w:t>ion</w:t>
      </w:r>
      <w:r w:rsidR="006E1C2B">
        <w:rPr>
          <w:rFonts w:cstheme="minorHAnsi"/>
        </w:rPr>
        <w:t xml:space="preserve">. Finally, the </w:t>
      </w:r>
      <w:r w:rsidR="00C95EFD">
        <w:rPr>
          <w:rFonts w:cstheme="minorHAnsi"/>
        </w:rPr>
        <w:t xml:space="preserve">list of ‘Saints’ Days and Feasts’ in the Handbook of Dates states that the day of St Mary Magdalene </w:t>
      </w:r>
      <w:r w:rsidR="006E1C2B">
        <w:rPr>
          <w:rFonts w:cstheme="minorHAnsi"/>
        </w:rPr>
        <w:t>fell</w:t>
      </w:r>
      <w:r w:rsidR="00C95EFD">
        <w:rPr>
          <w:rFonts w:cstheme="minorHAnsi"/>
        </w:rPr>
        <w:t xml:space="preserve"> on the 22</w:t>
      </w:r>
      <w:r w:rsidR="00C95EFD" w:rsidRPr="00C95EFD">
        <w:rPr>
          <w:rFonts w:cstheme="minorHAnsi"/>
          <w:vertAlign w:val="superscript"/>
        </w:rPr>
        <w:t>nd</w:t>
      </w:r>
      <w:r w:rsidR="00C95EFD">
        <w:rPr>
          <w:rFonts w:cstheme="minorHAnsi"/>
        </w:rPr>
        <w:t xml:space="preserve"> July every year</w:t>
      </w:r>
      <w:r w:rsidR="00F4647F">
        <w:rPr>
          <w:rFonts w:cstheme="minorHAnsi"/>
        </w:rPr>
        <w:t>, meaning that the modern date that the extract refers to is 23</w:t>
      </w:r>
      <w:r w:rsidR="00F4647F" w:rsidRPr="00F4647F">
        <w:rPr>
          <w:rFonts w:cstheme="minorHAnsi"/>
          <w:vertAlign w:val="superscript"/>
        </w:rPr>
        <w:t>rd</w:t>
      </w:r>
      <w:r w:rsidR="00F4647F">
        <w:rPr>
          <w:rFonts w:cstheme="minorHAnsi"/>
        </w:rPr>
        <w:t xml:space="preserve"> July 1250.</w:t>
      </w:r>
      <w:r w:rsidR="00F4647F">
        <w:rPr>
          <w:rStyle w:val="FootnoteReference"/>
          <w:rFonts w:cstheme="minorHAnsi"/>
        </w:rPr>
        <w:footnoteReference w:id="7"/>
      </w:r>
    </w:p>
    <w:p w14:paraId="5E5FFA44" w14:textId="77777777" w:rsidR="00F4647F" w:rsidRPr="00F4647F" w:rsidRDefault="00F4647F" w:rsidP="00F4647F">
      <w:pPr>
        <w:spacing w:line="360" w:lineRule="auto"/>
        <w:rPr>
          <w:sz w:val="20"/>
          <w:szCs w:val="20"/>
        </w:rPr>
      </w:pPr>
    </w:p>
    <w:p w14:paraId="30002028" w14:textId="77143C73" w:rsidR="00B67EF5" w:rsidRPr="00E37160" w:rsidRDefault="00B67EF5" w:rsidP="00F4647F">
      <w:pPr>
        <w:pStyle w:val="ListParagraph"/>
        <w:numPr>
          <w:ilvl w:val="0"/>
          <w:numId w:val="1"/>
        </w:numPr>
        <w:spacing w:line="360" w:lineRule="auto"/>
        <w:rPr>
          <w:sz w:val="20"/>
          <w:szCs w:val="20"/>
        </w:rPr>
      </w:pPr>
      <w:r w:rsidRPr="00E37160">
        <w:t>Downham: court held on Thursday the day after Ash Wednesday in the fourth year of the reign of King Edward and the first year of the episcopate of John de Ketene [Ketton].</w:t>
      </w:r>
    </w:p>
    <w:p w14:paraId="49989BE3" w14:textId="67EF5B2B" w:rsidR="0097180A" w:rsidRDefault="001861AC" w:rsidP="005F48DF">
      <w:pPr>
        <w:spacing w:line="360" w:lineRule="auto"/>
        <w:rPr>
          <w:rFonts w:cstheme="minorHAnsi"/>
        </w:rPr>
      </w:pPr>
      <w:r>
        <w:rPr>
          <w:rFonts w:cstheme="minorHAnsi"/>
        </w:rPr>
        <w:t>T</w:t>
      </w:r>
      <w:r w:rsidR="00EB7DE5">
        <w:rPr>
          <w:rFonts w:cstheme="minorHAnsi"/>
        </w:rPr>
        <w:t xml:space="preserve">his text </w:t>
      </w:r>
      <w:r>
        <w:rPr>
          <w:rFonts w:cstheme="minorHAnsi"/>
        </w:rPr>
        <w:t xml:space="preserve">can be dated </w:t>
      </w:r>
      <w:r w:rsidR="00EB7DE5" w:rsidRPr="003306D2">
        <w:rPr>
          <w:rFonts w:cstheme="minorHAnsi"/>
        </w:rPr>
        <w:t xml:space="preserve">to </w:t>
      </w:r>
      <w:r w:rsidR="00CA5E39" w:rsidRPr="003306D2">
        <w:rPr>
          <w:rFonts w:cstheme="minorHAnsi"/>
        </w:rPr>
        <w:t>2</w:t>
      </w:r>
      <w:r w:rsidR="003306D2" w:rsidRPr="003306D2">
        <w:rPr>
          <w:rFonts w:cstheme="minorHAnsi"/>
        </w:rPr>
        <w:t>5</w:t>
      </w:r>
      <w:r w:rsidR="00EB7DE5" w:rsidRPr="003306D2">
        <w:rPr>
          <w:rFonts w:cstheme="minorHAnsi"/>
          <w:vertAlign w:val="superscript"/>
        </w:rPr>
        <w:t>th</w:t>
      </w:r>
      <w:r w:rsidR="00EB7DE5" w:rsidRPr="003306D2">
        <w:rPr>
          <w:rFonts w:cstheme="minorHAnsi"/>
        </w:rPr>
        <w:t xml:space="preserve"> </w:t>
      </w:r>
      <w:r w:rsidR="00CA5E39" w:rsidRPr="003306D2">
        <w:rPr>
          <w:rFonts w:cstheme="minorHAnsi"/>
        </w:rPr>
        <w:t xml:space="preserve">February </w:t>
      </w:r>
      <w:r w:rsidR="00EB7DE5" w:rsidRPr="003306D2">
        <w:rPr>
          <w:rFonts w:cstheme="minorHAnsi"/>
        </w:rPr>
        <w:t>1311</w:t>
      </w:r>
      <w:r>
        <w:rPr>
          <w:rFonts w:cstheme="minorHAnsi"/>
        </w:rPr>
        <w:t xml:space="preserve">, thanks to </w:t>
      </w:r>
      <w:r w:rsidR="00EB7DE5">
        <w:rPr>
          <w:rFonts w:cstheme="minorHAnsi"/>
        </w:rPr>
        <w:t xml:space="preserve">the Handbook of Dates </w:t>
      </w:r>
      <w:r w:rsidR="00CB7903">
        <w:rPr>
          <w:rFonts w:cstheme="minorHAnsi"/>
        </w:rPr>
        <w:t>which contains</w:t>
      </w:r>
      <w:r w:rsidR="00EB7DE5">
        <w:rPr>
          <w:rFonts w:cstheme="minorHAnsi"/>
        </w:rPr>
        <w:t xml:space="preserve"> the reigns and regnal years </w:t>
      </w:r>
      <w:r>
        <w:rPr>
          <w:rFonts w:cstheme="minorHAnsi"/>
        </w:rPr>
        <w:t>of</w:t>
      </w:r>
      <w:r w:rsidR="00EB7DE5">
        <w:rPr>
          <w:rFonts w:cstheme="minorHAnsi"/>
        </w:rPr>
        <w:t xml:space="preserve"> the three King Edwards that the extract could refer to</w:t>
      </w:r>
      <w:r>
        <w:rPr>
          <w:rFonts w:cstheme="minorHAnsi"/>
        </w:rPr>
        <w:t xml:space="preserve">. It was </w:t>
      </w:r>
      <w:r w:rsidR="00EB7DE5">
        <w:rPr>
          <w:rFonts w:cstheme="minorHAnsi"/>
        </w:rPr>
        <w:t>found that Edward I’s reign lasted between 20</w:t>
      </w:r>
      <w:r w:rsidR="00EB7DE5" w:rsidRPr="00EB7DE5">
        <w:rPr>
          <w:rFonts w:cstheme="minorHAnsi"/>
          <w:vertAlign w:val="superscript"/>
        </w:rPr>
        <w:t>th</w:t>
      </w:r>
      <w:r w:rsidR="00EB7DE5">
        <w:rPr>
          <w:rFonts w:cstheme="minorHAnsi"/>
        </w:rPr>
        <w:t xml:space="preserve"> November 1272 and 7</w:t>
      </w:r>
      <w:r w:rsidR="00EB7DE5" w:rsidRPr="00EB7DE5">
        <w:rPr>
          <w:rFonts w:cstheme="minorHAnsi"/>
          <w:vertAlign w:val="superscript"/>
        </w:rPr>
        <w:t>th</w:t>
      </w:r>
      <w:r w:rsidR="00EB7DE5">
        <w:rPr>
          <w:rFonts w:cstheme="minorHAnsi"/>
        </w:rPr>
        <w:t xml:space="preserve"> July 1307, Edward II’s was 8</w:t>
      </w:r>
      <w:r w:rsidR="00EB7DE5" w:rsidRPr="00EB7DE5">
        <w:rPr>
          <w:rFonts w:cstheme="minorHAnsi"/>
          <w:vertAlign w:val="superscript"/>
        </w:rPr>
        <w:t>th</w:t>
      </w:r>
      <w:r w:rsidR="00EB7DE5">
        <w:rPr>
          <w:rFonts w:cstheme="minorHAnsi"/>
        </w:rPr>
        <w:t xml:space="preserve"> July 1307 to 20</w:t>
      </w:r>
      <w:r w:rsidR="00EB7DE5" w:rsidRPr="00EB7DE5">
        <w:rPr>
          <w:rFonts w:cstheme="minorHAnsi"/>
          <w:vertAlign w:val="superscript"/>
        </w:rPr>
        <w:t>th</w:t>
      </w:r>
      <w:r w:rsidR="00EB7DE5">
        <w:rPr>
          <w:rFonts w:cstheme="minorHAnsi"/>
        </w:rPr>
        <w:t xml:space="preserve"> Jan 1327, while Edward III’s reign was 25</w:t>
      </w:r>
      <w:r w:rsidR="00EB7DE5" w:rsidRPr="00EB7DE5">
        <w:rPr>
          <w:rFonts w:cstheme="minorHAnsi"/>
          <w:vertAlign w:val="superscript"/>
        </w:rPr>
        <w:t>th</w:t>
      </w:r>
      <w:r w:rsidR="00EB7DE5">
        <w:rPr>
          <w:rFonts w:cstheme="minorHAnsi"/>
        </w:rPr>
        <w:t xml:space="preserve"> Jan 1327 to 21</w:t>
      </w:r>
      <w:r w:rsidR="00EB7DE5" w:rsidRPr="00EB7DE5">
        <w:rPr>
          <w:rFonts w:cstheme="minorHAnsi"/>
          <w:vertAlign w:val="superscript"/>
        </w:rPr>
        <w:t>st</w:t>
      </w:r>
      <w:r w:rsidR="00EB7DE5">
        <w:rPr>
          <w:rFonts w:cstheme="minorHAnsi"/>
        </w:rPr>
        <w:t xml:space="preserve"> June 1377.</w:t>
      </w:r>
      <w:r w:rsidR="00FC3ED9">
        <w:rPr>
          <w:rStyle w:val="FootnoteReference"/>
          <w:rFonts w:cstheme="minorHAnsi"/>
        </w:rPr>
        <w:footnoteReference w:id="8"/>
      </w:r>
      <w:r w:rsidR="00FC3ED9">
        <w:rPr>
          <w:rFonts w:cstheme="minorHAnsi"/>
        </w:rPr>
        <w:t xml:space="preserve"> </w:t>
      </w:r>
      <w:r w:rsidR="0092586C">
        <w:rPr>
          <w:rFonts w:cstheme="minorHAnsi"/>
        </w:rPr>
        <w:t>Furthermore, t</w:t>
      </w:r>
      <w:r w:rsidR="00042204">
        <w:rPr>
          <w:rFonts w:cstheme="minorHAnsi"/>
        </w:rPr>
        <w:t>he Handbook of British Chronology</w:t>
      </w:r>
      <w:r w:rsidR="0092586C">
        <w:rPr>
          <w:rFonts w:cstheme="minorHAnsi"/>
        </w:rPr>
        <w:t xml:space="preserve"> </w:t>
      </w:r>
      <w:r>
        <w:rPr>
          <w:rFonts w:cstheme="minorHAnsi"/>
        </w:rPr>
        <w:t>stat</w:t>
      </w:r>
      <w:r w:rsidR="0092586C">
        <w:rPr>
          <w:rFonts w:cstheme="minorHAnsi"/>
        </w:rPr>
        <w:t>es</w:t>
      </w:r>
      <w:r>
        <w:rPr>
          <w:rFonts w:cstheme="minorHAnsi"/>
        </w:rPr>
        <w:t xml:space="preserve"> that</w:t>
      </w:r>
      <w:r w:rsidR="00042204">
        <w:rPr>
          <w:rFonts w:cstheme="minorHAnsi"/>
        </w:rPr>
        <w:t xml:space="preserve"> John Ketton</w:t>
      </w:r>
      <w:r>
        <w:rPr>
          <w:rFonts w:cstheme="minorHAnsi"/>
        </w:rPr>
        <w:t xml:space="preserve"> was </w:t>
      </w:r>
      <w:r w:rsidR="00042204">
        <w:rPr>
          <w:rFonts w:cstheme="minorHAnsi"/>
        </w:rPr>
        <w:t>the Bishop of Ely between 6</w:t>
      </w:r>
      <w:r w:rsidR="00042204" w:rsidRPr="00042204">
        <w:rPr>
          <w:rFonts w:cstheme="minorHAnsi"/>
          <w:vertAlign w:val="superscript"/>
        </w:rPr>
        <w:t>th</w:t>
      </w:r>
      <w:r w:rsidR="00042204">
        <w:rPr>
          <w:rFonts w:cstheme="minorHAnsi"/>
        </w:rPr>
        <w:t xml:space="preserve"> September 1310 and 14</w:t>
      </w:r>
      <w:r w:rsidR="00042204" w:rsidRPr="00042204">
        <w:rPr>
          <w:rFonts w:cstheme="minorHAnsi"/>
          <w:vertAlign w:val="superscript"/>
        </w:rPr>
        <w:t>th</w:t>
      </w:r>
      <w:r w:rsidR="00042204">
        <w:rPr>
          <w:rFonts w:cstheme="minorHAnsi"/>
        </w:rPr>
        <w:t xml:space="preserve"> May 1316</w:t>
      </w:r>
      <w:r w:rsidR="0092586C">
        <w:rPr>
          <w:rFonts w:cstheme="minorHAnsi"/>
        </w:rPr>
        <w:t>,</w:t>
      </w:r>
      <w:r w:rsidR="00042204">
        <w:rPr>
          <w:rStyle w:val="FootnoteReference"/>
          <w:rFonts w:cstheme="minorHAnsi"/>
        </w:rPr>
        <w:footnoteReference w:id="9"/>
      </w:r>
      <w:r w:rsidR="00042204">
        <w:rPr>
          <w:rFonts w:cstheme="minorHAnsi"/>
        </w:rPr>
        <w:t xml:space="preserve"> </w:t>
      </w:r>
      <w:r w:rsidR="0092586C">
        <w:rPr>
          <w:rFonts w:cstheme="minorHAnsi"/>
        </w:rPr>
        <w:t>mean</w:t>
      </w:r>
      <w:r w:rsidR="00CB7903">
        <w:rPr>
          <w:rFonts w:cstheme="minorHAnsi"/>
        </w:rPr>
        <w:t>ing</w:t>
      </w:r>
      <w:r w:rsidR="0092586C">
        <w:rPr>
          <w:rFonts w:cstheme="minorHAnsi"/>
        </w:rPr>
        <w:t xml:space="preserve"> </w:t>
      </w:r>
      <w:r w:rsidR="009676F6">
        <w:rPr>
          <w:rFonts w:cstheme="minorHAnsi"/>
        </w:rPr>
        <w:t xml:space="preserve">the extract comes from </w:t>
      </w:r>
      <w:r w:rsidR="00042204">
        <w:rPr>
          <w:rFonts w:cstheme="minorHAnsi"/>
        </w:rPr>
        <w:t>Edward II</w:t>
      </w:r>
      <w:r w:rsidR="009676F6">
        <w:rPr>
          <w:rFonts w:cstheme="minorHAnsi"/>
        </w:rPr>
        <w:t>’s reign</w:t>
      </w:r>
      <w:r w:rsidR="00042204">
        <w:rPr>
          <w:rFonts w:cstheme="minorHAnsi"/>
        </w:rPr>
        <w:t xml:space="preserve">, </w:t>
      </w:r>
      <w:r w:rsidR="00CB7903">
        <w:rPr>
          <w:rFonts w:cstheme="minorHAnsi"/>
        </w:rPr>
        <w:t>a fact</w:t>
      </w:r>
      <w:r w:rsidR="00E81AFA">
        <w:rPr>
          <w:rFonts w:cstheme="minorHAnsi"/>
        </w:rPr>
        <w:t xml:space="preserve"> </w:t>
      </w:r>
      <w:r w:rsidR="00042204">
        <w:rPr>
          <w:rFonts w:cstheme="minorHAnsi"/>
        </w:rPr>
        <w:t xml:space="preserve">verified by </w:t>
      </w:r>
      <w:r w:rsidR="009676F6">
        <w:rPr>
          <w:rFonts w:cstheme="minorHAnsi"/>
        </w:rPr>
        <w:t>the fourth</w:t>
      </w:r>
      <w:r w:rsidR="00042204">
        <w:rPr>
          <w:rFonts w:cstheme="minorHAnsi"/>
        </w:rPr>
        <w:t xml:space="preserve"> regnal year </w:t>
      </w:r>
      <w:r w:rsidR="009676F6">
        <w:rPr>
          <w:rFonts w:cstheme="minorHAnsi"/>
        </w:rPr>
        <w:t xml:space="preserve">of the King </w:t>
      </w:r>
      <w:r w:rsidR="00042204">
        <w:rPr>
          <w:rFonts w:cstheme="minorHAnsi"/>
        </w:rPr>
        <w:t xml:space="preserve">and the </w:t>
      </w:r>
      <w:r w:rsidR="009676F6">
        <w:rPr>
          <w:rFonts w:cstheme="minorHAnsi"/>
        </w:rPr>
        <w:t>first</w:t>
      </w:r>
      <w:r w:rsidR="00042204">
        <w:rPr>
          <w:rFonts w:cstheme="minorHAnsi"/>
        </w:rPr>
        <w:t xml:space="preserve"> year of Ketton’s tenure</w:t>
      </w:r>
      <w:r w:rsidR="00B1705C">
        <w:rPr>
          <w:rFonts w:cstheme="minorHAnsi"/>
        </w:rPr>
        <w:t xml:space="preserve"> overlapping</w:t>
      </w:r>
      <w:r w:rsidR="00042204">
        <w:rPr>
          <w:rFonts w:cstheme="minorHAnsi"/>
        </w:rPr>
        <w:t>.</w:t>
      </w:r>
      <w:r w:rsidR="00CA5E39">
        <w:rPr>
          <w:rFonts w:cstheme="minorHAnsi"/>
        </w:rPr>
        <w:t xml:space="preserve"> </w:t>
      </w:r>
      <w:r w:rsidR="00CB7903">
        <w:rPr>
          <w:rFonts w:cstheme="minorHAnsi"/>
        </w:rPr>
        <w:t>B</w:t>
      </w:r>
      <w:r w:rsidR="00B5449D">
        <w:rPr>
          <w:rFonts w:cstheme="minorHAnsi"/>
        </w:rPr>
        <w:t>y knowing when</w:t>
      </w:r>
      <w:r w:rsidR="00D5453D">
        <w:rPr>
          <w:rFonts w:cstheme="minorHAnsi"/>
        </w:rPr>
        <w:t xml:space="preserve"> Easter occurred in 1311, </w:t>
      </w:r>
      <w:r w:rsidR="00B5449D">
        <w:rPr>
          <w:rFonts w:cstheme="minorHAnsi"/>
        </w:rPr>
        <w:t>we can figure out when</w:t>
      </w:r>
      <w:r w:rsidR="00D5453D">
        <w:rPr>
          <w:rFonts w:cstheme="minorHAnsi"/>
        </w:rPr>
        <w:t xml:space="preserve"> Ash Wednesday </w:t>
      </w:r>
      <w:r w:rsidR="00B5449D">
        <w:rPr>
          <w:rFonts w:cstheme="minorHAnsi"/>
        </w:rPr>
        <w:t xml:space="preserve">was, as it </w:t>
      </w:r>
      <w:r w:rsidR="00D5453D">
        <w:rPr>
          <w:rFonts w:cstheme="minorHAnsi"/>
        </w:rPr>
        <w:t xml:space="preserve">marks the beginning of </w:t>
      </w:r>
      <w:r w:rsidR="00B5449D">
        <w:rPr>
          <w:rFonts w:cstheme="minorHAnsi"/>
        </w:rPr>
        <w:t>the forty day</w:t>
      </w:r>
      <w:r w:rsidR="00B5449D">
        <w:rPr>
          <w:rFonts w:cstheme="minorHAnsi"/>
        </w:rPr>
        <w:t>s of</w:t>
      </w:r>
      <w:r w:rsidR="00B5449D">
        <w:rPr>
          <w:rFonts w:cstheme="minorHAnsi"/>
        </w:rPr>
        <w:t xml:space="preserve"> </w:t>
      </w:r>
      <w:r w:rsidR="00D5453D">
        <w:rPr>
          <w:rFonts w:cstheme="minorHAnsi"/>
        </w:rPr>
        <w:t>Lent</w:t>
      </w:r>
      <w:r w:rsidR="00B5449D">
        <w:rPr>
          <w:rFonts w:cstheme="minorHAnsi"/>
        </w:rPr>
        <w:t xml:space="preserve"> </w:t>
      </w:r>
      <w:r w:rsidR="00D5453D">
        <w:rPr>
          <w:rFonts w:cstheme="minorHAnsi"/>
        </w:rPr>
        <w:t>that ends on Easter, so by subtracting forty days</w:t>
      </w:r>
      <w:r w:rsidR="00B5449D">
        <w:rPr>
          <w:rFonts w:cstheme="minorHAnsi"/>
        </w:rPr>
        <w:t xml:space="preserve"> from Easter</w:t>
      </w:r>
      <w:r w:rsidR="00D5453D">
        <w:rPr>
          <w:rFonts w:cstheme="minorHAnsi"/>
        </w:rPr>
        <w:t xml:space="preserve">, excluding Sundays due </w:t>
      </w:r>
      <w:r w:rsidR="00245EE5">
        <w:rPr>
          <w:rFonts w:cstheme="minorHAnsi"/>
        </w:rPr>
        <w:t>to being a</w:t>
      </w:r>
      <w:r w:rsidR="00B5449D">
        <w:rPr>
          <w:rFonts w:cstheme="minorHAnsi"/>
        </w:rPr>
        <w:t xml:space="preserve"> </w:t>
      </w:r>
      <w:r w:rsidR="00245EE5">
        <w:rPr>
          <w:rFonts w:cstheme="minorHAnsi"/>
        </w:rPr>
        <w:t>weekly celebration</w:t>
      </w:r>
      <w:r w:rsidR="00D5453D">
        <w:rPr>
          <w:rFonts w:cstheme="minorHAnsi"/>
        </w:rPr>
        <w:t>, we can work out when Ash Wednesday occurred in 1311.</w:t>
      </w:r>
      <w:r w:rsidR="00D5453D">
        <w:rPr>
          <w:rStyle w:val="FootnoteReference"/>
          <w:rFonts w:cstheme="minorHAnsi"/>
        </w:rPr>
        <w:footnoteReference w:id="10"/>
      </w:r>
      <w:r w:rsidR="00D5453D">
        <w:rPr>
          <w:rFonts w:cstheme="minorHAnsi"/>
        </w:rPr>
        <w:t xml:space="preserve"> </w:t>
      </w:r>
      <w:r w:rsidR="00B5449D">
        <w:rPr>
          <w:rFonts w:cstheme="minorHAnsi"/>
        </w:rPr>
        <w:t>T</w:t>
      </w:r>
      <w:r w:rsidR="00B5449D">
        <w:rPr>
          <w:rFonts w:cstheme="minorHAnsi"/>
        </w:rPr>
        <w:t>hanks to the Handbook of Dates</w:t>
      </w:r>
      <w:r w:rsidR="00245EE5">
        <w:rPr>
          <w:rFonts w:cstheme="minorHAnsi"/>
        </w:rPr>
        <w:t xml:space="preserve">, </w:t>
      </w:r>
      <w:r w:rsidR="00B5449D">
        <w:rPr>
          <w:rFonts w:cstheme="minorHAnsi"/>
        </w:rPr>
        <w:t>we know</w:t>
      </w:r>
      <w:r w:rsidR="00A3249A">
        <w:rPr>
          <w:rFonts w:cstheme="minorHAnsi"/>
        </w:rPr>
        <w:t xml:space="preserve"> Easter in 1311 was </w:t>
      </w:r>
      <w:r w:rsidR="00B5449D">
        <w:rPr>
          <w:rFonts w:cstheme="minorHAnsi"/>
        </w:rPr>
        <w:t xml:space="preserve">on </w:t>
      </w:r>
      <w:r w:rsidR="00A3249A">
        <w:rPr>
          <w:rFonts w:cstheme="minorHAnsi"/>
        </w:rPr>
        <w:t>11</w:t>
      </w:r>
      <w:r w:rsidR="00A3249A" w:rsidRPr="00A3249A">
        <w:rPr>
          <w:rFonts w:cstheme="minorHAnsi"/>
          <w:vertAlign w:val="superscript"/>
        </w:rPr>
        <w:t>th</w:t>
      </w:r>
      <w:r w:rsidR="00A3249A">
        <w:rPr>
          <w:rFonts w:cstheme="minorHAnsi"/>
        </w:rPr>
        <w:t xml:space="preserve"> April,</w:t>
      </w:r>
      <w:r w:rsidR="003306D2">
        <w:rPr>
          <w:rStyle w:val="FootnoteReference"/>
          <w:rFonts w:cstheme="minorHAnsi"/>
        </w:rPr>
        <w:footnoteReference w:id="11"/>
      </w:r>
      <w:r w:rsidR="00A3249A">
        <w:rPr>
          <w:rFonts w:cstheme="minorHAnsi"/>
        </w:rPr>
        <w:t xml:space="preserve"> </w:t>
      </w:r>
      <w:r w:rsidR="00B5449D">
        <w:rPr>
          <w:rFonts w:cstheme="minorHAnsi"/>
        </w:rPr>
        <w:t>so by</w:t>
      </w:r>
      <w:r w:rsidR="003306D2">
        <w:rPr>
          <w:rFonts w:cstheme="minorHAnsi"/>
        </w:rPr>
        <w:t xml:space="preserve"> count</w:t>
      </w:r>
      <w:r w:rsidR="00B5449D">
        <w:rPr>
          <w:rFonts w:cstheme="minorHAnsi"/>
        </w:rPr>
        <w:t>ing</w:t>
      </w:r>
      <w:r w:rsidR="003306D2">
        <w:rPr>
          <w:rFonts w:cstheme="minorHAnsi"/>
        </w:rPr>
        <w:t xml:space="preserve"> back to the beginning of Lent, we can conclude that Ash Wednesday in 1311 occurred on 24</w:t>
      </w:r>
      <w:r w:rsidR="003306D2" w:rsidRPr="003306D2">
        <w:rPr>
          <w:rFonts w:cstheme="minorHAnsi"/>
          <w:vertAlign w:val="superscript"/>
        </w:rPr>
        <w:t>th</w:t>
      </w:r>
      <w:r w:rsidR="003306D2">
        <w:rPr>
          <w:rFonts w:cstheme="minorHAnsi"/>
        </w:rPr>
        <w:t xml:space="preserve"> February, meaning that the date referred to in the extract is Thursday 25th February 1311.</w:t>
      </w:r>
      <w:r w:rsidR="003306D2">
        <w:rPr>
          <w:rStyle w:val="FootnoteReference"/>
          <w:rFonts w:cstheme="minorHAnsi"/>
        </w:rPr>
        <w:footnoteReference w:id="12"/>
      </w:r>
      <w:r w:rsidR="00B5449D" w:rsidRPr="00B5449D">
        <w:rPr>
          <w:rFonts w:cstheme="minorHAnsi"/>
        </w:rPr>
        <w:t xml:space="preserve"> </w:t>
      </w:r>
    </w:p>
    <w:p w14:paraId="2EA29EC4" w14:textId="77777777" w:rsidR="00B5449D" w:rsidRDefault="00B5449D" w:rsidP="005F48DF">
      <w:pPr>
        <w:spacing w:line="360" w:lineRule="auto"/>
        <w:rPr>
          <w:rFonts w:cstheme="minorHAnsi"/>
        </w:rPr>
      </w:pPr>
    </w:p>
    <w:p w14:paraId="0DF3B1AF" w14:textId="099AEF75" w:rsidR="0097180A" w:rsidRPr="00704554" w:rsidRDefault="0097180A" w:rsidP="00822198">
      <w:pPr>
        <w:pStyle w:val="ListParagraph"/>
        <w:numPr>
          <w:ilvl w:val="0"/>
          <w:numId w:val="1"/>
        </w:numPr>
        <w:spacing w:line="360" w:lineRule="auto"/>
      </w:pPr>
      <w:r w:rsidRPr="00704554">
        <w:t xml:space="preserve">Henry, king of the English, greets the bishop of Lincoln and Earl David and the earl of Leicester, and Earl Rannulf of Chester, and all the barons and lords of whom Geoffrey Ridel </w:t>
      </w:r>
      <w:r w:rsidRPr="00704554">
        <w:lastRenderedPageBreak/>
        <w:t>held lands, and all the sheriffs within whose jurisdiction he held them. Know that I have given to Richard Basset the daughter of Geoffrey Ridel to wife, and the custody of Geoffrey Ridel’s land until Robert Ridel can be made a knight and marry the granddaughter of Ralph Basset, namely the daughter of one of his daughters. … And this gift and compact have been made at the request and with the advice of Rannulf, earl of Chester, and William his brother, and Nigel d’Aubigny and Robert Ridel’s other kin and Geva his mother, and Geoffrey the earl’s chancellor, and Simon, dean of Lincoln, and William, son of Rannulf, and Thomas of St John and Geoffrey de Clinton, and Payn son of John, and William d’Aubigny and Humphrey de Bohun and Robert Musard and Robert Basset and Osmund Basset and Thurstan Basset and William, constable of Earl Rannulf of Chester, and Ralph, son of Norman, and Hugh Maubanc. At Woodstock.</w:t>
      </w:r>
    </w:p>
    <w:p w14:paraId="7C933E1E" w14:textId="648974AF" w:rsidR="00C42230" w:rsidRPr="009F79E2" w:rsidRDefault="00AD1750" w:rsidP="00822198">
      <w:pPr>
        <w:spacing w:line="360" w:lineRule="auto"/>
      </w:pPr>
      <w:r w:rsidRPr="009F79E2">
        <w:t>The</w:t>
      </w:r>
      <w:r w:rsidR="00822198" w:rsidRPr="009F79E2">
        <w:t xml:space="preserve"> estimated date of issue</w:t>
      </w:r>
      <w:r w:rsidRPr="009F79E2">
        <w:t xml:space="preserve"> for this extract is</w:t>
      </w:r>
      <w:r w:rsidR="00822198" w:rsidRPr="009F79E2">
        <w:t xml:space="preserve"> sometime between 1121</w:t>
      </w:r>
      <w:r w:rsidR="00365EBD" w:rsidRPr="009F79E2">
        <w:t xml:space="preserve"> </w:t>
      </w:r>
      <w:r w:rsidR="00822198" w:rsidRPr="009F79E2">
        <w:t>and</w:t>
      </w:r>
      <w:r w:rsidR="00C42230" w:rsidRPr="009F79E2">
        <w:t xml:space="preserve"> 10</w:t>
      </w:r>
      <w:r w:rsidR="00C42230" w:rsidRPr="009F79E2">
        <w:rPr>
          <w:vertAlign w:val="superscript"/>
        </w:rPr>
        <w:t>th</w:t>
      </w:r>
      <w:r w:rsidR="00822198" w:rsidRPr="009F79E2">
        <w:t xml:space="preserve"> January 1123. </w:t>
      </w:r>
      <w:r w:rsidRPr="009F79E2">
        <w:t>T</w:t>
      </w:r>
      <w:r w:rsidR="00822198" w:rsidRPr="009F79E2">
        <w:t>he Handbook of British Chronology</w:t>
      </w:r>
      <w:r w:rsidRPr="009F79E2">
        <w:t xml:space="preserve"> was used to identify which Henry the extract </w:t>
      </w:r>
      <w:r w:rsidR="00C42230" w:rsidRPr="009F79E2">
        <w:t>was</w:t>
      </w:r>
      <w:r w:rsidRPr="009F79E2">
        <w:t xml:space="preserve"> referring to, with</w:t>
      </w:r>
      <w:r w:rsidR="00822198" w:rsidRPr="009F79E2">
        <w:t xml:space="preserve"> Henry I </w:t>
      </w:r>
      <w:r w:rsidRPr="009F79E2">
        <w:t>being</w:t>
      </w:r>
      <w:r w:rsidR="00822198" w:rsidRPr="009F79E2">
        <w:t xml:space="preserve"> in power between 5</w:t>
      </w:r>
      <w:r w:rsidR="00822198" w:rsidRPr="009F79E2">
        <w:rPr>
          <w:vertAlign w:val="superscript"/>
        </w:rPr>
        <w:t>th</w:t>
      </w:r>
      <w:r w:rsidR="00822198" w:rsidRPr="009F79E2">
        <w:t xml:space="preserve"> August 1100 and 1</w:t>
      </w:r>
      <w:r w:rsidR="00822198" w:rsidRPr="009F79E2">
        <w:rPr>
          <w:vertAlign w:val="superscript"/>
        </w:rPr>
        <w:t>st</w:t>
      </w:r>
      <w:r w:rsidR="00822198" w:rsidRPr="009F79E2">
        <w:t xml:space="preserve"> December 1135, Henry II rul</w:t>
      </w:r>
      <w:r w:rsidRPr="009F79E2">
        <w:t>ing</w:t>
      </w:r>
      <w:r w:rsidR="00822198" w:rsidRPr="009F79E2">
        <w:t xml:space="preserve"> from 19</w:t>
      </w:r>
      <w:r w:rsidR="00822198" w:rsidRPr="009F79E2">
        <w:rPr>
          <w:vertAlign w:val="superscript"/>
        </w:rPr>
        <w:t>th</w:t>
      </w:r>
      <w:r w:rsidR="00822198" w:rsidRPr="009F79E2">
        <w:t xml:space="preserve"> December 1154 to 6</w:t>
      </w:r>
      <w:r w:rsidR="00822198" w:rsidRPr="009F79E2">
        <w:rPr>
          <w:vertAlign w:val="superscript"/>
        </w:rPr>
        <w:t>th</w:t>
      </w:r>
      <w:r w:rsidR="00822198" w:rsidRPr="009F79E2">
        <w:t xml:space="preserve"> July 1189, while Henry III </w:t>
      </w:r>
      <w:r w:rsidRPr="009F79E2">
        <w:t>ruled</w:t>
      </w:r>
      <w:r w:rsidR="00822198" w:rsidRPr="009F79E2">
        <w:t xml:space="preserve"> from 28</w:t>
      </w:r>
      <w:r w:rsidR="00822198" w:rsidRPr="009F79E2">
        <w:rPr>
          <w:vertAlign w:val="superscript"/>
        </w:rPr>
        <w:t>th</w:t>
      </w:r>
      <w:r w:rsidR="00822198" w:rsidRPr="009F79E2">
        <w:t xml:space="preserve"> October 1216 to 16 November 1272.</w:t>
      </w:r>
      <w:r w:rsidR="00822198" w:rsidRPr="009F79E2">
        <w:rPr>
          <w:rStyle w:val="FootnoteReference"/>
        </w:rPr>
        <w:footnoteReference w:id="13"/>
      </w:r>
      <w:r w:rsidR="00822198" w:rsidRPr="009F79E2">
        <w:t xml:space="preserve"> With three potential time frames for this document, the other individuals mentioned</w:t>
      </w:r>
      <w:r w:rsidRPr="009F79E2">
        <w:t>, such as</w:t>
      </w:r>
      <w:r w:rsidR="00822198" w:rsidRPr="009F79E2">
        <w:t xml:space="preserve"> </w:t>
      </w:r>
      <w:r w:rsidRPr="009F79E2">
        <w:t xml:space="preserve">Earl Rannulf of Chester, were analysed </w:t>
      </w:r>
      <w:r w:rsidR="00822198" w:rsidRPr="009F79E2">
        <w:t xml:space="preserve">to </w:t>
      </w:r>
      <w:r w:rsidRPr="009F79E2">
        <w:t>condense the scope</w:t>
      </w:r>
      <w:r w:rsidR="00822198" w:rsidRPr="009F79E2">
        <w:t>. Unfortunately, both the third and fourth Earls of Chester were both named Rannulf, with one ruling between 1120 and 1129, while the other ruled from 1129 to 1153</w:t>
      </w:r>
      <w:r w:rsidR="004978E7" w:rsidRPr="009F79E2">
        <w:t>.</w:t>
      </w:r>
      <w:r w:rsidR="002677AD" w:rsidRPr="009F79E2">
        <w:rPr>
          <w:rStyle w:val="FootnoteReference"/>
        </w:rPr>
        <w:footnoteReference w:id="14"/>
      </w:r>
      <w:r w:rsidR="002677AD" w:rsidRPr="009F79E2">
        <w:t xml:space="preserve"> </w:t>
      </w:r>
      <w:r w:rsidR="00380127" w:rsidRPr="009F79E2">
        <w:t>From this</w:t>
      </w:r>
      <w:r w:rsidR="004978E7" w:rsidRPr="009F79E2">
        <w:t>,</w:t>
      </w:r>
      <w:r w:rsidR="0092100D" w:rsidRPr="009F79E2">
        <w:t xml:space="preserve"> each Rannulf </w:t>
      </w:r>
      <w:r w:rsidR="004978E7" w:rsidRPr="009F79E2">
        <w:t xml:space="preserve">was further examined </w:t>
      </w:r>
      <w:r w:rsidR="0092100D" w:rsidRPr="009F79E2">
        <w:t xml:space="preserve">to </w:t>
      </w:r>
      <w:r w:rsidR="004978E7" w:rsidRPr="009F79E2">
        <w:t>identify</w:t>
      </w:r>
      <w:r w:rsidR="0092100D" w:rsidRPr="009F79E2">
        <w:t xml:space="preserve"> which one had a brother called William, as the text states, and found that </w:t>
      </w:r>
      <w:r w:rsidR="004134DB" w:rsidRPr="009F79E2">
        <w:t>Rannulf le Meschin, the third Earl of Chester, had a brother by this name</w:t>
      </w:r>
      <w:r w:rsidR="0022498F" w:rsidRPr="009F79E2">
        <w:t xml:space="preserve">, </w:t>
      </w:r>
      <w:r w:rsidR="004134DB" w:rsidRPr="009F79E2">
        <w:t>and as such, the scope of this source could be narrowed to sometime between 1120 and 1129.</w:t>
      </w:r>
      <w:r w:rsidR="004134DB" w:rsidRPr="009F79E2">
        <w:rPr>
          <w:rStyle w:val="FootnoteReference"/>
        </w:rPr>
        <w:footnoteReference w:id="15"/>
      </w:r>
    </w:p>
    <w:p w14:paraId="389615DF" w14:textId="3E11E26B" w:rsidR="00822198" w:rsidRDefault="009F79E2" w:rsidP="00822198">
      <w:pPr>
        <w:spacing w:line="360" w:lineRule="auto"/>
      </w:pPr>
      <w:r w:rsidRPr="009F79E2">
        <w:t>The</w:t>
      </w:r>
      <w:r w:rsidR="00524799" w:rsidRPr="009F79E2">
        <w:rPr>
          <w:rFonts w:cstheme="minorHAnsi"/>
        </w:rPr>
        <w:t xml:space="preserve"> o</w:t>
      </w:r>
      <w:r w:rsidR="00524799" w:rsidRPr="009F79E2">
        <w:rPr>
          <w:rFonts w:cstheme="minorHAnsi"/>
        </w:rPr>
        <w:t>ther individuals</w:t>
      </w:r>
      <w:r w:rsidRPr="009F79E2">
        <w:rPr>
          <w:rFonts w:cstheme="minorHAnsi"/>
        </w:rPr>
        <w:t xml:space="preserve"> in the extract</w:t>
      </w:r>
      <w:r w:rsidR="00524799" w:rsidRPr="009F79E2">
        <w:rPr>
          <w:rFonts w:cstheme="minorHAnsi"/>
        </w:rPr>
        <w:t xml:space="preserve"> were </w:t>
      </w:r>
      <w:r w:rsidRPr="009F79E2">
        <w:rPr>
          <w:rFonts w:cstheme="minorHAnsi"/>
        </w:rPr>
        <w:t xml:space="preserve">also </w:t>
      </w:r>
      <w:r w:rsidR="00524799" w:rsidRPr="009F79E2">
        <w:rPr>
          <w:rFonts w:cstheme="minorHAnsi"/>
        </w:rPr>
        <w:t>examined</w:t>
      </w:r>
      <w:r w:rsidR="00524799" w:rsidRPr="009F79E2">
        <w:rPr>
          <w:rFonts w:cstheme="minorHAnsi"/>
        </w:rPr>
        <w:t>, but</w:t>
      </w:r>
      <w:r w:rsidR="00524799" w:rsidRPr="009F79E2">
        <w:rPr>
          <w:rFonts w:cstheme="minorHAnsi"/>
        </w:rPr>
        <w:t xml:space="preserve"> </w:t>
      </w:r>
      <w:r w:rsidR="00524799" w:rsidRPr="009F79E2">
        <w:t xml:space="preserve">the dates of when they were alive or in office were wider than the date range </w:t>
      </w:r>
      <w:r w:rsidR="00524799" w:rsidRPr="009F79E2">
        <w:t>that</w:t>
      </w:r>
      <w:r w:rsidR="00524799" w:rsidRPr="009F79E2">
        <w:t xml:space="preserve"> had already </w:t>
      </w:r>
      <w:r w:rsidR="00524799" w:rsidRPr="009F79E2">
        <w:t xml:space="preserve">been </w:t>
      </w:r>
      <w:r w:rsidR="00524799" w:rsidRPr="009F79E2">
        <w:t xml:space="preserve">identified and as such, </w:t>
      </w:r>
      <w:r w:rsidRPr="009F79E2">
        <w:t xml:space="preserve">they </w:t>
      </w:r>
      <w:r w:rsidR="00524799" w:rsidRPr="009F79E2">
        <w:t>were of little use to pinpointing the date.</w:t>
      </w:r>
      <w:r w:rsidR="00524799" w:rsidRPr="009F79E2">
        <w:t xml:space="preserve"> The only exceptions to this were </w:t>
      </w:r>
      <w:r w:rsidR="004978E7" w:rsidRPr="009F79E2">
        <w:t>Geoffrey Ridel</w:t>
      </w:r>
      <w:r w:rsidR="00524799" w:rsidRPr="009F79E2">
        <w:t>, who</w:t>
      </w:r>
      <w:r w:rsidR="004978E7" w:rsidRPr="009F79E2">
        <w:t xml:space="preserve"> was</w:t>
      </w:r>
      <w:r w:rsidR="0022498F" w:rsidRPr="009F79E2">
        <w:t xml:space="preserve"> the </w:t>
      </w:r>
      <w:r w:rsidR="00922634" w:rsidRPr="009F79E2">
        <w:t>Lord Justiciary of England before his untimely death in 1120 when the ship he was aboard, which also carried Henry I’s son</w:t>
      </w:r>
      <w:r w:rsidR="00C42230" w:rsidRPr="009F79E2">
        <w:t>,</w:t>
      </w:r>
      <w:r w:rsidR="00922634" w:rsidRPr="009F79E2">
        <w:t xml:space="preserve"> was shipwrecked and sunk</w:t>
      </w:r>
      <w:r w:rsidR="008514FF" w:rsidRPr="009F79E2">
        <w:t>,</w:t>
      </w:r>
      <w:r w:rsidR="00A117CF" w:rsidRPr="009F79E2">
        <w:t xml:space="preserve"> </w:t>
      </w:r>
      <w:r w:rsidR="00524799" w:rsidRPr="009F79E2">
        <w:t>and</w:t>
      </w:r>
      <w:r w:rsidR="008514FF" w:rsidRPr="009F79E2">
        <w:t xml:space="preserve"> </w:t>
      </w:r>
      <w:r w:rsidR="00FF4E6B" w:rsidRPr="009F79E2">
        <w:t>Richard Basset</w:t>
      </w:r>
      <w:r w:rsidR="00524799" w:rsidRPr="009F79E2">
        <w:t xml:space="preserve">, </w:t>
      </w:r>
      <w:r w:rsidR="008514FF" w:rsidRPr="009F79E2">
        <w:t xml:space="preserve">his successor </w:t>
      </w:r>
      <w:r w:rsidR="00524799" w:rsidRPr="009F79E2">
        <w:t>who</w:t>
      </w:r>
      <w:r w:rsidR="008514FF" w:rsidRPr="009F79E2">
        <w:t xml:space="preserve"> went on to marry Geoffrey’s daughter</w:t>
      </w:r>
      <w:r>
        <w:t xml:space="preserve"> </w:t>
      </w:r>
      <w:r w:rsidR="008514FF" w:rsidRPr="009F79E2">
        <w:t>as the text suggest</w:t>
      </w:r>
      <w:r w:rsidR="00C42230" w:rsidRPr="009F79E2">
        <w:t>s</w:t>
      </w:r>
      <w:r w:rsidR="00922634" w:rsidRPr="009F79E2">
        <w:t>.</w:t>
      </w:r>
      <w:r w:rsidR="00A117CF" w:rsidRPr="009F79E2">
        <w:rPr>
          <w:rStyle w:val="FootnoteReference"/>
        </w:rPr>
        <w:footnoteReference w:id="16"/>
      </w:r>
      <w:r w:rsidR="00A117CF" w:rsidRPr="009F79E2">
        <w:t xml:space="preserve"> Due to the nature of the extract above, and the </w:t>
      </w:r>
      <w:r w:rsidR="00A117CF" w:rsidRPr="009F79E2">
        <w:lastRenderedPageBreak/>
        <w:t>need for Ridel’s lands to be maintained by Richard</w:t>
      </w:r>
      <w:r w:rsidR="00FE33D6" w:rsidRPr="009F79E2">
        <w:t xml:space="preserve"> until Robert Ridel, Geoffrey’s son with his wife</w:t>
      </w:r>
      <w:r w:rsidR="00FF4E6B" w:rsidRPr="009F79E2">
        <w:t xml:space="preserve"> </w:t>
      </w:r>
      <w:r w:rsidR="00FE33D6" w:rsidRPr="009F79E2">
        <w:t xml:space="preserve">Geva, was knighted, </w:t>
      </w:r>
      <w:r w:rsidR="00A117CF" w:rsidRPr="009F79E2">
        <w:t>it suggests that something had happened to Geoffrey</w:t>
      </w:r>
      <w:r w:rsidR="00FE33D6" w:rsidRPr="009F79E2">
        <w:t>, which would be in line with his death</w:t>
      </w:r>
      <w:r w:rsidR="00FF4E6B" w:rsidRPr="009F79E2">
        <w:t>, meaning the text likely dates to after his demise</w:t>
      </w:r>
      <w:r w:rsidR="00FE33D6" w:rsidRPr="009F79E2">
        <w:t>.</w:t>
      </w:r>
      <w:r w:rsidR="00A117CF" w:rsidRPr="009F79E2">
        <w:rPr>
          <w:rStyle w:val="FootnoteReference"/>
        </w:rPr>
        <w:footnoteReference w:id="17"/>
      </w:r>
      <w:r w:rsidR="002A641A" w:rsidRPr="009F79E2">
        <w:t xml:space="preserve"> This idea is further reinforced by the dating of when Richard Basset and Matilda Ridel got married, which according to Judith Green was sometime between 1120 and 1123, </w:t>
      </w:r>
      <w:r w:rsidR="00FF4E6B" w:rsidRPr="009F79E2">
        <w:t xml:space="preserve">meaning </w:t>
      </w:r>
      <w:r w:rsidR="002A641A" w:rsidRPr="009F79E2">
        <w:t>the end of our date range to 1123.</w:t>
      </w:r>
      <w:r w:rsidR="002A641A" w:rsidRPr="009F79E2">
        <w:rPr>
          <w:rStyle w:val="FootnoteReference"/>
        </w:rPr>
        <w:footnoteReference w:id="18"/>
      </w:r>
      <w:r w:rsidR="00365EBD" w:rsidRPr="009F79E2">
        <w:t xml:space="preserve"> Finally, we can narrow </w:t>
      </w:r>
      <w:r w:rsidR="00FF4E6B" w:rsidRPr="009F79E2">
        <w:t xml:space="preserve">this </w:t>
      </w:r>
      <w:r w:rsidR="00365EBD" w:rsidRPr="009F79E2">
        <w:t xml:space="preserve">down further </w:t>
      </w:r>
      <w:r w:rsidR="00FF4E6B" w:rsidRPr="009F79E2">
        <w:t xml:space="preserve">by examining </w:t>
      </w:r>
      <w:r w:rsidR="002B197E" w:rsidRPr="009F79E2">
        <w:t xml:space="preserve">when the King was at </w:t>
      </w:r>
      <w:r w:rsidR="00365EBD" w:rsidRPr="009F79E2">
        <w:t>Woodstock</w:t>
      </w:r>
      <w:r w:rsidR="002B197E" w:rsidRPr="009F79E2">
        <w:t xml:space="preserve">, </w:t>
      </w:r>
      <w:r w:rsidR="00FF4E6B" w:rsidRPr="009F79E2">
        <w:t xml:space="preserve">where the </w:t>
      </w:r>
      <w:r w:rsidR="005C3982" w:rsidRPr="009F79E2">
        <w:t xml:space="preserve">content of the </w:t>
      </w:r>
      <w:r w:rsidR="00FF4E6B" w:rsidRPr="009F79E2">
        <w:t xml:space="preserve">extract was </w:t>
      </w:r>
      <w:r w:rsidR="005C3982" w:rsidRPr="009F79E2">
        <w:t xml:space="preserve">decreed, </w:t>
      </w:r>
      <w:r w:rsidR="00365EBD" w:rsidRPr="009F79E2">
        <w:t xml:space="preserve">which </w:t>
      </w:r>
      <w:r w:rsidR="002B197E" w:rsidRPr="009F79E2">
        <w:t>he</w:t>
      </w:r>
      <w:r w:rsidR="00365EBD" w:rsidRPr="009F79E2">
        <w:t xml:space="preserve"> visited sometime in 1121,</w:t>
      </w:r>
      <w:r w:rsidR="00365EBD" w:rsidRPr="009F79E2">
        <w:rPr>
          <w:rStyle w:val="FootnoteReference"/>
        </w:rPr>
        <w:footnoteReference w:id="19"/>
      </w:r>
      <w:r w:rsidR="00365EBD" w:rsidRPr="009F79E2">
        <w:t xml:space="preserve"> as well as again in January of 1123</w:t>
      </w:r>
      <w:r w:rsidR="0045714D" w:rsidRPr="009F79E2">
        <w:t>, which “was on the fourth day before the ides of January”</w:t>
      </w:r>
      <w:r w:rsidR="00365EBD" w:rsidRPr="009F79E2">
        <w:t>.</w:t>
      </w:r>
      <w:r w:rsidR="00365EBD" w:rsidRPr="009F79E2">
        <w:rPr>
          <w:rStyle w:val="FootnoteReference"/>
        </w:rPr>
        <w:footnoteReference w:id="20"/>
      </w:r>
      <w:r w:rsidR="0045714D" w:rsidRPr="009F79E2">
        <w:t xml:space="preserve"> Based on the Medieval Genealogy Calendar, the fourth day before the January ides is the 10</w:t>
      </w:r>
      <w:r w:rsidR="0045714D" w:rsidRPr="009F79E2">
        <w:rPr>
          <w:vertAlign w:val="superscript"/>
        </w:rPr>
        <w:t>th</w:t>
      </w:r>
      <w:r w:rsidR="0045714D" w:rsidRPr="009F79E2">
        <w:t>, which is why the dating of this extract is sometime between 1121 and 10</w:t>
      </w:r>
      <w:r w:rsidR="0045714D" w:rsidRPr="009F79E2">
        <w:rPr>
          <w:vertAlign w:val="superscript"/>
        </w:rPr>
        <w:t>th</w:t>
      </w:r>
      <w:r w:rsidR="0045714D" w:rsidRPr="009F79E2">
        <w:t xml:space="preserve"> January 1123.</w:t>
      </w:r>
      <w:r w:rsidR="0045714D" w:rsidRPr="009F79E2">
        <w:rPr>
          <w:rStyle w:val="FootnoteReference"/>
        </w:rPr>
        <w:footnoteReference w:id="21"/>
      </w:r>
    </w:p>
    <w:p w14:paraId="2BB6C9E7" w14:textId="3F4416AA" w:rsidR="00673D14" w:rsidRPr="002B197E" w:rsidRDefault="002B197E" w:rsidP="005F48DF">
      <w:pPr>
        <w:spacing w:line="360" w:lineRule="auto"/>
        <w:rPr>
          <w:rFonts w:cstheme="minorHAnsi"/>
          <w:b/>
          <w:bCs/>
        </w:rPr>
      </w:pPr>
      <w:r w:rsidRPr="002B197E">
        <w:rPr>
          <w:rFonts w:cstheme="minorHAnsi"/>
          <w:b/>
          <w:bCs/>
        </w:rPr>
        <w:t>Word Count: 1,</w:t>
      </w:r>
      <w:r w:rsidR="009F79E2">
        <w:rPr>
          <w:rFonts w:cstheme="minorHAnsi"/>
          <w:b/>
          <w:bCs/>
        </w:rPr>
        <w:t>091</w:t>
      </w:r>
      <w:r w:rsidR="006914C1">
        <w:rPr>
          <w:rFonts w:cstheme="minorHAnsi"/>
          <w:b/>
          <w:bCs/>
        </w:rPr>
        <w:t>.</w:t>
      </w:r>
    </w:p>
    <w:p w14:paraId="2CD7F1BE" w14:textId="7361D7D8" w:rsidR="00704554" w:rsidRDefault="00704554" w:rsidP="005F48DF">
      <w:pPr>
        <w:spacing w:line="360" w:lineRule="auto"/>
        <w:rPr>
          <w:rFonts w:cstheme="minorHAnsi"/>
        </w:rPr>
      </w:pPr>
    </w:p>
    <w:p w14:paraId="0BA260CC" w14:textId="6F68382A" w:rsidR="00704554" w:rsidRDefault="00704554" w:rsidP="005F48DF">
      <w:pPr>
        <w:spacing w:line="360" w:lineRule="auto"/>
        <w:rPr>
          <w:rFonts w:cstheme="minorHAnsi"/>
        </w:rPr>
      </w:pPr>
    </w:p>
    <w:p w14:paraId="1AE0F7F0" w14:textId="01315816" w:rsidR="00704554" w:rsidRDefault="00704554" w:rsidP="005F48DF">
      <w:pPr>
        <w:spacing w:line="360" w:lineRule="auto"/>
      </w:pPr>
    </w:p>
    <w:p w14:paraId="5D0D045B" w14:textId="576CF206" w:rsidR="00BC696E" w:rsidRDefault="00BC696E" w:rsidP="005F48DF">
      <w:pPr>
        <w:spacing w:line="360" w:lineRule="auto"/>
      </w:pPr>
    </w:p>
    <w:p w14:paraId="098DA2C1" w14:textId="19A98009" w:rsidR="00BC696E" w:rsidRDefault="00BC696E" w:rsidP="005F48DF">
      <w:pPr>
        <w:spacing w:line="360" w:lineRule="auto"/>
      </w:pPr>
    </w:p>
    <w:p w14:paraId="16A19C68" w14:textId="50FA1207" w:rsidR="00BC696E" w:rsidRDefault="00BC696E" w:rsidP="005F48DF">
      <w:pPr>
        <w:spacing w:line="360" w:lineRule="auto"/>
      </w:pPr>
    </w:p>
    <w:p w14:paraId="249284FD" w14:textId="2404ADB6" w:rsidR="00BC696E" w:rsidRDefault="00BC696E" w:rsidP="005F48DF">
      <w:pPr>
        <w:spacing w:line="360" w:lineRule="auto"/>
      </w:pPr>
    </w:p>
    <w:p w14:paraId="6288E3C0" w14:textId="38962547" w:rsidR="00BC696E" w:rsidRDefault="00BC696E" w:rsidP="005F48DF">
      <w:pPr>
        <w:spacing w:line="360" w:lineRule="auto"/>
      </w:pPr>
    </w:p>
    <w:p w14:paraId="7320D72D" w14:textId="77777777" w:rsidR="00BC696E" w:rsidRDefault="00BC696E" w:rsidP="005F48DF">
      <w:pPr>
        <w:spacing w:line="360" w:lineRule="auto"/>
        <w:rPr>
          <w:rFonts w:cstheme="minorHAnsi"/>
        </w:rPr>
      </w:pPr>
    </w:p>
    <w:p w14:paraId="45F7C5A9" w14:textId="4D66D071" w:rsidR="00704554" w:rsidRDefault="00704554" w:rsidP="005F48DF">
      <w:pPr>
        <w:spacing w:line="360" w:lineRule="auto"/>
        <w:rPr>
          <w:rFonts w:cstheme="minorHAnsi"/>
        </w:rPr>
      </w:pPr>
    </w:p>
    <w:p w14:paraId="7C57560A" w14:textId="77777777" w:rsidR="00704554" w:rsidRDefault="00704554" w:rsidP="005F48DF">
      <w:pPr>
        <w:spacing w:line="360" w:lineRule="auto"/>
        <w:rPr>
          <w:rFonts w:cstheme="minorHAnsi"/>
        </w:rPr>
      </w:pPr>
    </w:p>
    <w:p w14:paraId="1F1C0884" w14:textId="270630D9" w:rsidR="00E01386" w:rsidRDefault="00BA328B">
      <w:pPr>
        <w:spacing w:line="360" w:lineRule="auto"/>
        <w:rPr>
          <w:rFonts w:cstheme="minorHAnsi"/>
          <w:b/>
          <w:bCs/>
          <w:sz w:val="28"/>
          <w:szCs w:val="28"/>
        </w:rPr>
      </w:pPr>
      <w:r w:rsidRPr="00BA328B">
        <w:rPr>
          <w:rFonts w:cstheme="minorHAnsi"/>
          <w:b/>
          <w:bCs/>
          <w:sz w:val="28"/>
          <w:szCs w:val="28"/>
        </w:rPr>
        <w:lastRenderedPageBreak/>
        <w:t>Bibliography</w:t>
      </w:r>
    </w:p>
    <w:p w14:paraId="338CBFD6" w14:textId="5BD6529D" w:rsidR="00BA328B" w:rsidRDefault="00BA328B">
      <w:pPr>
        <w:spacing w:line="360" w:lineRule="auto"/>
        <w:rPr>
          <w:rFonts w:cstheme="minorHAnsi"/>
          <w:b/>
          <w:bCs/>
          <w:sz w:val="24"/>
          <w:szCs w:val="24"/>
        </w:rPr>
      </w:pPr>
      <w:r>
        <w:rPr>
          <w:rFonts w:cstheme="minorHAnsi"/>
          <w:b/>
          <w:bCs/>
          <w:sz w:val="24"/>
          <w:szCs w:val="24"/>
        </w:rPr>
        <w:t>Secondary Sources</w:t>
      </w:r>
    </w:p>
    <w:p w14:paraId="3B28111A" w14:textId="0B24F714" w:rsidR="00DD45B4" w:rsidRDefault="00DD45B4" w:rsidP="00DD45B4">
      <w:pPr>
        <w:spacing w:line="360" w:lineRule="auto"/>
      </w:pPr>
      <w:r>
        <w:t xml:space="preserve">Aston, T.H. </w:t>
      </w:r>
      <w:r w:rsidRPr="002677AD">
        <w:rPr>
          <w:i/>
          <w:iCs/>
        </w:rPr>
        <w:t>Landlords, Peasants and Politics in Medieval England</w:t>
      </w:r>
      <w:r>
        <w:t>. (Cambridge: Cambridge University Press, 2006).</w:t>
      </w:r>
    </w:p>
    <w:p w14:paraId="53A3701A" w14:textId="77777777" w:rsidR="006C6629" w:rsidRPr="00BA328B" w:rsidRDefault="006C6629" w:rsidP="006C6629">
      <w:pPr>
        <w:spacing w:line="360" w:lineRule="auto"/>
        <w:rPr>
          <w:rFonts w:cstheme="minorHAnsi"/>
        </w:rPr>
      </w:pPr>
      <w:r>
        <w:t xml:space="preserve">Cheney, C.D. </w:t>
      </w:r>
      <w:r w:rsidRPr="00BA328B">
        <w:rPr>
          <w:i/>
          <w:iCs/>
        </w:rPr>
        <w:t>A Handbook of Dates: For Students of British History</w:t>
      </w:r>
      <w:r>
        <w:t>. Revised edn. (Cambridge: Cambridge University Press, 2000 [1945]).</w:t>
      </w:r>
    </w:p>
    <w:p w14:paraId="5753B832" w14:textId="77777777" w:rsidR="004134DB" w:rsidRPr="004134DB" w:rsidRDefault="004134DB" w:rsidP="004134DB">
      <w:pPr>
        <w:spacing w:line="360" w:lineRule="auto"/>
      </w:pPr>
      <w:r w:rsidRPr="004134DB">
        <w:t>Farrer, W</w:t>
      </w:r>
      <w:r>
        <w:t>.</w:t>
      </w:r>
      <w:r w:rsidRPr="004134DB">
        <w:t xml:space="preserve"> Early Yorkshire Charters: Volume 3: Being a Collection of Documents Being a Collection of Documents Anterior to the Thirteenth Century Made from the Public Records, Monastic Chartularies, Roger Dodsworth's Manuscripts and Other Available Sources</w:t>
      </w:r>
      <w:r>
        <w:t xml:space="preserve">. (Cambridge: Cambridge University Press, 2013). </w:t>
      </w:r>
    </w:p>
    <w:p w14:paraId="482C3ECE" w14:textId="7AF86AA5" w:rsidR="00BA328B" w:rsidRDefault="00BA328B">
      <w:pPr>
        <w:spacing w:line="360" w:lineRule="auto"/>
      </w:pPr>
      <w:r>
        <w:t xml:space="preserve">Fryde, E.B. and other. </w:t>
      </w:r>
      <w:r w:rsidRPr="00BA328B">
        <w:rPr>
          <w:i/>
          <w:iCs/>
        </w:rPr>
        <w:t>Handbook of British Chronology</w:t>
      </w:r>
      <w:r>
        <w:t>. (Cambridge: Cambridge University Press, 1996).</w:t>
      </w:r>
    </w:p>
    <w:p w14:paraId="5EE32173" w14:textId="77777777" w:rsidR="00B6444E" w:rsidRDefault="002A641A">
      <w:pPr>
        <w:spacing w:line="360" w:lineRule="auto"/>
      </w:pPr>
      <w:r>
        <w:t xml:space="preserve">Green, J.A. </w:t>
      </w:r>
      <w:r w:rsidRPr="002A641A">
        <w:rPr>
          <w:i/>
          <w:iCs/>
        </w:rPr>
        <w:t>The Government of England under Henry I</w:t>
      </w:r>
      <w:r>
        <w:t>. (Cambridge: Cambridge University Press, 1989).</w:t>
      </w:r>
    </w:p>
    <w:p w14:paraId="0F96563C" w14:textId="2AE99AC4" w:rsidR="00245EE5" w:rsidRDefault="00245EE5">
      <w:pPr>
        <w:spacing w:line="360" w:lineRule="auto"/>
      </w:pPr>
      <w:r>
        <w:t xml:space="preserve">Hoh, Jr. J.L. </w:t>
      </w:r>
      <w:r w:rsidRPr="00D5453D">
        <w:rPr>
          <w:i/>
          <w:iCs/>
        </w:rPr>
        <w:t>A Primer on Ash Wednesday and Lent</w:t>
      </w:r>
      <w:r>
        <w:t>. (Milwaukee: HoneyMilk Publications, 2013).</w:t>
      </w:r>
    </w:p>
    <w:p w14:paraId="29EFE717" w14:textId="07991430" w:rsidR="00922634" w:rsidRDefault="00922634">
      <w:pPr>
        <w:spacing w:line="360" w:lineRule="auto"/>
      </w:pPr>
      <w:r>
        <w:t xml:space="preserve">Hutchinson, W. </w:t>
      </w:r>
      <w:r w:rsidRPr="00922634">
        <w:rPr>
          <w:i/>
          <w:iCs/>
        </w:rPr>
        <w:t xml:space="preserve">History and Antiquities of the County Palatine of </w:t>
      </w:r>
      <w:r>
        <w:rPr>
          <w:i/>
          <w:iCs/>
        </w:rPr>
        <w:t>Durham</w:t>
      </w:r>
      <w:r>
        <w:t>. Vol. 3. (Durham: G. Walker, 1823).</w:t>
      </w:r>
    </w:p>
    <w:p w14:paraId="3F6DCF79" w14:textId="2667B330" w:rsidR="004134DB" w:rsidRDefault="00A117CF">
      <w:pPr>
        <w:spacing w:line="360" w:lineRule="auto"/>
      </w:pPr>
      <w:r>
        <w:t xml:space="preserve">Stenton, F.M. </w:t>
      </w:r>
      <w:r w:rsidRPr="008514FF">
        <w:rPr>
          <w:i/>
          <w:iCs/>
        </w:rPr>
        <w:t>The First Century of English Feudalism: 1066 – 1166</w:t>
      </w:r>
      <w:r>
        <w:t>. (London: Clarendon Press, 1961).</w:t>
      </w:r>
    </w:p>
    <w:p w14:paraId="735209E2" w14:textId="6174CECA" w:rsidR="00B6444E" w:rsidRDefault="00B6444E">
      <w:pPr>
        <w:spacing w:line="360" w:lineRule="auto"/>
      </w:pPr>
      <w:r>
        <w:t xml:space="preserve">Stevenson S. </w:t>
      </w:r>
      <w:r w:rsidRPr="00365EBD">
        <w:rPr>
          <w:i/>
          <w:iCs/>
        </w:rPr>
        <w:t>Chronicon Monasterii de Abingdon, Rolls Series</w:t>
      </w:r>
      <w:r>
        <w:t>. Vol.2. (London: Longman, Brown, Green, Longmans, and Roberts, 1858).</w:t>
      </w:r>
    </w:p>
    <w:p w14:paraId="6AFAC4D3" w14:textId="77777777" w:rsidR="005F37BD" w:rsidRDefault="005F37BD">
      <w:pPr>
        <w:spacing w:line="360" w:lineRule="auto"/>
        <w:rPr>
          <w:rFonts w:cstheme="minorHAnsi"/>
          <w:b/>
          <w:bCs/>
          <w:sz w:val="24"/>
          <w:szCs w:val="24"/>
        </w:rPr>
      </w:pPr>
    </w:p>
    <w:p w14:paraId="20A5DACA" w14:textId="315DCF42" w:rsidR="006C6629" w:rsidRDefault="005F37BD">
      <w:pPr>
        <w:spacing w:line="360" w:lineRule="auto"/>
        <w:rPr>
          <w:rFonts w:cstheme="minorHAnsi"/>
          <w:b/>
          <w:bCs/>
          <w:sz w:val="24"/>
          <w:szCs w:val="24"/>
        </w:rPr>
      </w:pPr>
      <w:r w:rsidRPr="005F37BD">
        <w:rPr>
          <w:rFonts w:cstheme="minorHAnsi"/>
          <w:b/>
          <w:bCs/>
          <w:sz w:val="24"/>
          <w:szCs w:val="24"/>
        </w:rPr>
        <w:t>Online Sources</w:t>
      </w:r>
    </w:p>
    <w:p w14:paraId="587C4576" w14:textId="3281AEB0" w:rsidR="00F96503" w:rsidRPr="00BC696E" w:rsidRDefault="00F96503" w:rsidP="00F96503">
      <w:pPr>
        <w:spacing w:line="360" w:lineRule="auto"/>
        <w:rPr>
          <w:rFonts w:ascii="Constantia" w:eastAsia="Times New Roman" w:hAnsi="Constantia"/>
          <w:sz w:val="24"/>
          <w:szCs w:val="24"/>
        </w:rPr>
      </w:pPr>
      <w:r w:rsidRPr="00BC696E">
        <w:rPr>
          <w:rFonts w:eastAsia="Times New Roman"/>
          <w:i/>
          <w:iCs/>
          <w:shd w:val="clear" w:color="auto" w:fill="FFFFFF"/>
        </w:rPr>
        <w:t>The Anglo-Saxon Chronicle</w:t>
      </w:r>
      <w:r w:rsidRPr="00BC696E">
        <w:rPr>
          <w:rFonts w:eastAsia="Times New Roman"/>
          <w:shd w:val="clear" w:color="auto" w:fill="FFFFFF"/>
        </w:rPr>
        <w:t xml:space="preserve">, </w:t>
      </w:r>
      <w:r w:rsidRPr="00BC696E">
        <w:rPr>
          <w:rFonts w:eastAsia="Times New Roman"/>
          <w:i/>
          <w:iCs/>
          <w:shd w:val="clear" w:color="auto" w:fill="FFFFFF"/>
        </w:rPr>
        <w:t>c. AD 890 – c. 1150,</w:t>
      </w:r>
      <w:r w:rsidRPr="00BC696E">
        <w:rPr>
          <w:rFonts w:eastAsia="Times New Roman"/>
          <w:shd w:val="clear" w:color="auto" w:fill="FFFFFF"/>
        </w:rPr>
        <w:t xml:space="preserve"> trans. James H. Ingram, </w:t>
      </w:r>
      <w:r w:rsidRPr="00BC696E">
        <w:rPr>
          <w:rFonts w:eastAsia="Times New Roman"/>
          <w:i/>
          <w:iCs/>
          <w:shd w:val="clear" w:color="auto" w:fill="FFFFFF"/>
        </w:rPr>
        <w:t>The Project Gutenberg Ebook of the Anglo-Saxon Chronicle</w:t>
      </w:r>
      <w:r w:rsidRPr="00BC696E">
        <w:rPr>
          <w:rFonts w:eastAsia="Times New Roman"/>
          <w:shd w:val="clear" w:color="auto" w:fill="FFFFFF"/>
        </w:rPr>
        <w:t> (1823) &lt;http://www.gutenberg.org/cache/epub/657/pg657.html&gt; [Accessed: 31 October 2020].</w:t>
      </w:r>
    </w:p>
    <w:p w14:paraId="21A3D277" w14:textId="24CDDB1A" w:rsidR="00704554" w:rsidRDefault="00704554" w:rsidP="00E37160">
      <w:pPr>
        <w:spacing w:line="360" w:lineRule="auto"/>
        <w:rPr>
          <w:rFonts w:cstheme="minorHAnsi"/>
        </w:rPr>
      </w:pPr>
      <w:r w:rsidRPr="00BC696E">
        <w:t xml:space="preserve">Medieval Genealogy, </w:t>
      </w:r>
      <w:r w:rsidRPr="00BC696E">
        <w:rPr>
          <w:i/>
          <w:iCs/>
        </w:rPr>
        <w:t>A Medieval English Calendar: Henry I: January 1123</w:t>
      </w:r>
      <w:r w:rsidRPr="00BC696E">
        <w:t>. (2002) &lt;http://www.medievalgenealogy.org.</w:t>
      </w:r>
      <w:r w:rsidRPr="00704554">
        <w:t>uk/cal/janmos.htm</w:t>
      </w:r>
      <w:r>
        <w:t>&gt; [Accessed: 31 October 2020].</w:t>
      </w:r>
    </w:p>
    <w:p w14:paraId="3094AA78" w14:textId="0F11317A" w:rsidR="00E37160" w:rsidRDefault="005F37BD" w:rsidP="00E37160">
      <w:pPr>
        <w:spacing w:line="360" w:lineRule="auto"/>
      </w:pPr>
      <w:r>
        <w:rPr>
          <w:rFonts w:cstheme="minorHAnsi"/>
        </w:rPr>
        <w:lastRenderedPageBreak/>
        <w:t xml:space="preserve">Time and Date.com, </w:t>
      </w:r>
      <w:r w:rsidRPr="005F37BD">
        <w:rPr>
          <w:rFonts w:cstheme="minorHAnsi"/>
          <w:i/>
          <w:iCs/>
        </w:rPr>
        <w:t>Calendar Year for 2022 (United Kingdom)</w:t>
      </w:r>
      <w:r w:rsidR="000E124D">
        <w:rPr>
          <w:rFonts w:cstheme="minorHAnsi"/>
        </w:rPr>
        <w:t xml:space="preserve"> (2020) </w:t>
      </w:r>
      <w:r>
        <w:rPr>
          <w:rFonts w:cstheme="minorHAnsi"/>
        </w:rPr>
        <w:t>&lt;</w:t>
      </w:r>
      <w:r w:rsidRPr="005F37BD">
        <w:rPr>
          <w:rFonts w:cstheme="minorHAnsi"/>
        </w:rPr>
        <w:t>https://www.timeanddate.com/calendar/?year=2022&amp;country=9</w:t>
      </w:r>
      <w:r>
        <w:rPr>
          <w:rFonts w:cstheme="minorHAnsi"/>
        </w:rPr>
        <w:t>&gt; [Accessed: 29 October 2020].</w:t>
      </w:r>
      <w:r w:rsidR="00E37160" w:rsidRPr="00E37160">
        <w:t xml:space="preserve"> </w:t>
      </w:r>
    </w:p>
    <w:p w14:paraId="3A3C8FAD" w14:textId="7755C5DD" w:rsidR="00E37160" w:rsidRPr="00E37160" w:rsidRDefault="00E37160" w:rsidP="00E37160">
      <w:pPr>
        <w:spacing w:line="360" w:lineRule="auto"/>
      </w:pPr>
      <w:r w:rsidRPr="00E37160">
        <w:t xml:space="preserve">Yotov, </w:t>
      </w:r>
      <w:r>
        <w:t xml:space="preserve">P. </w:t>
      </w:r>
      <w:r w:rsidRPr="00E37160">
        <w:rPr>
          <w:i/>
          <w:iCs/>
        </w:rPr>
        <w:t>Caйtъt: 1311 Julian calendar / Old style - New style synoptical</w:t>
      </w:r>
      <w:r w:rsidRPr="00E37160">
        <w:t xml:space="preserve"> </w:t>
      </w:r>
      <w:r w:rsidRPr="00E37160">
        <w:rPr>
          <w:i/>
          <w:iCs/>
        </w:rPr>
        <w:t>reference</w:t>
      </w:r>
      <w:r w:rsidRPr="00E37160">
        <w:t xml:space="preserve"> (1999) &lt;http://5ko.free.fr/en/jul.php?y=1311&gt; [Accessed: 31 October 2020].</w:t>
      </w:r>
    </w:p>
    <w:p w14:paraId="45B67676" w14:textId="77777777" w:rsidR="00F96503" w:rsidRPr="005F37BD" w:rsidRDefault="00F96503" w:rsidP="00E37160">
      <w:pPr>
        <w:spacing w:line="360" w:lineRule="auto"/>
        <w:rPr>
          <w:rFonts w:cstheme="minorHAnsi"/>
        </w:rPr>
      </w:pPr>
    </w:p>
    <w:sectPr w:rsidR="00F96503" w:rsidRPr="005F37BD" w:rsidSect="0055010E">
      <w:headerReference w:type="default" r:id="rId8"/>
      <w:footerReference w:type="default" r:id="rId9"/>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A42C2" w14:textId="77777777" w:rsidR="00BA60C8" w:rsidRDefault="00BA60C8" w:rsidP="0055010E">
      <w:pPr>
        <w:spacing w:after="0" w:line="240" w:lineRule="auto"/>
      </w:pPr>
      <w:r>
        <w:separator/>
      </w:r>
    </w:p>
  </w:endnote>
  <w:endnote w:type="continuationSeparator" w:id="0">
    <w:p w14:paraId="0905D534" w14:textId="77777777" w:rsidR="00BA60C8" w:rsidRDefault="00BA60C8" w:rsidP="0055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713709"/>
      <w:docPartObj>
        <w:docPartGallery w:val="Page Numbers (Bottom of Page)"/>
        <w:docPartUnique/>
      </w:docPartObj>
    </w:sdtPr>
    <w:sdtEndPr>
      <w:rPr>
        <w:noProof/>
      </w:rPr>
    </w:sdtEndPr>
    <w:sdtContent>
      <w:p w14:paraId="582AEB74" w14:textId="2F04CDA9" w:rsidR="008B360E" w:rsidRDefault="008B36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C3DC93" w14:textId="77777777" w:rsidR="008B360E" w:rsidRDefault="008B3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8B7F2" w14:textId="77777777" w:rsidR="00BA60C8" w:rsidRDefault="00BA60C8" w:rsidP="0055010E">
      <w:pPr>
        <w:spacing w:after="0" w:line="240" w:lineRule="auto"/>
      </w:pPr>
      <w:r>
        <w:separator/>
      </w:r>
    </w:p>
  </w:footnote>
  <w:footnote w:type="continuationSeparator" w:id="0">
    <w:p w14:paraId="01901AFB" w14:textId="77777777" w:rsidR="00BA60C8" w:rsidRDefault="00BA60C8" w:rsidP="0055010E">
      <w:pPr>
        <w:spacing w:after="0" w:line="240" w:lineRule="auto"/>
      </w:pPr>
      <w:r>
        <w:continuationSeparator/>
      </w:r>
    </w:p>
  </w:footnote>
  <w:footnote w:id="1">
    <w:p w14:paraId="0C6752BB" w14:textId="3A25FA53" w:rsidR="005E41E5" w:rsidRDefault="005E41E5">
      <w:pPr>
        <w:pStyle w:val="FootnoteText"/>
      </w:pPr>
      <w:r>
        <w:rPr>
          <w:rStyle w:val="FootnoteReference"/>
        </w:rPr>
        <w:footnoteRef/>
      </w:r>
      <w:r>
        <w:t xml:space="preserve"> E.B. Fryde, and other</w:t>
      </w:r>
      <w:r w:rsidR="00BA328B">
        <w:t>,</w:t>
      </w:r>
      <w:r>
        <w:t xml:space="preserve"> </w:t>
      </w:r>
      <w:r w:rsidRPr="00BA328B">
        <w:rPr>
          <w:i/>
          <w:iCs/>
        </w:rPr>
        <w:t>Handbook of British Chronology</w:t>
      </w:r>
      <w:r>
        <w:t xml:space="preserve">. (Cambridge: Cambridge University Press, 1996), pp. 36 – 37. </w:t>
      </w:r>
    </w:p>
  </w:footnote>
  <w:footnote w:id="2">
    <w:p w14:paraId="52A8B81E" w14:textId="53CA0547" w:rsidR="00BA328B" w:rsidRDefault="00BA328B">
      <w:pPr>
        <w:pStyle w:val="FootnoteText"/>
      </w:pPr>
      <w:r>
        <w:rPr>
          <w:rStyle w:val="FootnoteReference"/>
        </w:rPr>
        <w:footnoteRef/>
      </w:r>
      <w:r>
        <w:t xml:space="preserve"> Carl D. Cheney, </w:t>
      </w:r>
      <w:r w:rsidRPr="00BA328B">
        <w:rPr>
          <w:i/>
          <w:iCs/>
        </w:rPr>
        <w:t>A Handbook of Dates: For Students of British History</w:t>
      </w:r>
      <w:r>
        <w:t>. Revised edn. (Cambridge: Cambridge University Press, 2000 [1945])</w:t>
      </w:r>
      <w:r w:rsidR="006C6629">
        <w:t>, p. 55.</w:t>
      </w:r>
    </w:p>
  </w:footnote>
  <w:footnote w:id="3">
    <w:p w14:paraId="13671191" w14:textId="3245C0F0" w:rsidR="006C6629" w:rsidRDefault="006C6629">
      <w:pPr>
        <w:pStyle w:val="FootnoteText"/>
      </w:pPr>
      <w:r>
        <w:rPr>
          <w:rStyle w:val="FootnoteReference"/>
        </w:rPr>
        <w:footnoteRef/>
      </w:r>
      <w:r>
        <w:t xml:space="preserve"> Cheney, </w:t>
      </w:r>
      <w:r w:rsidRPr="00BA328B">
        <w:rPr>
          <w:i/>
          <w:iCs/>
        </w:rPr>
        <w:t>A Handbook of Dates</w:t>
      </w:r>
      <w:r w:rsidRPr="006C6629">
        <w:t>, p</w:t>
      </w:r>
      <w:r>
        <w:t xml:space="preserve">. 158. </w:t>
      </w:r>
    </w:p>
  </w:footnote>
  <w:footnote w:id="4">
    <w:p w14:paraId="4128CAE0" w14:textId="204FA6E3" w:rsidR="000E124D" w:rsidRDefault="000E124D">
      <w:pPr>
        <w:pStyle w:val="FootnoteText"/>
      </w:pPr>
      <w:r>
        <w:rPr>
          <w:rStyle w:val="FootnoteReference"/>
        </w:rPr>
        <w:footnoteRef/>
      </w:r>
      <w:r>
        <w:t xml:space="preserve"> Cheney, </w:t>
      </w:r>
      <w:r w:rsidRPr="00BA328B">
        <w:rPr>
          <w:i/>
          <w:iCs/>
        </w:rPr>
        <w:t>A Handbook of Dates</w:t>
      </w:r>
      <w:r w:rsidRPr="006C6629">
        <w:t>, p</w:t>
      </w:r>
      <w:r>
        <w:t>p. 88 – 89.</w:t>
      </w:r>
    </w:p>
  </w:footnote>
  <w:footnote w:id="5">
    <w:p w14:paraId="0408CFB1" w14:textId="0D3E7B31" w:rsidR="000E124D" w:rsidRPr="000E124D" w:rsidRDefault="000E124D" w:rsidP="000E124D">
      <w:pPr>
        <w:pStyle w:val="NoSpacing"/>
      </w:pPr>
      <w:r w:rsidRPr="000E124D">
        <w:rPr>
          <w:rStyle w:val="FootnoteReference"/>
          <w:sz w:val="20"/>
          <w:szCs w:val="20"/>
        </w:rPr>
        <w:footnoteRef/>
      </w:r>
      <w:r w:rsidRPr="000E124D">
        <w:rPr>
          <w:sz w:val="20"/>
          <w:szCs w:val="20"/>
        </w:rPr>
        <w:t xml:space="preserve"> Time and Date.com, </w:t>
      </w:r>
      <w:r w:rsidRPr="000E124D">
        <w:rPr>
          <w:i/>
          <w:iCs/>
          <w:sz w:val="20"/>
          <w:szCs w:val="20"/>
        </w:rPr>
        <w:t>Calendar Year for 2022 (United Kingdom)</w:t>
      </w:r>
      <w:r w:rsidRPr="000E124D">
        <w:rPr>
          <w:sz w:val="20"/>
          <w:szCs w:val="20"/>
        </w:rPr>
        <w:t xml:space="preserve"> (2020) &lt;https://www.timeanddate.com/calendar/?year=2022&amp;country=9&gt; [Accessed: 29 October 2020].</w:t>
      </w:r>
    </w:p>
  </w:footnote>
  <w:footnote w:id="6">
    <w:p w14:paraId="2A4475AC" w14:textId="3E6A21C0" w:rsidR="00F55A64" w:rsidRDefault="00F55A64">
      <w:pPr>
        <w:pStyle w:val="FootnoteText"/>
      </w:pPr>
      <w:r>
        <w:rPr>
          <w:rStyle w:val="FootnoteReference"/>
        </w:rPr>
        <w:footnoteRef/>
      </w:r>
      <w:r>
        <w:t xml:space="preserve"> Fryde and other, </w:t>
      </w:r>
      <w:r w:rsidRPr="00BA328B">
        <w:rPr>
          <w:i/>
          <w:iCs/>
        </w:rPr>
        <w:t>Handbook of British Chronology</w:t>
      </w:r>
      <w:r>
        <w:t xml:space="preserve">, p. </w:t>
      </w:r>
      <w:r w:rsidR="00C95EFD">
        <w:t>295</w:t>
      </w:r>
      <w:r>
        <w:t>.</w:t>
      </w:r>
    </w:p>
  </w:footnote>
  <w:footnote w:id="7">
    <w:p w14:paraId="66ED6FA6" w14:textId="42A00622" w:rsidR="00F4647F" w:rsidRDefault="00F4647F">
      <w:pPr>
        <w:pStyle w:val="FootnoteText"/>
      </w:pPr>
      <w:r>
        <w:rPr>
          <w:rStyle w:val="FootnoteReference"/>
        </w:rPr>
        <w:footnoteRef/>
      </w:r>
      <w:r>
        <w:t xml:space="preserve"> Cheney, </w:t>
      </w:r>
      <w:r w:rsidRPr="00BA328B">
        <w:rPr>
          <w:i/>
          <w:iCs/>
        </w:rPr>
        <w:t>A Handbook of Dates</w:t>
      </w:r>
      <w:r w:rsidRPr="006C6629">
        <w:t>, p</w:t>
      </w:r>
      <w:r>
        <w:t>.</w:t>
      </w:r>
      <w:r w:rsidR="00FC3ED9">
        <w:t xml:space="preserve"> </w:t>
      </w:r>
      <w:r>
        <w:t>55.</w:t>
      </w:r>
    </w:p>
  </w:footnote>
  <w:footnote w:id="8">
    <w:p w14:paraId="07A7ED19" w14:textId="34693196" w:rsidR="00FC3ED9" w:rsidRDefault="00FC3ED9">
      <w:pPr>
        <w:pStyle w:val="FootnoteText"/>
      </w:pPr>
      <w:r>
        <w:rPr>
          <w:rStyle w:val="FootnoteReference"/>
        </w:rPr>
        <w:footnoteRef/>
      </w:r>
      <w:r>
        <w:t xml:space="preserve"> Cheney, </w:t>
      </w:r>
      <w:r w:rsidRPr="00BA328B">
        <w:rPr>
          <w:i/>
          <w:iCs/>
        </w:rPr>
        <w:t>A Handbook of Dates</w:t>
      </w:r>
      <w:r w:rsidRPr="006C6629">
        <w:t>, p</w:t>
      </w:r>
      <w:r>
        <w:t>p. 20 – 21.</w:t>
      </w:r>
    </w:p>
  </w:footnote>
  <w:footnote w:id="9">
    <w:p w14:paraId="71E5BEC3" w14:textId="0FBF763D" w:rsidR="00042204" w:rsidRDefault="00042204">
      <w:pPr>
        <w:pStyle w:val="FootnoteText"/>
      </w:pPr>
      <w:r>
        <w:rPr>
          <w:rStyle w:val="FootnoteReference"/>
        </w:rPr>
        <w:footnoteRef/>
      </w:r>
      <w:r>
        <w:t xml:space="preserve"> Fryde and other, </w:t>
      </w:r>
      <w:r w:rsidRPr="00BA328B">
        <w:rPr>
          <w:i/>
          <w:iCs/>
        </w:rPr>
        <w:t>Handbook of British Chronology</w:t>
      </w:r>
      <w:r>
        <w:t>, p. 224.</w:t>
      </w:r>
    </w:p>
  </w:footnote>
  <w:footnote w:id="10">
    <w:p w14:paraId="7CD49765" w14:textId="3FCF4185" w:rsidR="00D5453D" w:rsidRDefault="00D5453D">
      <w:pPr>
        <w:pStyle w:val="FootnoteText"/>
      </w:pPr>
      <w:r>
        <w:rPr>
          <w:rStyle w:val="FootnoteReference"/>
        </w:rPr>
        <w:footnoteRef/>
      </w:r>
      <w:r>
        <w:t xml:space="preserve"> John L. Hoh, Jr., </w:t>
      </w:r>
      <w:r w:rsidRPr="00D5453D">
        <w:rPr>
          <w:i/>
          <w:iCs/>
        </w:rPr>
        <w:t>A Primer on Ash Wednesday and Lent</w:t>
      </w:r>
      <w:r>
        <w:t>. (</w:t>
      </w:r>
      <w:r w:rsidR="00245EE5">
        <w:t>Milwaukee: HoneyMilk Publications, 2013), pp. 1 – 4.</w:t>
      </w:r>
    </w:p>
  </w:footnote>
  <w:footnote w:id="11">
    <w:p w14:paraId="2EA8A74C" w14:textId="586CF6A3" w:rsidR="003306D2" w:rsidRDefault="003306D2">
      <w:pPr>
        <w:pStyle w:val="FootnoteText"/>
      </w:pPr>
      <w:r>
        <w:rPr>
          <w:rStyle w:val="FootnoteReference"/>
        </w:rPr>
        <w:footnoteRef/>
      </w:r>
      <w:r>
        <w:t xml:space="preserve"> Cheney, </w:t>
      </w:r>
      <w:r w:rsidRPr="00BA328B">
        <w:rPr>
          <w:i/>
          <w:iCs/>
        </w:rPr>
        <w:t>A Handbook of Dates</w:t>
      </w:r>
      <w:r w:rsidRPr="006C6629">
        <w:t>, p</w:t>
      </w:r>
      <w:r>
        <w:t>. 158.</w:t>
      </w:r>
    </w:p>
  </w:footnote>
  <w:footnote w:id="12">
    <w:p w14:paraId="5EA0791B" w14:textId="5E492A57" w:rsidR="003306D2" w:rsidRDefault="003306D2">
      <w:pPr>
        <w:pStyle w:val="FootnoteText"/>
      </w:pPr>
      <w:r>
        <w:rPr>
          <w:rStyle w:val="FootnoteReference"/>
        </w:rPr>
        <w:footnoteRef/>
      </w:r>
      <w:r>
        <w:t xml:space="preserve"> </w:t>
      </w:r>
      <w:r w:rsidRPr="00E37160">
        <w:t xml:space="preserve">Petko Yotov, </w:t>
      </w:r>
      <w:r w:rsidRPr="00E37160">
        <w:rPr>
          <w:i/>
          <w:iCs/>
        </w:rPr>
        <w:t>Caйtъt: 1311 Julian calendar / Old style - New style synoptical</w:t>
      </w:r>
      <w:r w:rsidRPr="00E37160">
        <w:t xml:space="preserve"> </w:t>
      </w:r>
      <w:r w:rsidRPr="00E37160">
        <w:rPr>
          <w:i/>
          <w:iCs/>
        </w:rPr>
        <w:t>reference</w:t>
      </w:r>
      <w:r w:rsidR="00E37160" w:rsidRPr="00E37160">
        <w:t xml:space="preserve"> </w:t>
      </w:r>
      <w:r w:rsidRPr="00E37160">
        <w:t>(</w:t>
      </w:r>
      <w:r w:rsidR="00E37160" w:rsidRPr="00E37160">
        <w:t>1999) &lt;http://5ko.free.fr/en/jul.php?y=1311&gt; [Accessed: 31 October 2020].</w:t>
      </w:r>
    </w:p>
  </w:footnote>
  <w:footnote w:id="13">
    <w:p w14:paraId="3A12BFB5" w14:textId="09C2325B" w:rsidR="00822198" w:rsidRPr="00A117CF" w:rsidRDefault="00822198">
      <w:pPr>
        <w:pStyle w:val="FootnoteText"/>
      </w:pPr>
      <w:r w:rsidRPr="00A117CF">
        <w:rPr>
          <w:rStyle w:val="FootnoteReference"/>
        </w:rPr>
        <w:footnoteRef/>
      </w:r>
      <w:r w:rsidRPr="00A117CF">
        <w:t xml:space="preserve"> Fryde and other, </w:t>
      </w:r>
      <w:r w:rsidRPr="00A117CF">
        <w:rPr>
          <w:i/>
          <w:iCs/>
        </w:rPr>
        <w:t>Handbook of British Chronology</w:t>
      </w:r>
      <w:r w:rsidRPr="00A117CF">
        <w:t>, pp. 35 – 38.</w:t>
      </w:r>
    </w:p>
  </w:footnote>
  <w:footnote w:id="14">
    <w:p w14:paraId="5E17E9E1" w14:textId="3EBB076B" w:rsidR="002677AD" w:rsidRPr="00A117CF" w:rsidRDefault="002677AD">
      <w:pPr>
        <w:pStyle w:val="FootnoteText"/>
      </w:pPr>
      <w:r w:rsidRPr="00A117CF">
        <w:rPr>
          <w:rStyle w:val="FootnoteReference"/>
        </w:rPr>
        <w:footnoteRef/>
      </w:r>
      <w:r w:rsidRPr="00A117CF">
        <w:t xml:space="preserve"> T.H. Aston, </w:t>
      </w:r>
      <w:r w:rsidRPr="00A117CF">
        <w:rPr>
          <w:i/>
          <w:iCs/>
        </w:rPr>
        <w:t>Landlords, Peasants and Politics in Medieval England</w:t>
      </w:r>
      <w:r w:rsidRPr="00A117CF">
        <w:t xml:space="preserve">. (Cambridge: Cambridge University Press, </w:t>
      </w:r>
      <w:r w:rsidR="00DD45B4" w:rsidRPr="00A117CF">
        <w:t>2006), pp. 113 – 114.</w:t>
      </w:r>
    </w:p>
  </w:footnote>
  <w:footnote w:id="15">
    <w:p w14:paraId="5ED31644" w14:textId="39801544" w:rsidR="004134DB" w:rsidRPr="00A117CF" w:rsidRDefault="004134DB" w:rsidP="00922634">
      <w:pPr>
        <w:pStyle w:val="NoSpacing"/>
        <w:rPr>
          <w:sz w:val="20"/>
          <w:szCs w:val="20"/>
        </w:rPr>
      </w:pPr>
      <w:r w:rsidRPr="00A117CF">
        <w:rPr>
          <w:rStyle w:val="FootnoteReference"/>
          <w:sz w:val="20"/>
          <w:szCs w:val="20"/>
        </w:rPr>
        <w:footnoteRef/>
      </w:r>
      <w:r w:rsidRPr="00A117CF">
        <w:rPr>
          <w:sz w:val="20"/>
          <w:szCs w:val="20"/>
        </w:rPr>
        <w:t xml:space="preserve"> William Farrer, </w:t>
      </w:r>
      <w:r w:rsidRPr="00A117CF">
        <w:rPr>
          <w:i/>
          <w:iCs/>
          <w:sz w:val="20"/>
          <w:szCs w:val="20"/>
        </w:rPr>
        <w:t>Early Yorkshire Charters: Volume 3: Being a Collection of Documents Being a Collection of Documents Anterior to the Thirteenth Century Made from the Public Records, Monastic Chartularies, Roger Dodsworth's Manuscripts and Other Available Sources</w:t>
      </w:r>
      <w:r w:rsidRPr="00A117CF">
        <w:rPr>
          <w:sz w:val="20"/>
          <w:szCs w:val="20"/>
        </w:rPr>
        <w:t xml:space="preserve">. (Cambridge: Cambridge University Press, 2013), p. 470. </w:t>
      </w:r>
    </w:p>
  </w:footnote>
  <w:footnote w:id="16">
    <w:p w14:paraId="4A7BE5B5" w14:textId="3E79BFFE" w:rsidR="00A117CF" w:rsidRDefault="00A117CF" w:rsidP="00A117CF">
      <w:pPr>
        <w:pStyle w:val="NoSpacing"/>
      </w:pPr>
      <w:r w:rsidRPr="00A117CF">
        <w:rPr>
          <w:rStyle w:val="FootnoteReference"/>
          <w:sz w:val="20"/>
          <w:szCs w:val="20"/>
        </w:rPr>
        <w:footnoteRef/>
      </w:r>
      <w:r w:rsidRPr="00A117CF">
        <w:rPr>
          <w:sz w:val="20"/>
          <w:szCs w:val="20"/>
        </w:rPr>
        <w:t xml:space="preserve"> Will Hutchinson,</w:t>
      </w:r>
      <w:r>
        <w:rPr>
          <w:sz w:val="20"/>
          <w:szCs w:val="20"/>
        </w:rPr>
        <w:t xml:space="preserve"> </w:t>
      </w:r>
      <w:r w:rsidRPr="00A117CF">
        <w:rPr>
          <w:i/>
          <w:iCs/>
          <w:sz w:val="20"/>
          <w:szCs w:val="20"/>
        </w:rPr>
        <w:t>History and Antiquities of the County Palatine of Durham</w:t>
      </w:r>
      <w:r w:rsidRPr="00A117CF">
        <w:rPr>
          <w:sz w:val="20"/>
          <w:szCs w:val="20"/>
        </w:rPr>
        <w:t>. Vol. 3. (Durham: G. Walker, 1823)</w:t>
      </w:r>
      <w:r>
        <w:rPr>
          <w:sz w:val="20"/>
          <w:szCs w:val="20"/>
        </w:rPr>
        <w:t>, pp. iv – v</w:t>
      </w:r>
      <w:r w:rsidRPr="00A117CF">
        <w:rPr>
          <w:sz w:val="20"/>
          <w:szCs w:val="20"/>
        </w:rPr>
        <w:t>.</w:t>
      </w:r>
    </w:p>
  </w:footnote>
  <w:footnote w:id="17">
    <w:p w14:paraId="5479430A" w14:textId="77777777" w:rsidR="00A117CF" w:rsidRPr="00A117CF" w:rsidRDefault="00A117CF" w:rsidP="00A117CF">
      <w:pPr>
        <w:pStyle w:val="FootnoteText"/>
      </w:pPr>
      <w:r w:rsidRPr="00A117CF">
        <w:rPr>
          <w:rStyle w:val="FootnoteReference"/>
        </w:rPr>
        <w:footnoteRef/>
      </w:r>
      <w:r w:rsidRPr="00A117CF">
        <w:t xml:space="preserve"> Frank Merry Stenton, </w:t>
      </w:r>
      <w:r w:rsidRPr="00A117CF">
        <w:rPr>
          <w:i/>
          <w:iCs/>
        </w:rPr>
        <w:t>The First Century of English Feudalism: 1066 – 1166</w:t>
      </w:r>
      <w:r w:rsidRPr="00A117CF">
        <w:t>. (London: Clarendon Press, 1961), pp. 34 – 36.</w:t>
      </w:r>
    </w:p>
  </w:footnote>
  <w:footnote w:id="18">
    <w:p w14:paraId="409899A6" w14:textId="0EACF54A" w:rsidR="002A641A" w:rsidRDefault="002A641A">
      <w:pPr>
        <w:pStyle w:val="FootnoteText"/>
      </w:pPr>
      <w:r>
        <w:rPr>
          <w:rStyle w:val="FootnoteReference"/>
        </w:rPr>
        <w:footnoteRef/>
      </w:r>
      <w:r>
        <w:t xml:space="preserve"> Judith A. Green, </w:t>
      </w:r>
      <w:r w:rsidRPr="002A641A">
        <w:rPr>
          <w:i/>
          <w:iCs/>
        </w:rPr>
        <w:t>The Government of England under Henry I.</w:t>
      </w:r>
      <w:r>
        <w:t xml:space="preserve"> (Cambridge: Cambridge University Press, 1989), pp. 231 – 234.</w:t>
      </w:r>
    </w:p>
  </w:footnote>
  <w:footnote w:id="19">
    <w:p w14:paraId="11F02623" w14:textId="315EDF77" w:rsidR="00365EBD" w:rsidRDefault="00365EBD">
      <w:pPr>
        <w:pStyle w:val="FootnoteText"/>
      </w:pPr>
      <w:r>
        <w:rPr>
          <w:rStyle w:val="FootnoteReference"/>
        </w:rPr>
        <w:footnoteRef/>
      </w:r>
      <w:r>
        <w:t xml:space="preserve"> Joseph Stevenson (ed.), </w:t>
      </w:r>
      <w:r w:rsidRPr="00365EBD">
        <w:rPr>
          <w:i/>
          <w:iCs/>
        </w:rPr>
        <w:t>Chronicon Monasterii de Abingdon, Rolls Series</w:t>
      </w:r>
      <w:r>
        <w:t>. Vol.2. (London: Longman, Brown, Green, Longmans, and Roberts, 1858), pp. 162 – 164 &amp; 541.</w:t>
      </w:r>
    </w:p>
  </w:footnote>
  <w:footnote w:id="20">
    <w:p w14:paraId="671EB3D6" w14:textId="6A1769C2" w:rsidR="00365EBD" w:rsidRPr="00F96503" w:rsidRDefault="00365EBD" w:rsidP="00F96503">
      <w:pPr>
        <w:pStyle w:val="NoSpacing"/>
        <w:rPr>
          <w:rFonts w:ascii="Constantia" w:hAnsi="Constantia"/>
          <w:color w:val="000000"/>
          <w:sz w:val="24"/>
          <w:szCs w:val="24"/>
        </w:rPr>
      </w:pPr>
      <w:r>
        <w:rPr>
          <w:rStyle w:val="FootnoteReference"/>
        </w:rPr>
        <w:footnoteRef/>
      </w:r>
      <w:r>
        <w:t xml:space="preserve"> </w:t>
      </w:r>
      <w:r w:rsidR="00F96503" w:rsidRPr="00F96503">
        <w:rPr>
          <w:i/>
          <w:iCs/>
          <w:sz w:val="20"/>
          <w:szCs w:val="20"/>
          <w:shd w:val="clear" w:color="auto" w:fill="FFFFFF"/>
        </w:rPr>
        <w:t>The Anglo-Saxon Chronicle</w:t>
      </w:r>
      <w:r w:rsidR="00F96503" w:rsidRPr="00F96503">
        <w:rPr>
          <w:sz w:val="20"/>
          <w:szCs w:val="20"/>
          <w:shd w:val="clear" w:color="auto" w:fill="FFFFFF"/>
        </w:rPr>
        <w:t xml:space="preserve">, </w:t>
      </w:r>
      <w:r w:rsidR="00F96503" w:rsidRPr="00F96503">
        <w:rPr>
          <w:i/>
          <w:iCs/>
          <w:sz w:val="20"/>
          <w:szCs w:val="20"/>
          <w:shd w:val="clear" w:color="auto" w:fill="FFFFFF"/>
        </w:rPr>
        <w:t>c. AD 890 – c. 1150,</w:t>
      </w:r>
      <w:r w:rsidR="00F96503" w:rsidRPr="00F96503">
        <w:rPr>
          <w:sz w:val="20"/>
          <w:szCs w:val="20"/>
          <w:shd w:val="clear" w:color="auto" w:fill="FFFFFF"/>
        </w:rPr>
        <w:t xml:space="preserve"> trans. James H. Ingram, </w:t>
      </w:r>
      <w:r w:rsidR="00F96503" w:rsidRPr="00F96503">
        <w:rPr>
          <w:i/>
          <w:iCs/>
          <w:sz w:val="20"/>
          <w:szCs w:val="20"/>
          <w:shd w:val="clear" w:color="auto" w:fill="FFFFFF"/>
        </w:rPr>
        <w:t>The Project Gutenberg Ebook of the Anglo-Saxon Chronicle</w:t>
      </w:r>
      <w:r w:rsidR="00F96503" w:rsidRPr="00F96503">
        <w:rPr>
          <w:sz w:val="20"/>
          <w:szCs w:val="20"/>
          <w:shd w:val="clear" w:color="auto" w:fill="FFFFFF"/>
        </w:rPr>
        <w:t> (1823) &lt;http://www.gutenberg.org/cache/epub/657/pg657.html&gt; [Accessed: 31 October 2020].</w:t>
      </w:r>
    </w:p>
  </w:footnote>
  <w:footnote w:id="21">
    <w:p w14:paraId="5C4A8340" w14:textId="184857EC" w:rsidR="0045714D" w:rsidRDefault="0045714D">
      <w:pPr>
        <w:pStyle w:val="FootnoteText"/>
      </w:pPr>
      <w:r>
        <w:rPr>
          <w:rStyle w:val="FootnoteReference"/>
        </w:rPr>
        <w:footnoteRef/>
      </w:r>
      <w:r>
        <w:t xml:space="preserve"> Medieval Genealogy, </w:t>
      </w:r>
      <w:r w:rsidRPr="00704554">
        <w:rPr>
          <w:i/>
          <w:iCs/>
        </w:rPr>
        <w:t xml:space="preserve">A Medieval English Calendar: Henry I: January </w:t>
      </w:r>
      <w:r w:rsidR="00704554" w:rsidRPr="00704554">
        <w:rPr>
          <w:i/>
          <w:iCs/>
        </w:rPr>
        <w:t>1123</w:t>
      </w:r>
      <w:r w:rsidR="00704554">
        <w:t>. (2002) &lt;</w:t>
      </w:r>
      <w:r w:rsidR="00704554" w:rsidRPr="00704554">
        <w:t>http://www.medievalgenealogy.org.uk/cal/janmos.htm</w:t>
      </w:r>
      <w:r w:rsidR="00704554">
        <w:t>&gt; [Accessed: 31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8A544" w14:textId="0B68CD4E" w:rsidR="008B360E" w:rsidRDefault="008B360E" w:rsidP="0055010E">
    <w:pPr>
      <w:pStyle w:val="Header"/>
    </w:pPr>
    <w:r>
      <w:t>Matthew Cowley (1700561)</w:t>
    </w:r>
    <w:r>
      <w:ptab w:relativeTo="margin" w:alignment="center" w:leader="none"/>
    </w:r>
    <w:r>
      <w:t xml:space="preserve">Assessment </w:t>
    </w:r>
    <w:r w:rsidR="00790AFD">
      <w:t>3</w:t>
    </w:r>
    <w:r>
      <w:ptab w:relativeTo="margin" w:alignment="right" w:leader="none"/>
    </w:r>
    <w:r>
      <w:t>HPMS7004</w:t>
    </w:r>
  </w:p>
  <w:p w14:paraId="42701BBB" w14:textId="56D41363" w:rsidR="008B360E" w:rsidRPr="0055010E" w:rsidRDefault="008B360E" w:rsidP="00550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45F9"/>
    <w:multiLevelType w:val="hybridMultilevel"/>
    <w:tmpl w:val="A49A3EE0"/>
    <w:lvl w:ilvl="0" w:tplc="D04229D8">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0E"/>
    <w:rsid w:val="00003643"/>
    <w:rsid w:val="00033976"/>
    <w:rsid w:val="00042204"/>
    <w:rsid w:val="000430C3"/>
    <w:rsid w:val="00043485"/>
    <w:rsid w:val="00096246"/>
    <w:rsid w:val="000A63A9"/>
    <w:rsid w:val="000D14CA"/>
    <w:rsid w:val="000D7C24"/>
    <w:rsid w:val="000E124D"/>
    <w:rsid w:val="00106D71"/>
    <w:rsid w:val="00124F12"/>
    <w:rsid w:val="00171C49"/>
    <w:rsid w:val="0018293F"/>
    <w:rsid w:val="001861AC"/>
    <w:rsid w:val="001913A2"/>
    <w:rsid w:val="001954AA"/>
    <w:rsid w:val="001B71F7"/>
    <w:rsid w:val="001B7960"/>
    <w:rsid w:val="001D0112"/>
    <w:rsid w:val="001E16E2"/>
    <w:rsid w:val="001E19DC"/>
    <w:rsid w:val="001F134F"/>
    <w:rsid w:val="002113D2"/>
    <w:rsid w:val="0022498F"/>
    <w:rsid w:val="00245EE5"/>
    <w:rsid w:val="002625E3"/>
    <w:rsid w:val="0026363D"/>
    <w:rsid w:val="002677AD"/>
    <w:rsid w:val="00295470"/>
    <w:rsid w:val="002A641A"/>
    <w:rsid w:val="002B197E"/>
    <w:rsid w:val="002D4DCF"/>
    <w:rsid w:val="002E3252"/>
    <w:rsid w:val="002F1A70"/>
    <w:rsid w:val="00304402"/>
    <w:rsid w:val="003166B2"/>
    <w:rsid w:val="00317E32"/>
    <w:rsid w:val="0032201F"/>
    <w:rsid w:val="003306D2"/>
    <w:rsid w:val="003446F1"/>
    <w:rsid w:val="003530FE"/>
    <w:rsid w:val="00365EBD"/>
    <w:rsid w:val="0037024B"/>
    <w:rsid w:val="00380127"/>
    <w:rsid w:val="00380288"/>
    <w:rsid w:val="00380674"/>
    <w:rsid w:val="003B174F"/>
    <w:rsid w:val="003B3364"/>
    <w:rsid w:val="003D2504"/>
    <w:rsid w:val="003E249A"/>
    <w:rsid w:val="003E3300"/>
    <w:rsid w:val="003E4114"/>
    <w:rsid w:val="00404D0E"/>
    <w:rsid w:val="004134DB"/>
    <w:rsid w:val="00426EEA"/>
    <w:rsid w:val="00441086"/>
    <w:rsid w:val="00443476"/>
    <w:rsid w:val="0045714D"/>
    <w:rsid w:val="00460C78"/>
    <w:rsid w:val="00473A8B"/>
    <w:rsid w:val="004855A1"/>
    <w:rsid w:val="004978E7"/>
    <w:rsid w:val="004A1DBB"/>
    <w:rsid w:val="004A24D4"/>
    <w:rsid w:val="004A7CA9"/>
    <w:rsid w:val="004B5FE7"/>
    <w:rsid w:val="004C04F4"/>
    <w:rsid w:val="004C42A6"/>
    <w:rsid w:val="004D5C9E"/>
    <w:rsid w:val="004E3845"/>
    <w:rsid w:val="00524799"/>
    <w:rsid w:val="0055010E"/>
    <w:rsid w:val="00557C6D"/>
    <w:rsid w:val="005728F1"/>
    <w:rsid w:val="00581921"/>
    <w:rsid w:val="00595EA4"/>
    <w:rsid w:val="005A2DC9"/>
    <w:rsid w:val="005B5B4C"/>
    <w:rsid w:val="005C1FF5"/>
    <w:rsid w:val="005C3982"/>
    <w:rsid w:val="005E41E5"/>
    <w:rsid w:val="005F37BD"/>
    <w:rsid w:val="005F48DF"/>
    <w:rsid w:val="00600B78"/>
    <w:rsid w:val="006010AD"/>
    <w:rsid w:val="00601AF7"/>
    <w:rsid w:val="006030CF"/>
    <w:rsid w:val="00606F0C"/>
    <w:rsid w:val="006116CB"/>
    <w:rsid w:val="006362A2"/>
    <w:rsid w:val="00646FE8"/>
    <w:rsid w:val="006536AA"/>
    <w:rsid w:val="00660D62"/>
    <w:rsid w:val="006621E4"/>
    <w:rsid w:val="00673D14"/>
    <w:rsid w:val="006914C1"/>
    <w:rsid w:val="006B0FDA"/>
    <w:rsid w:val="006B2B5A"/>
    <w:rsid w:val="006C6629"/>
    <w:rsid w:val="006D250A"/>
    <w:rsid w:val="006E1C2B"/>
    <w:rsid w:val="006F7B32"/>
    <w:rsid w:val="007042F9"/>
    <w:rsid w:val="00704554"/>
    <w:rsid w:val="00714D85"/>
    <w:rsid w:val="00724133"/>
    <w:rsid w:val="00730816"/>
    <w:rsid w:val="00755736"/>
    <w:rsid w:val="00767F22"/>
    <w:rsid w:val="00770403"/>
    <w:rsid w:val="007765CE"/>
    <w:rsid w:val="00782049"/>
    <w:rsid w:val="007853AB"/>
    <w:rsid w:val="00790AFD"/>
    <w:rsid w:val="007927D1"/>
    <w:rsid w:val="007A7566"/>
    <w:rsid w:val="007B5F30"/>
    <w:rsid w:val="007E5207"/>
    <w:rsid w:val="007F0966"/>
    <w:rsid w:val="00822198"/>
    <w:rsid w:val="00824605"/>
    <w:rsid w:val="008514FF"/>
    <w:rsid w:val="00851C0D"/>
    <w:rsid w:val="008603AD"/>
    <w:rsid w:val="00876FCB"/>
    <w:rsid w:val="008A4992"/>
    <w:rsid w:val="008A611F"/>
    <w:rsid w:val="008B0DBF"/>
    <w:rsid w:val="008B360E"/>
    <w:rsid w:val="008C07A5"/>
    <w:rsid w:val="008D3493"/>
    <w:rsid w:val="008D5A17"/>
    <w:rsid w:val="008F68D9"/>
    <w:rsid w:val="0092100D"/>
    <w:rsid w:val="00922634"/>
    <w:rsid w:val="0092586C"/>
    <w:rsid w:val="00935851"/>
    <w:rsid w:val="00947894"/>
    <w:rsid w:val="009676F6"/>
    <w:rsid w:val="00967E67"/>
    <w:rsid w:val="0097180A"/>
    <w:rsid w:val="00987BA7"/>
    <w:rsid w:val="009962AA"/>
    <w:rsid w:val="009B6A15"/>
    <w:rsid w:val="009C0173"/>
    <w:rsid w:val="009F6794"/>
    <w:rsid w:val="009F79E2"/>
    <w:rsid w:val="00A00143"/>
    <w:rsid w:val="00A117CF"/>
    <w:rsid w:val="00A17CF3"/>
    <w:rsid w:val="00A3249A"/>
    <w:rsid w:val="00A3624D"/>
    <w:rsid w:val="00A85F84"/>
    <w:rsid w:val="00A97F32"/>
    <w:rsid w:val="00AC5A8F"/>
    <w:rsid w:val="00AD1750"/>
    <w:rsid w:val="00AE4FC4"/>
    <w:rsid w:val="00AF2954"/>
    <w:rsid w:val="00B05583"/>
    <w:rsid w:val="00B1705C"/>
    <w:rsid w:val="00B23209"/>
    <w:rsid w:val="00B307A1"/>
    <w:rsid w:val="00B53DB6"/>
    <w:rsid w:val="00B5449D"/>
    <w:rsid w:val="00B57AD0"/>
    <w:rsid w:val="00B6444E"/>
    <w:rsid w:val="00B64D64"/>
    <w:rsid w:val="00B67EF5"/>
    <w:rsid w:val="00B82951"/>
    <w:rsid w:val="00B84BDC"/>
    <w:rsid w:val="00B92C5D"/>
    <w:rsid w:val="00B96DBF"/>
    <w:rsid w:val="00BA328B"/>
    <w:rsid w:val="00BA5231"/>
    <w:rsid w:val="00BA60C8"/>
    <w:rsid w:val="00BB08EC"/>
    <w:rsid w:val="00BB2EE2"/>
    <w:rsid w:val="00BB71EB"/>
    <w:rsid w:val="00BC696E"/>
    <w:rsid w:val="00BF1E98"/>
    <w:rsid w:val="00C069DC"/>
    <w:rsid w:val="00C27286"/>
    <w:rsid w:val="00C42230"/>
    <w:rsid w:val="00C555E9"/>
    <w:rsid w:val="00C76035"/>
    <w:rsid w:val="00C77016"/>
    <w:rsid w:val="00C95EFD"/>
    <w:rsid w:val="00CA46EC"/>
    <w:rsid w:val="00CA5E39"/>
    <w:rsid w:val="00CB3B80"/>
    <w:rsid w:val="00CB7903"/>
    <w:rsid w:val="00CC40BF"/>
    <w:rsid w:val="00CE2796"/>
    <w:rsid w:val="00CF1839"/>
    <w:rsid w:val="00D27341"/>
    <w:rsid w:val="00D276DE"/>
    <w:rsid w:val="00D5453D"/>
    <w:rsid w:val="00D6113E"/>
    <w:rsid w:val="00D727FE"/>
    <w:rsid w:val="00D9207B"/>
    <w:rsid w:val="00DB57B0"/>
    <w:rsid w:val="00DD31D6"/>
    <w:rsid w:val="00DD45B4"/>
    <w:rsid w:val="00DD5143"/>
    <w:rsid w:val="00E01386"/>
    <w:rsid w:val="00E073BB"/>
    <w:rsid w:val="00E37160"/>
    <w:rsid w:val="00E50F3B"/>
    <w:rsid w:val="00E53D72"/>
    <w:rsid w:val="00E639AF"/>
    <w:rsid w:val="00E702A8"/>
    <w:rsid w:val="00E81AFA"/>
    <w:rsid w:val="00E85050"/>
    <w:rsid w:val="00EB7DE5"/>
    <w:rsid w:val="00F261EC"/>
    <w:rsid w:val="00F26791"/>
    <w:rsid w:val="00F34C57"/>
    <w:rsid w:val="00F4647F"/>
    <w:rsid w:val="00F53427"/>
    <w:rsid w:val="00F55A64"/>
    <w:rsid w:val="00F70786"/>
    <w:rsid w:val="00F76C63"/>
    <w:rsid w:val="00F96503"/>
    <w:rsid w:val="00FA0314"/>
    <w:rsid w:val="00FA5BFB"/>
    <w:rsid w:val="00FB2BB5"/>
    <w:rsid w:val="00FC3ED9"/>
    <w:rsid w:val="00FE33D6"/>
    <w:rsid w:val="00FF4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2B3E6F"/>
  <w15:chartTrackingRefBased/>
  <w15:docId w15:val="{B20A76F0-0753-45D8-9043-572D1239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134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0E"/>
  </w:style>
  <w:style w:type="paragraph" w:styleId="Footer">
    <w:name w:val="footer"/>
    <w:basedOn w:val="Normal"/>
    <w:link w:val="FooterChar"/>
    <w:uiPriority w:val="99"/>
    <w:unhideWhenUsed/>
    <w:rsid w:val="00550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0E"/>
  </w:style>
  <w:style w:type="paragraph" w:styleId="Title">
    <w:name w:val="Title"/>
    <w:basedOn w:val="Normal"/>
    <w:next w:val="Normal"/>
    <w:link w:val="TitleChar"/>
    <w:uiPriority w:val="10"/>
    <w:qFormat/>
    <w:rsid w:val="005501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10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24133"/>
    <w:rPr>
      <w:color w:val="0563C1" w:themeColor="hyperlink"/>
      <w:u w:val="single"/>
    </w:rPr>
  </w:style>
  <w:style w:type="character" w:styleId="UnresolvedMention">
    <w:name w:val="Unresolved Mention"/>
    <w:basedOn w:val="DefaultParagraphFont"/>
    <w:uiPriority w:val="99"/>
    <w:semiHidden/>
    <w:unhideWhenUsed/>
    <w:rsid w:val="00724133"/>
    <w:rPr>
      <w:color w:val="605E5C"/>
      <w:shd w:val="clear" w:color="auto" w:fill="E1DFDD"/>
    </w:rPr>
  </w:style>
  <w:style w:type="paragraph" w:styleId="FootnoteText">
    <w:name w:val="footnote text"/>
    <w:basedOn w:val="Normal"/>
    <w:link w:val="FootnoteTextChar"/>
    <w:uiPriority w:val="99"/>
    <w:semiHidden/>
    <w:unhideWhenUsed/>
    <w:rsid w:val="000962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246"/>
    <w:rPr>
      <w:sz w:val="20"/>
      <w:szCs w:val="20"/>
    </w:rPr>
  </w:style>
  <w:style w:type="character" w:styleId="FootnoteReference">
    <w:name w:val="footnote reference"/>
    <w:basedOn w:val="DefaultParagraphFont"/>
    <w:uiPriority w:val="99"/>
    <w:semiHidden/>
    <w:unhideWhenUsed/>
    <w:rsid w:val="00096246"/>
    <w:rPr>
      <w:vertAlign w:val="superscript"/>
    </w:rPr>
  </w:style>
  <w:style w:type="paragraph" w:styleId="NoSpacing">
    <w:name w:val="No Spacing"/>
    <w:uiPriority w:val="1"/>
    <w:qFormat/>
    <w:rsid w:val="00096246"/>
    <w:pPr>
      <w:spacing w:after="0" w:line="240" w:lineRule="auto"/>
    </w:pPr>
  </w:style>
  <w:style w:type="character" w:styleId="Emphasis">
    <w:name w:val="Emphasis"/>
    <w:basedOn w:val="DefaultParagraphFont"/>
    <w:uiPriority w:val="20"/>
    <w:qFormat/>
    <w:rsid w:val="006010AD"/>
    <w:rPr>
      <w:i/>
      <w:iCs/>
    </w:rPr>
  </w:style>
  <w:style w:type="paragraph" w:styleId="NormalWeb">
    <w:name w:val="Normal (Web)"/>
    <w:basedOn w:val="Normal"/>
    <w:uiPriority w:val="99"/>
    <w:unhideWhenUsed/>
    <w:rsid w:val="003806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0674"/>
    <w:rPr>
      <w:b/>
      <w:bCs/>
    </w:rPr>
  </w:style>
  <w:style w:type="paragraph" w:styleId="ListParagraph">
    <w:name w:val="List Paragraph"/>
    <w:basedOn w:val="Normal"/>
    <w:uiPriority w:val="34"/>
    <w:qFormat/>
    <w:rsid w:val="005F48DF"/>
    <w:pPr>
      <w:ind w:left="720"/>
      <w:contextualSpacing/>
    </w:pPr>
  </w:style>
  <w:style w:type="character" w:customStyle="1" w:styleId="Heading1Char">
    <w:name w:val="Heading 1 Char"/>
    <w:basedOn w:val="DefaultParagraphFont"/>
    <w:link w:val="Heading1"/>
    <w:uiPriority w:val="9"/>
    <w:rsid w:val="004134DB"/>
    <w:rPr>
      <w:rFonts w:ascii="Times New Roman" w:eastAsia="Times New Roman" w:hAnsi="Times New Roman" w:cs="Times New Roman"/>
      <w:b/>
      <w:bCs/>
      <w:kern w:val="36"/>
      <w:sz w:val="48"/>
      <w:szCs w:val="48"/>
      <w:lang w:eastAsia="en-GB"/>
    </w:rPr>
  </w:style>
  <w:style w:type="character" w:customStyle="1" w:styleId="Subtitle1">
    <w:name w:val="Subtitle1"/>
    <w:basedOn w:val="DefaultParagraphFont"/>
    <w:rsid w:val="00413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3209316">
      <w:bodyDiv w:val="1"/>
      <w:marLeft w:val="0"/>
      <w:marRight w:val="0"/>
      <w:marTop w:val="0"/>
      <w:marBottom w:val="0"/>
      <w:divBdr>
        <w:top w:val="none" w:sz="0" w:space="0" w:color="auto"/>
        <w:left w:val="none" w:sz="0" w:space="0" w:color="auto"/>
        <w:bottom w:val="none" w:sz="0" w:space="0" w:color="auto"/>
        <w:right w:val="none" w:sz="0" w:space="0" w:color="auto"/>
      </w:divBdr>
    </w:div>
    <w:div w:id="1861236520">
      <w:bodyDiv w:val="1"/>
      <w:marLeft w:val="0"/>
      <w:marRight w:val="0"/>
      <w:marTop w:val="0"/>
      <w:marBottom w:val="0"/>
      <w:divBdr>
        <w:top w:val="none" w:sz="0" w:space="0" w:color="auto"/>
        <w:left w:val="none" w:sz="0" w:space="0" w:color="auto"/>
        <w:bottom w:val="none" w:sz="0" w:space="0" w:color="auto"/>
        <w:right w:val="none" w:sz="0" w:space="0" w:color="auto"/>
      </w:divBdr>
    </w:div>
    <w:div w:id="206590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02D99-0718-4A80-9191-18F532700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3714</TotalTime>
  <Pages>6</Pages>
  <Words>1469</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127</cp:revision>
  <dcterms:created xsi:type="dcterms:W3CDTF">2020-10-24T11:08:00Z</dcterms:created>
  <dcterms:modified xsi:type="dcterms:W3CDTF">2020-11-03T17:09:00Z</dcterms:modified>
</cp:coreProperties>
</file>