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69B74" w14:textId="3895487E" w:rsidR="00A71F7E" w:rsidRPr="00F43E42" w:rsidRDefault="00DC5DBB" w:rsidP="00A71F7E">
      <w:pPr>
        <w:pStyle w:val="Title"/>
        <w:rPr>
          <w:rStyle w:val="Strong"/>
          <w:rFonts w:ascii="Arial" w:hAnsi="Arial" w:cs="Arial"/>
          <w:sz w:val="36"/>
          <w:szCs w:val="36"/>
        </w:rPr>
      </w:pPr>
      <w:r w:rsidRPr="00F43E42">
        <w:rPr>
          <w:rStyle w:val="Strong"/>
          <w:rFonts w:ascii="Arial" w:hAnsi="Arial" w:cs="Arial"/>
          <w:sz w:val="36"/>
          <w:szCs w:val="36"/>
        </w:rPr>
        <w:t>How do schools support staff and pupils’ well-being?</w:t>
      </w:r>
    </w:p>
    <w:p w14:paraId="15A6F5CA" w14:textId="77777777" w:rsidR="00A71F7E" w:rsidRPr="00D37EE0" w:rsidRDefault="00A71F7E" w:rsidP="00A71F7E">
      <w:pPr>
        <w:rPr>
          <w:rFonts w:ascii="Arial" w:hAnsi="Arial" w:cs="Arial"/>
        </w:rPr>
      </w:pPr>
    </w:p>
    <w:p w14:paraId="4CDB4842" w14:textId="0CDD8C4C" w:rsidR="00715241" w:rsidRPr="00D37EE0" w:rsidRDefault="003175BF" w:rsidP="003175BF">
      <w:pPr>
        <w:rPr>
          <w:rFonts w:ascii="Arial" w:hAnsi="Arial" w:cs="Arial"/>
        </w:rPr>
      </w:pPr>
      <w:r w:rsidRPr="00D37EE0">
        <w:rPr>
          <w:rFonts w:ascii="Arial" w:hAnsi="Arial" w:cs="Arial"/>
        </w:rPr>
        <w:t xml:space="preserve">ECAD6003 </w:t>
      </w:r>
    </w:p>
    <w:p w14:paraId="4259C778" w14:textId="237C795D" w:rsidR="003175BF" w:rsidRPr="00D37EE0" w:rsidRDefault="003175BF" w:rsidP="003175BF">
      <w:pPr>
        <w:rPr>
          <w:rFonts w:ascii="Arial" w:hAnsi="Arial" w:cs="Arial"/>
        </w:rPr>
      </w:pPr>
      <w:r w:rsidRPr="00D37EE0">
        <w:rPr>
          <w:rFonts w:ascii="Arial" w:hAnsi="Arial" w:cs="Arial"/>
        </w:rPr>
        <w:t>1501392</w:t>
      </w:r>
    </w:p>
    <w:p w14:paraId="0CE4238B" w14:textId="0AA07C7A" w:rsidR="00715241" w:rsidRPr="00D37EE0" w:rsidRDefault="003175BF" w:rsidP="003175BF">
      <w:pPr>
        <w:rPr>
          <w:rFonts w:ascii="Arial" w:hAnsi="Arial" w:cs="Arial"/>
        </w:rPr>
      </w:pPr>
      <w:r w:rsidRPr="00D37EE0">
        <w:rPr>
          <w:rFonts w:ascii="Arial" w:hAnsi="Arial" w:cs="Arial"/>
        </w:rPr>
        <w:t xml:space="preserve">BA </w:t>
      </w:r>
      <w:r w:rsidR="0090122B" w:rsidRPr="00D37EE0">
        <w:rPr>
          <w:rFonts w:ascii="Arial" w:hAnsi="Arial" w:cs="Arial"/>
        </w:rPr>
        <w:t>Primary</w:t>
      </w:r>
      <w:r w:rsidRPr="00D37EE0">
        <w:rPr>
          <w:rFonts w:ascii="Arial" w:hAnsi="Arial" w:cs="Arial"/>
        </w:rPr>
        <w:t xml:space="preserve"> Education with QTS</w:t>
      </w:r>
    </w:p>
    <w:p w14:paraId="2581BA35" w14:textId="49D3F98F" w:rsidR="0090122B" w:rsidRPr="00D37EE0" w:rsidRDefault="0090122B" w:rsidP="003175BF">
      <w:pPr>
        <w:rPr>
          <w:rFonts w:ascii="Arial" w:hAnsi="Arial" w:cs="Arial"/>
        </w:rPr>
      </w:pPr>
      <w:r w:rsidRPr="00D37EE0">
        <w:rPr>
          <w:rFonts w:ascii="Arial" w:hAnsi="Arial" w:cs="Arial"/>
        </w:rPr>
        <w:t>University of Wales Trinity Saint David</w:t>
      </w:r>
    </w:p>
    <w:p w14:paraId="6419C75A" w14:textId="6DC236FF" w:rsidR="0090122B" w:rsidRPr="00D37EE0" w:rsidRDefault="0090122B" w:rsidP="003175BF">
      <w:pPr>
        <w:rPr>
          <w:rFonts w:ascii="Arial" w:hAnsi="Arial" w:cs="Arial"/>
        </w:rPr>
      </w:pPr>
      <w:r w:rsidRPr="00D37EE0">
        <w:rPr>
          <w:rFonts w:ascii="Arial" w:hAnsi="Arial" w:cs="Arial"/>
        </w:rPr>
        <w:t>March 2020</w:t>
      </w:r>
    </w:p>
    <w:p w14:paraId="68C9EBF0" w14:textId="22C055B8" w:rsidR="00715241" w:rsidRDefault="0090122B" w:rsidP="0090122B">
      <w:pPr>
        <w:rPr>
          <w:rFonts w:ascii="Arial" w:hAnsi="Arial" w:cs="Arial"/>
        </w:rPr>
      </w:pPr>
      <w:r w:rsidRPr="00D37EE0">
        <w:rPr>
          <w:rFonts w:ascii="Arial" w:hAnsi="Arial" w:cs="Arial"/>
        </w:rPr>
        <w:t xml:space="preserve">Word count: </w:t>
      </w:r>
      <w:r w:rsidR="00910385">
        <w:rPr>
          <w:rFonts w:ascii="Arial" w:hAnsi="Arial" w:cs="Arial"/>
        </w:rPr>
        <w:t>633</w:t>
      </w:r>
      <w:r w:rsidR="006E765D">
        <w:rPr>
          <w:rFonts w:ascii="Arial" w:hAnsi="Arial" w:cs="Arial"/>
        </w:rPr>
        <w:t>2</w:t>
      </w:r>
    </w:p>
    <w:p w14:paraId="02C5BE02" w14:textId="77171748" w:rsidR="00C516E5" w:rsidRDefault="00C516E5" w:rsidP="0090122B">
      <w:pPr>
        <w:rPr>
          <w:rFonts w:ascii="Arial" w:hAnsi="Arial" w:cs="Arial"/>
        </w:rPr>
      </w:pPr>
    </w:p>
    <w:p w14:paraId="4BE52D14" w14:textId="31FF35DA" w:rsidR="00C516E5" w:rsidRDefault="00C516E5" w:rsidP="0090122B">
      <w:pPr>
        <w:rPr>
          <w:rFonts w:ascii="Arial" w:hAnsi="Arial" w:cs="Arial"/>
        </w:rPr>
      </w:pPr>
    </w:p>
    <w:p w14:paraId="37E463A8" w14:textId="4D1B3110" w:rsidR="00CD1FBE" w:rsidRDefault="00CD1FBE" w:rsidP="00CD1FBE">
      <w:pPr>
        <w:rPr>
          <w:rFonts w:ascii="Arial" w:hAnsi="Arial" w:cs="Arial"/>
        </w:rPr>
      </w:pPr>
    </w:p>
    <w:p w14:paraId="2845CA3B" w14:textId="77777777" w:rsidR="00C516E5" w:rsidRPr="00D37EE0" w:rsidRDefault="00C516E5" w:rsidP="00CD1FBE">
      <w:pPr>
        <w:rPr>
          <w:rFonts w:ascii="Arial" w:hAnsi="Arial" w:cs="Arial"/>
        </w:rPr>
      </w:pPr>
    </w:p>
    <w:tbl>
      <w:tblPr>
        <w:tblStyle w:val="TableGrid"/>
        <w:tblpPr w:leftFromText="180" w:rightFromText="180" w:vertAnchor="text" w:horzAnchor="margin" w:tblpY="-107"/>
        <w:tblW w:w="9420" w:type="dxa"/>
        <w:tblLook w:val="04A0" w:firstRow="1" w:lastRow="0" w:firstColumn="1" w:lastColumn="0" w:noHBand="0" w:noVBand="1"/>
      </w:tblPr>
      <w:tblGrid>
        <w:gridCol w:w="1179"/>
        <w:gridCol w:w="3494"/>
        <w:gridCol w:w="4747"/>
      </w:tblGrid>
      <w:tr w:rsidR="00F93820" w14:paraId="47574E56" w14:textId="77777777" w:rsidTr="00F93820">
        <w:trPr>
          <w:trHeight w:val="1574"/>
        </w:trPr>
        <w:tc>
          <w:tcPr>
            <w:tcW w:w="1179" w:type="dxa"/>
            <w:vAlign w:val="center"/>
          </w:tcPr>
          <w:p w14:paraId="7B13420D" w14:textId="77777777" w:rsidR="00F93820" w:rsidRDefault="00F93820" w:rsidP="00F93820">
            <w:pPr>
              <w:pStyle w:val="AssignBody"/>
            </w:pPr>
            <w:r>
              <w:t>Target 1</w:t>
            </w:r>
          </w:p>
        </w:tc>
        <w:tc>
          <w:tcPr>
            <w:tcW w:w="3494" w:type="dxa"/>
            <w:vAlign w:val="center"/>
          </w:tcPr>
          <w:p w14:paraId="2CD9DC38" w14:textId="77777777" w:rsidR="00F93820" w:rsidRDefault="00F93820" w:rsidP="00F93820">
            <w:pPr>
              <w:pStyle w:val="AssignBody"/>
            </w:pPr>
            <w:r>
              <w:t xml:space="preserve">Exploit every opportunity to show understanding by making and justifying links. </w:t>
            </w:r>
          </w:p>
        </w:tc>
        <w:tc>
          <w:tcPr>
            <w:tcW w:w="4747" w:type="dxa"/>
            <w:vAlign w:val="center"/>
          </w:tcPr>
          <w:p w14:paraId="3CE20E9C" w14:textId="77777777" w:rsidR="00F93820" w:rsidRDefault="00F93820" w:rsidP="00F93820">
            <w:pPr>
              <w:pStyle w:val="AssignBody"/>
            </w:pPr>
            <w:r>
              <w:t xml:space="preserve">I have strived to ensure that I have made and justified all links between literature and the findings of the research project. </w:t>
            </w:r>
          </w:p>
        </w:tc>
      </w:tr>
      <w:tr w:rsidR="00F93820" w14:paraId="59A95905" w14:textId="77777777" w:rsidTr="00F93820">
        <w:trPr>
          <w:trHeight w:val="795"/>
        </w:trPr>
        <w:tc>
          <w:tcPr>
            <w:tcW w:w="1179" w:type="dxa"/>
            <w:vAlign w:val="center"/>
          </w:tcPr>
          <w:p w14:paraId="7B652702" w14:textId="77777777" w:rsidR="00F93820" w:rsidRDefault="00F93820" w:rsidP="00F93820">
            <w:pPr>
              <w:pStyle w:val="AssignBody"/>
            </w:pPr>
            <w:r>
              <w:t>Target 2</w:t>
            </w:r>
          </w:p>
        </w:tc>
        <w:tc>
          <w:tcPr>
            <w:tcW w:w="3494" w:type="dxa"/>
            <w:vAlign w:val="center"/>
          </w:tcPr>
          <w:p w14:paraId="72967BE6" w14:textId="77777777" w:rsidR="00F93820" w:rsidRDefault="00F93820" w:rsidP="00F93820">
            <w:pPr>
              <w:pStyle w:val="AssignBody"/>
            </w:pPr>
            <w:r>
              <w:t>Be as specific as possible in what you suggest, considering limitations.</w:t>
            </w:r>
          </w:p>
        </w:tc>
        <w:tc>
          <w:tcPr>
            <w:tcW w:w="4747" w:type="dxa"/>
            <w:vAlign w:val="center"/>
          </w:tcPr>
          <w:p w14:paraId="121C1048" w14:textId="77777777" w:rsidR="00F93820" w:rsidRDefault="00F93820" w:rsidP="00F93820">
            <w:pPr>
              <w:pStyle w:val="AssignBody"/>
            </w:pPr>
            <w:r>
              <w:t xml:space="preserve">I have included more detail in my conclusion to highlight the way in which the findings have influenced my practice, considering the limitations. </w:t>
            </w:r>
          </w:p>
        </w:tc>
      </w:tr>
      <w:tr w:rsidR="00F93820" w14:paraId="1688BE0C" w14:textId="77777777" w:rsidTr="00F93820">
        <w:trPr>
          <w:trHeight w:val="778"/>
        </w:trPr>
        <w:tc>
          <w:tcPr>
            <w:tcW w:w="1179" w:type="dxa"/>
            <w:vAlign w:val="center"/>
          </w:tcPr>
          <w:p w14:paraId="50C8FDDD" w14:textId="77777777" w:rsidR="00F93820" w:rsidRDefault="00F93820" w:rsidP="00F93820">
            <w:pPr>
              <w:pStyle w:val="AssignBody"/>
            </w:pPr>
            <w:r>
              <w:t>Target 3</w:t>
            </w:r>
          </w:p>
        </w:tc>
        <w:tc>
          <w:tcPr>
            <w:tcW w:w="3494" w:type="dxa"/>
            <w:vAlign w:val="center"/>
          </w:tcPr>
          <w:p w14:paraId="49BFFA73" w14:textId="77777777" w:rsidR="00F93820" w:rsidRDefault="00F93820" w:rsidP="00F93820">
            <w:pPr>
              <w:pStyle w:val="AssignBody"/>
            </w:pPr>
            <w:r>
              <w:t>Take care with repetition and try not to use the same research twice.</w:t>
            </w:r>
          </w:p>
        </w:tc>
        <w:tc>
          <w:tcPr>
            <w:tcW w:w="4747" w:type="dxa"/>
            <w:vAlign w:val="center"/>
          </w:tcPr>
          <w:p w14:paraId="64F7EE95" w14:textId="77777777" w:rsidR="00F93820" w:rsidRDefault="00F93820" w:rsidP="00F93820">
            <w:pPr>
              <w:pStyle w:val="AssignBody"/>
            </w:pPr>
            <w:r>
              <w:t xml:space="preserve">I have ensured that I have not used the same piece of research twice, as I have sourced new research to support points and at times, referred back to research where appropriate. </w:t>
            </w:r>
          </w:p>
        </w:tc>
      </w:tr>
      <w:tr w:rsidR="00F93820" w14:paraId="3D7FB894" w14:textId="77777777" w:rsidTr="00F93820">
        <w:trPr>
          <w:trHeight w:val="778"/>
        </w:trPr>
        <w:tc>
          <w:tcPr>
            <w:tcW w:w="1179" w:type="dxa"/>
            <w:vAlign w:val="center"/>
          </w:tcPr>
          <w:p w14:paraId="16EF85C3" w14:textId="77777777" w:rsidR="00F93820" w:rsidRDefault="00F93820" w:rsidP="00F93820">
            <w:pPr>
              <w:pStyle w:val="AssignBody"/>
            </w:pPr>
            <w:r>
              <w:t>Target 4</w:t>
            </w:r>
          </w:p>
        </w:tc>
        <w:tc>
          <w:tcPr>
            <w:tcW w:w="3494" w:type="dxa"/>
            <w:vAlign w:val="center"/>
          </w:tcPr>
          <w:p w14:paraId="7DEB548A" w14:textId="6D7CD495" w:rsidR="00F93820" w:rsidRDefault="00F93820" w:rsidP="00F93820">
            <w:pPr>
              <w:pStyle w:val="AssignBody"/>
            </w:pPr>
            <w:r w:rsidRPr="00F93820">
              <w:t xml:space="preserve">An improved engagement with </w:t>
            </w:r>
            <w:r w:rsidR="005E0227" w:rsidRPr="00F93820">
              <w:t>literature-based</w:t>
            </w:r>
            <w:r w:rsidRPr="00F93820">
              <w:t xml:space="preserve"> argument - unpack the reference for clarity and context, offer an example when possible to do so</w:t>
            </w:r>
          </w:p>
        </w:tc>
        <w:tc>
          <w:tcPr>
            <w:tcW w:w="4747" w:type="dxa"/>
            <w:vAlign w:val="center"/>
          </w:tcPr>
          <w:p w14:paraId="48173602" w14:textId="32134746" w:rsidR="00F93820" w:rsidRDefault="005E0227" w:rsidP="00F93820">
            <w:pPr>
              <w:pStyle w:val="AssignBody"/>
            </w:pPr>
            <w:r>
              <w:t xml:space="preserve">I have strived to include relevant information into the context of sources and the implications it has on the quality of the research. </w:t>
            </w:r>
          </w:p>
        </w:tc>
      </w:tr>
    </w:tbl>
    <w:p w14:paraId="100DEC8C" w14:textId="78F2A5EA" w:rsidR="00C516E5" w:rsidRDefault="00C516E5" w:rsidP="00CD1FBE">
      <w:pPr>
        <w:rPr>
          <w:rFonts w:ascii="Arial" w:hAnsi="Arial" w:cs="Arial"/>
        </w:rPr>
      </w:pPr>
      <w:bookmarkStart w:id="0" w:name="cysill"/>
      <w:bookmarkEnd w:id="0"/>
    </w:p>
    <w:p w14:paraId="09CDD57F" w14:textId="77777777" w:rsidR="004A3F41" w:rsidRDefault="004A3F41" w:rsidP="004A3F41">
      <w:pPr>
        <w:pStyle w:val="Title"/>
        <w:spacing w:line="360" w:lineRule="auto"/>
        <w:rPr>
          <w:rFonts w:ascii="Arial" w:hAnsi="Arial" w:cs="Arial"/>
          <w:b/>
          <w:bCs/>
          <w:sz w:val="28"/>
          <w:szCs w:val="28"/>
        </w:rPr>
      </w:pPr>
    </w:p>
    <w:p w14:paraId="75A5380A" w14:textId="27191F2D" w:rsidR="009F7E6D" w:rsidRPr="00D86F21" w:rsidRDefault="009F7E6D" w:rsidP="004A3F41">
      <w:pPr>
        <w:pStyle w:val="Title"/>
        <w:spacing w:line="360" w:lineRule="auto"/>
        <w:rPr>
          <w:rFonts w:ascii="Arial" w:hAnsi="Arial" w:cs="Arial"/>
          <w:b/>
          <w:bCs/>
          <w:sz w:val="28"/>
          <w:szCs w:val="28"/>
        </w:rPr>
      </w:pPr>
      <w:r w:rsidRPr="00D86F21">
        <w:rPr>
          <w:rFonts w:ascii="Arial" w:hAnsi="Arial" w:cs="Arial"/>
          <w:b/>
          <w:bCs/>
          <w:sz w:val="28"/>
          <w:szCs w:val="28"/>
        </w:rPr>
        <w:lastRenderedPageBreak/>
        <w:t xml:space="preserve">Contents </w:t>
      </w:r>
    </w:p>
    <w:p w14:paraId="5E63BBF6" w14:textId="77777777" w:rsidR="009F7E6D" w:rsidRPr="009F3489" w:rsidRDefault="009F7E6D" w:rsidP="004A3F41">
      <w:pPr>
        <w:spacing w:line="360" w:lineRule="auto"/>
        <w:rPr>
          <w:rFonts w:ascii="Arial" w:hAnsi="Arial" w:cs="Arial"/>
        </w:rPr>
      </w:pPr>
      <w:r w:rsidRPr="009F3489">
        <w:rPr>
          <w:rFonts w:ascii="Arial" w:hAnsi="Arial" w:cs="Arial"/>
        </w:rPr>
        <w:t>Chapter 1: Introduction</w:t>
      </w:r>
    </w:p>
    <w:p w14:paraId="332EAE99" w14:textId="77777777" w:rsidR="009F7E6D" w:rsidRPr="009F3489" w:rsidRDefault="009F7E6D" w:rsidP="004A3F41">
      <w:pPr>
        <w:spacing w:line="360" w:lineRule="auto"/>
        <w:rPr>
          <w:rFonts w:ascii="Arial" w:hAnsi="Arial" w:cs="Arial"/>
        </w:rPr>
      </w:pPr>
      <w:r w:rsidRPr="009F3489">
        <w:rPr>
          <w:rFonts w:ascii="Arial" w:hAnsi="Arial" w:cs="Arial"/>
        </w:rPr>
        <w:t>Chapter 2: Literature Review</w:t>
      </w:r>
    </w:p>
    <w:p w14:paraId="20ED0272"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2.1 Defining well-being</w:t>
      </w:r>
    </w:p>
    <w:p w14:paraId="3F83813E"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2.2 The importance of promoting learners’ well-being in schools</w:t>
      </w:r>
    </w:p>
    <w:p w14:paraId="3301F959"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2.3 The importance of promoting practitioners’ well-being in schools</w:t>
      </w:r>
    </w:p>
    <w:p w14:paraId="6DC78C4B"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2.4 The benefits of promoting well-being in schools</w:t>
      </w:r>
    </w:p>
    <w:p w14:paraId="1B5E0598"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2.5 The challenges of promoting well-being in schools</w:t>
      </w:r>
    </w:p>
    <w:p w14:paraId="3D678502" w14:textId="365F6AFC" w:rsidR="00C44055" w:rsidRPr="009F3489" w:rsidRDefault="00C44055" w:rsidP="004A3F41">
      <w:pPr>
        <w:pStyle w:val="ListParagraph"/>
        <w:spacing w:line="360" w:lineRule="auto"/>
        <w:rPr>
          <w:rFonts w:ascii="Arial" w:hAnsi="Arial" w:cs="Arial"/>
        </w:rPr>
      </w:pPr>
      <w:r>
        <w:rPr>
          <w:rFonts w:ascii="Arial" w:hAnsi="Arial" w:cs="Arial"/>
        </w:rPr>
        <w:t>2</w:t>
      </w:r>
      <w:r w:rsidRPr="009F3489">
        <w:rPr>
          <w:rFonts w:ascii="Arial" w:hAnsi="Arial" w:cs="Arial"/>
        </w:rPr>
        <w:t>.</w:t>
      </w:r>
      <w:r>
        <w:rPr>
          <w:rFonts w:ascii="Arial" w:hAnsi="Arial" w:cs="Arial"/>
        </w:rPr>
        <w:t>6</w:t>
      </w:r>
      <w:r w:rsidRPr="009F3489">
        <w:rPr>
          <w:rFonts w:ascii="Arial" w:hAnsi="Arial" w:cs="Arial"/>
        </w:rPr>
        <w:t xml:space="preserve"> Approaches to supporting</w:t>
      </w:r>
      <w:r>
        <w:rPr>
          <w:rFonts w:ascii="Arial" w:hAnsi="Arial" w:cs="Arial"/>
        </w:rPr>
        <w:t xml:space="preserve"> practitioners and</w:t>
      </w:r>
      <w:r w:rsidRPr="009F3489">
        <w:rPr>
          <w:rFonts w:ascii="Arial" w:hAnsi="Arial" w:cs="Arial"/>
        </w:rPr>
        <w:t xml:space="preserve"> learners’ well-being</w:t>
      </w:r>
    </w:p>
    <w:p w14:paraId="47665F97" w14:textId="75F12B97"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.1 Emotional and social well-being</w:t>
      </w:r>
    </w:p>
    <w:p w14:paraId="3D6DF0BB" w14:textId="1C0BBE1D"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.2 Mental and spiritual well-being</w:t>
      </w:r>
    </w:p>
    <w:p w14:paraId="3DB91DB6" w14:textId="37552F4D"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.3 Physical well-being</w:t>
      </w:r>
    </w:p>
    <w:p w14:paraId="333C60E6" w14:textId="77777777" w:rsidR="009F7E6D" w:rsidRPr="009F3489" w:rsidRDefault="009F7E6D" w:rsidP="004A3F41">
      <w:pPr>
        <w:spacing w:line="360" w:lineRule="auto"/>
        <w:rPr>
          <w:rFonts w:ascii="Arial" w:hAnsi="Arial" w:cs="Arial"/>
        </w:rPr>
      </w:pPr>
      <w:r w:rsidRPr="009F3489">
        <w:rPr>
          <w:rFonts w:ascii="Arial" w:hAnsi="Arial" w:cs="Arial"/>
        </w:rPr>
        <w:t>Chapter 3: Methodology</w:t>
      </w:r>
    </w:p>
    <w:p w14:paraId="2E5E15AC" w14:textId="77777777" w:rsidR="009F7E6D" w:rsidRPr="009F3489" w:rsidRDefault="009F7E6D" w:rsidP="004A3F41">
      <w:pPr>
        <w:spacing w:line="360" w:lineRule="auto"/>
        <w:rPr>
          <w:rFonts w:ascii="Arial" w:hAnsi="Arial" w:cs="Arial"/>
        </w:rPr>
      </w:pPr>
      <w:r w:rsidRPr="009F3489">
        <w:rPr>
          <w:rFonts w:ascii="Arial" w:hAnsi="Arial" w:cs="Arial"/>
        </w:rPr>
        <w:t>Chapter 4: Results and Discussion</w:t>
      </w:r>
    </w:p>
    <w:p w14:paraId="6A723136"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4.1 Defining well-being</w:t>
      </w:r>
    </w:p>
    <w:p w14:paraId="39D6DAA1"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4.2 The importance and benefits of promoting well-being in schools</w:t>
      </w:r>
    </w:p>
    <w:p w14:paraId="028E2F8E"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4.3 The challenges of promoting well-being in schools</w:t>
      </w:r>
    </w:p>
    <w:p w14:paraId="23C2FEA1" w14:textId="2A84896A" w:rsidR="009F7E6D" w:rsidRPr="009F3489" w:rsidRDefault="009F7E6D" w:rsidP="004A3F41">
      <w:pPr>
        <w:pStyle w:val="ListParagraph"/>
        <w:spacing w:line="360" w:lineRule="auto"/>
        <w:rPr>
          <w:rFonts w:ascii="Arial" w:hAnsi="Arial" w:cs="Arial"/>
        </w:rPr>
      </w:pPr>
      <w:r w:rsidRPr="009F3489">
        <w:rPr>
          <w:rFonts w:ascii="Arial" w:hAnsi="Arial" w:cs="Arial"/>
        </w:rPr>
        <w:t>4.4 Approaches to supporting</w:t>
      </w:r>
      <w:r w:rsidR="00C44055">
        <w:rPr>
          <w:rFonts w:ascii="Arial" w:hAnsi="Arial" w:cs="Arial"/>
        </w:rPr>
        <w:t xml:space="preserve"> practitioners and</w:t>
      </w:r>
      <w:r w:rsidRPr="009F3489">
        <w:rPr>
          <w:rFonts w:ascii="Arial" w:hAnsi="Arial" w:cs="Arial"/>
        </w:rPr>
        <w:t xml:space="preserve"> learners’ well-being</w:t>
      </w:r>
    </w:p>
    <w:p w14:paraId="0AAF2822" w14:textId="23EC6B65" w:rsidR="009F7E6D" w:rsidRPr="009F3489" w:rsidRDefault="009F7E6D" w:rsidP="004A3F41">
      <w:pPr>
        <w:pStyle w:val="ListParagraph"/>
        <w:spacing w:line="360" w:lineRule="auto"/>
        <w:ind w:left="1440"/>
        <w:rPr>
          <w:rFonts w:ascii="Arial" w:hAnsi="Arial" w:cs="Arial"/>
        </w:rPr>
      </w:pPr>
      <w:r w:rsidRPr="009F3489">
        <w:rPr>
          <w:rFonts w:ascii="Arial" w:hAnsi="Arial" w:cs="Arial"/>
        </w:rPr>
        <w:t>4.4.1</w:t>
      </w:r>
      <w:r w:rsidR="00E163A7" w:rsidRPr="009F3489">
        <w:rPr>
          <w:rFonts w:ascii="Arial" w:hAnsi="Arial" w:cs="Arial"/>
        </w:rPr>
        <w:t xml:space="preserve"> Emotional and social well-being</w:t>
      </w:r>
    </w:p>
    <w:p w14:paraId="7CA348F6" w14:textId="7319498F" w:rsidR="009F7E6D" w:rsidRPr="009F3489" w:rsidRDefault="009F7E6D" w:rsidP="004A3F41">
      <w:pPr>
        <w:pStyle w:val="ListParagraph"/>
        <w:spacing w:line="360" w:lineRule="auto"/>
        <w:ind w:left="1440"/>
        <w:rPr>
          <w:rFonts w:ascii="Arial" w:hAnsi="Arial" w:cs="Arial"/>
        </w:rPr>
      </w:pPr>
      <w:r w:rsidRPr="009F3489">
        <w:rPr>
          <w:rFonts w:ascii="Arial" w:hAnsi="Arial" w:cs="Arial"/>
        </w:rPr>
        <w:t>4.4.2</w:t>
      </w:r>
      <w:r w:rsidR="00E163A7" w:rsidRPr="009F3489">
        <w:rPr>
          <w:rFonts w:ascii="Arial" w:hAnsi="Arial" w:cs="Arial"/>
        </w:rPr>
        <w:t xml:space="preserve"> Mental and spiritual well-being</w:t>
      </w:r>
    </w:p>
    <w:p w14:paraId="1F32F071" w14:textId="047F17EE" w:rsidR="009F7E6D" w:rsidRPr="009F3489" w:rsidRDefault="009F7E6D" w:rsidP="004A3F41">
      <w:pPr>
        <w:pStyle w:val="ListParagraph"/>
        <w:spacing w:line="360" w:lineRule="auto"/>
        <w:ind w:left="1440"/>
        <w:rPr>
          <w:rFonts w:ascii="Arial" w:hAnsi="Arial" w:cs="Arial"/>
        </w:rPr>
      </w:pPr>
      <w:r w:rsidRPr="009F3489">
        <w:rPr>
          <w:rFonts w:ascii="Arial" w:hAnsi="Arial" w:cs="Arial"/>
        </w:rPr>
        <w:t>4.4.3</w:t>
      </w:r>
      <w:r w:rsidR="00E163A7" w:rsidRPr="009F3489">
        <w:rPr>
          <w:rFonts w:ascii="Arial" w:hAnsi="Arial" w:cs="Arial"/>
        </w:rPr>
        <w:t xml:space="preserve"> Physical well-being</w:t>
      </w:r>
    </w:p>
    <w:p w14:paraId="0A12782B" w14:textId="0198B96C" w:rsidR="009F7E6D" w:rsidRPr="009F3489" w:rsidRDefault="009F7E6D" w:rsidP="004A3F41">
      <w:pPr>
        <w:spacing w:line="360" w:lineRule="auto"/>
        <w:rPr>
          <w:rFonts w:ascii="Arial" w:hAnsi="Arial" w:cs="Arial"/>
        </w:rPr>
      </w:pPr>
      <w:r w:rsidRPr="009F3489">
        <w:rPr>
          <w:rFonts w:ascii="Arial" w:hAnsi="Arial" w:cs="Arial"/>
        </w:rPr>
        <w:t>Chapter 5: Conclusion</w:t>
      </w:r>
    </w:p>
    <w:p w14:paraId="5B0E041B" w14:textId="3423E6AD" w:rsidR="009F7E6D" w:rsidRDefault="001C1EA9" w:rsidP="004A3F41">
      <w:pPr>
        <w:spacing w:line="360" w:lineRule="auto"/>
        <w:rPr>
          <w:rFonts w:ascii="Arial" w:hAnsi="Arial" w:cs="Arial"/>
        </w:rPr>
      </w:pPr>
      <w:r>
        <w:rPr>
          <w:rFonts w:ascii="Arial" w:hAnsi="Arial" w:cs="Arial"/>
        </w:rPr>
        <w:t>Reference List</w:t>
      </w:r>
    </w:p>
    <w:p w14:paraId="0B0115D4" w14:textId="7AF118B6" w:rsidR="009F7E6D" w:rsidRDefault="001C1EA9" w:rsidP="004A3F41">
      <w:pPr>
        <w:spacing w:line="360" w:lineRule="auto"/>
        <w:rPr>
          <w:rFonts w:ascii="Arial" w:hAnsi="Arial" w:cs="Arial"/>
        </w:rPr>
      </w:pPr>
      <w:r>
        <w:rPr>
          <w:rFonts w:ascii="Arial" w:hAnsi="Arial" w:cs="Arial"/>
        </w:rPr>
        <w:t>Appendices</w:t>
      </w:r>
    </w:p>
    <w:p w14:paraId="0E4E01B2" w14:textId="77777777" w:rsidR="001C1EA9" w:rsidRDefault="001C1EA9" w:rsidP="004A3F41">
      <w:pPr>
        <w:spacing w:line="360" w:lineRule="auto"/>
        <w:rPr>
          <w:rFonts w:ascii="Arial" w:hAnsi="Arial" w:cs="Arial"/>
          <w:sz w:val="24"/>
          <w:szCs w:val="24"/>
        </w:rPr>
      </w:pPr>
    </w:p>
    <w:p w14:paraId="4F00BD4D" w14:textId="04A0EC8A" w:rsidR="007E0FFA" w:rsidRDefault="007E0FFA" w:rsidP="004A3F41">
      <w:pPr>
        <w:spacing w:line="360" w:lineRule="auto"/>
        <w:rPr>
          <w:rFonts w:ascii="Arial" w:hAnsi="Arial" w:cs="Arial"/>
          <w:sz w:val="24"/>
          <w:szCs w:val="24"/>
        </w:rPr>
      </w:pPr>
    </w:p>
    <w:p w14:paraId="78793AD4" w14:textId="3855B4A0" w:rsidR="004A3F41" w:rsidRDefault="004A3F41" w:rsidP="004A3F41">
      <w:pPr>
        <w:spacing w:line="360" w:lineRule="auto"/>
        <w:rPr>
          <w:rFonts w:ascii="Arial" w:hAnsi="Arial" w:cs="Arial"/>
          <w:sz w:val="24"/>
          <w:szCs w:val="24"/>
        </w:rPr>
      </w:pPr>
    </w:p>
    <w:p w14:paraId="4AFF314C" w14:textId="77777777" w:rsidR="00723296" w:rsidRPr="00D37EE0" w:rsidRDefault="00723296" w:rsidP="004A3F41">
      <w:pPr>
        <w:spacing w:line="360" w:lineRule="auto"/>
        <w:rPr>
          <w:rFonts w:ascii="Arial" w:hAnsi="Arial" w:cs="Arial"/>
        </w:rPr>
      </w:pPr>
    </w:p>
    <w:p w14:paraId="4D792B72" w14:textId="28839164" w:rsidR="00510D13" w:rsidRPr="009F3489" w:rsidRDefault="0001436E" w:rsidP="004A3F41">
      <w:pPr>
        <w:pStyle w:val="Title"/>
        <w:spacing w:line="360" w:lineRule="auto"/>
        <w:rPr>
          <w:rFonts w:ascii="Arial" w:hAnsi="Arial" w:cs="Arial"/>
          <w:sz w:val="28"/>
          <w:szCs w:val="28"/>
        </w:rPr>
      </w:pPr>
      <w:r w:rsidRPr="009F3489">
        <w:rPr>
          <w:rFonts w:ascii="Arial" w:hAnsi="Arial" w:cs="Arial"/>
          <w:sz w:val="28"/>
          <w:szCs w:val="28"/>
        </w:rPr>
        <w:lastRenderedPageBreak/>
        <w:t xml:space="preserve">Chapter 1: </w:t>
      </w:r>
      <w:r w:rsidR="00510D13" w:rsidRPr="009F3489">
        <w:rPr>
          <w:rFonts w:ascii="Arial" w:hAnsi="Arial" w:cs="Arial"/>
          <w:sz w:val="28"/>
          <w:szCs w:val="28"/>
        </w:rPr>
        <w:t xml:space="preserve">Introduction </w:t>
      </w:r>
    </w:p>
    <w:p w14:paraId="0A3EE2B7" w14:textId="26B0AEC9" w:rsidR="00F7597D" w:rsidRPr="009F3489" w:rsidRDefault="00F7597D" w:rsidP="004A3F41">
      <w:pPr>
        <w:spacing w:line="360" w:lineRule="auto"/>
        <w:rPr>
          <w:rFonts w:ascii="Arial" w:hAnsi="Arial" w:cs="Arial"/>
        </w:rPr>
      </w:pPr>
      <w:r w:rsidRPr="009F3489">
        <w:rPr>
          <w:rFonts w:ascii="Arial" w:hAnsi="Arial" w:cs="Arial"/>
        </w:rPr>
        <w:t xml:space="preserve">This paper aims </w:t>
      </w:r>
      <w:r w:rsidR="00D415B1" w:rsidRPr="009F3489">
        <w:rPr>
          <w:rFonts w:ascii="Arial" w:hAnsi="Arial" w:cs="Arial"/>
        </w:rPr>
        <w:t xml:space="preserve">to </w:t>
      </w:r>
      <w:r w:rsidRPr="009F3489">
        <w:rPr>
          <w:rFonts w:ascii="Arial" w:hAnsi="Arial" w:cs="Arial"/>
        </w:rPr>
        <w:t xml:space="preserve">explore the ways in which </w:t>
      </w:r>
      <w:r w:rsidR="00816995">
        <w:rPr>
          <w:rFonts w:ascii="Arial" w:hAnsi="Arial" w:cs="Arial"/>
        </w:rPr>
        <w:t>positive</w:t>
      </w:r>
      <w:r w:rsidRPr="009F3489">
        <w:rPr>
          <w:rFonts w:ascii="Arial" w:hAnsi="Arial" w:cs="Arial"/>
        </w:rPr>
        <w:t xml:space="preserve"> well-being is promoted in schools to support both practitioners and learners</w:t>
      </w:r>
      <w:r w:rsidR="003F3CBF">
        <w:rPr>
          <w:rFonts w:ascii="Arial" w:hAnsi="Arial" w:cs="Arial"/>
        </w:rPr>
        <w:t xml:space="preserve">. The </w:t>
      </w:r>
      <w:r w:rsidR="00BB5AFC">
        <w:rPr>
          <w:rFonts w:ascii="Arial" w:hAnsi="Arial" w:cs="Arial"/>
        </w:rPr>
        <w:t>purpose</w:t>
      </w:r>
      <w:r w:rsidR="003F3CBF">
        <w:rPr>
          <w:rFonts w:ascii="Arial" w:hAnsi="Arial" w:cs="Arial"/>
        </w:rPr>
        <w:t xml:space="preserve"> of the research is to</w:t>
      </w:r>
      <w:r w:rsidRPr="009F3489">
        <w:rPr>
          <w:rFonts w:ascii="Arial" w:hAnsi="Arial" w:cs="Arial"/>
        </w:rPr>
        <w:t xml:space="preserve"> enhance the author’s own professional practice in the future, an idea supported by Tarrant (2013) who champions reflective practice for professional development. </w:t>
      </w:r>
      <w:r w:rsidR="00A10AE7" w:rsidRPr="009F3489">
        <w:rPr>
          <w:rFonts w:ascii="Arial" w:hAnsi="Arial" w:cs="Arial"/>
        </w:rPr>
        <w:t xml:space="preserve">The relationship between professional development and research within the classroom is developing in Wales as the </w:t>
      </w:r>
      <w:r w:rsidR="00A10AE7" w:rsidRPr="009F3489">
        <w:rPr>
          <w:rFonts w:ascii="Arial" w:hAnsi="Arial" w:cs="Arial"/>
          <w:i/>
          <w:iCs/>
        </w:rPr>
        <w:t>Professional Standards for Teaching and Leadership</w:t>
      </w:r>
      <w:r w:rsidR="00A10AE7" w:rsidRPr="009F3489">
        <w:rPr>
          <w:rFonts w:ascii="Arial" w:hAnsi="Arial" w:cs="Arial"/>
        </w:rPr>
        <w:t xml:space="preserve"> (Welsh Government, 2019) indicate the positive impact research can have on professional development. </w:t>
      </w:r>
    </w:p>
    <w:p w14:paraId="0DC836DC" w14:textId="18453669" w:rsidR="00ED2D4A" w:rsidRPr="009F3489" w:rsidRDefault="005B38FC" w:rsidP="004A3F41">
      <w:pPr>
        <w:spacing w:line="360" w:lineRule="auto"/>
        <w:rPr>
          <w:rFonts w:ascii="Arial" w:hAnsi="Arial" w:cs="Arial"/>
        </w:rPr>
      </w:pPr>
      <w:r>
        <w:rPr>
          <w:rFonts w:ascii="Arial" w:hAnsi="Arial" w:cs="Arial"/>
        </w:rPr>
        <w:t xml:space="preserve">Low levels of well-being are a </w:t>
      </w:r>
      <w:r w:rsidR="00ED2D4A" w:rsidRPr="009F3489">
        <w:rPr>
          <w:rFonts w:ascii="Arial" w:hAnsi="Arial" w:cs="Arial"/>
        </w:rPr>
        <w:t>primary concern for the education system within Wales as identified by UNICEF (2011) and The Children’s Society (2019) who recognize the low levels of child</w:t>
      </w:r>
      <w:r w:rsidR="007D6307">
        <w:rPr>
          <w:rFonts w:ascii="Arial" w:hAnsi="Arial" w:cs="Arial"/>
        </w:rPr>
        <w:t>ren’s</w:t>
      </w:r>
      <w:r w:rsidR="00ED2D4A" w:rsidRPr="009F3489">
        <w:rPr>
          <w:rFonts w:ascii="Arial" w:hAnsi="Arial" w:cs="Arial"/>
        </w:rPr>
        <w:t xml:space="preserve"> well-being in the UK compared with other countries. The importance </w:t>
      </w:r>
      <w:r w:rsidR="00F415BB">
        <w:rPr>
          <w:rFonts w:ascii="Arial" w:hAnsi="Arial" w:cs="Arial"/>
        </w:rPr>
        <w:t>of</w:t>
      </w:r>
      <w:r w:rsidR="00ED2D4A" w:rsidRPr="009F3489">
        <w:rPr>
          <w:rFonts w:ascii="Arial" w:hAnsi="Arial" w:cs="Arial"/>
        </w:rPr>
        <w:t xml:space="preserve"> rais</w:t>
      </w:r>
      <w:r w:rsidR="00F415BB">
        <w:rPr>
          <w:rFonts w:ascii="Arial" w:hAnsi="Arial" w:cs="Arial"/>
        </w:rPr>
        <w:t xml:space="preserve">ing </w:t>
      </w:r>
      <w:r w:rsidR="00ED2D4A" w:rsidRPr="009F3489">
        <w:rPr>
          <w:rFonts w:ascii="Arial" w:hAnsi="Arial" w:cs="Arial"/>
        </w:rPr>
        <w:t>these levels has become a priority for schools in Wales and the UK</w:t>
      </w:r>
      <w:r w:rsidR="009C42F7">
        <w:rPr>
          <w:rFonts w:ascii="Arial" w:hAnsi="Arial" w:cs="Arial"/>
        </w:rPr>
        <w:t xml:space="preserve"> as</w:t>
      </w:r>
      <w:r w:rsidR="00ED2D4A" w:rsidRPr="009F3489">
        <w:rPr>
          <w:rFonts w:ascii="Arial" w:hAnsi="Arial" w:cs="Arial"/>
        </w:rPr>
        <w:t xml:space="preserve"> </w:t>
      </w:r>
      <w:r w:rsidR="004622F0">
        <w:rPr>
          <w:rFonts w:ascii="Arial" w:hAnsi="Arial" w:cs="Arial"/>
        </w:rPr>
        <w:t>highlighted in</w:t>
      </w:r>
      <w:r w:rsidR="00ED2D4A" w:rsidRPr="009F3489">
        <w:rPr>
          <w:rFonts w:ascii="Arial" w:hAnsi="Arial" w:cs="Arial"/>
        </w:rPr>
        <w:t xml:space="preserve"> </w:t>
      </w:r>
      <w:r w:rsidR="00442562">
        <w:rPr>
          <w:rFonts w:ascii="Arial" w:hAnsi="Arial" w:cs="Arial"/>
        </w:rPr>
        <w:t xml:space="preserve">the Welsh Government’s (2015) </w:t>
      </w:r>
      <w:r w:rsidR="00442562" w:rsidRPr="00442562">
        <w:rPr>
          <w:rFonts w:ascii="Arial" w:hAnsi="Arial" w:cs="Arial"/>
          <w:i/>
          <w:iCs/>
        </w:rPr>
        <w:t>Well-being for Future Generations Act</w:t>
      </w:r>
      <w:r w:rsidR="00442562">
        <w:rPr>
          <w:rFonts w:ascii="Arial" w:hAnsi="Arial" w:cs="Arial"/>
        </w:rPr>
        <w:t xml:space="preserve"> and </w:t>
      </w:r>
      <w:r w:rsidR="00ED2D4A" w:rsidRPr="009F3489">
        <w:rPr>
          <w:rFonts w:ascii="Arial" w:hAnsi="Arial" w:cs="Arial"/>
        </w:rPr>
        <w:t>t</w:t>
      </w:r>
      <w:r w:rsidR="00510D13" w:rsidRPr="009F3489">
        <w:rPr>
          <w:rFonts w:ascii="Arial" w:hAnsi="Arial" w:cs="Arial"/>
        </w:rPr>
        <w:t xml:space="preserve">he recent publication of the </w:t>
      </w:r>
      <w:r w:rsidR="00510D13" w:rsidRPr="004622F0">
        <w:rPr>
          <w:rFonts w:ascii="Arial" w:hAnsi="Arial" w:cs="Arial"/>
          <w:i/>
          <w:iCs/>
        </w:rPr>
        <w:t>Curriculum for Wales</w:t>
      </w:r>
      <w:r w:rsidR="00510D13" w:rsidRPr="009F3489">
        <w:rPr>
          <w:rFonts w:ascii="Arial" w:hAnsi="Arial" w:cs="Arial"/>
        </w:rPr>
        <w:t xml:space="preserve"> by the Welsh Government (2020) highlights Health and Well-being as a focal point of the curriculum which suggests schools need to tailor their curriculum to support and improve learners’ well-being. </w:t>
      </w:r>
    </w:p>
    <w:p w14:paraId="4C356DB1" w14:textId="67D4245F" w:rsidR="00CD108E" w:rsidRPr="009F3489" w:rsidRDefault="00CD108E" w:rsidP="004A3F41">
      <w:pPr>
        <w:spacing w:line="360" w:lineRule="auto"/>
        <w:rPr>
          <w:rFonts w:ascii="Arial" w:hAnsi="Arial" w:cs="Arial"/>
        </w:rPr>
      </w:pPr>
      <w:r w:rsidRPr="009F3489">
        <w:rPr>
          <w:rFonts w:ascii="Arial" w:hAnsi="Arial" w:cs="Arial"/>
        </w:rPr>
        <w:t>In addition, the well-being of staff within the school environment is becoming a fundamental aspect to the improvement of learners’ well-being.</w:t>
      </w:r>
      <w:r w:rsidR="00F7597D" w:rsidRPr="009F3489">
        <w:rPr>
          <w:rFonts w:ascii="Arial" w:hAnsi="Arial" w:cs="Arial"/>
        </w:rPr>
        <w:t xml:space="preserve"> </w:t>
      </w:r>
      <w:r w:rsidRPr="009F3489">
        <w:rPr>
          <w:rFonts w:ascii="Arial" w:hAnsi="Arial" w:cs="Arial"/>
        </w:rPr>
        <w:t>I</w:t>
      </w:r>
      <w:r w:rsidR="00510D13" w:rsidRPr="009F3489">
        <w:rPr>
          <w:rFonts w:ascii="Arial" w:hAnsi="Arial" w:cs="Arial"/>
        </w:rPr>
        <w:t xml:space="preserve">t has been noted during a survey of 800 teacher within Wales by NASUWT (2017) that 61% of teachers suggested that their job has an adverse effect on their mental health which may indicate that teachers are not </w:t>
      </w:r>
      <w:r w:rsidR="00356A9D">
        <w:rPr>
          <w:rFonts w:ascii="Arial" w:hAnsi="Arial" w:cs="Arial"/>
        </w:rPr>
        <w:t xml:space="preserve">fully </w:t>
      </w:r>
      <w:r w:rsidR="00510D13" w:rsidRPr="009F3489">
        <w:rPr>
          <w:rFonts w:ascii="Arial" w:hAnsi="Arial" w:cs="Arial"/>
        </w:rPr>
        <w:t xml:space="preserve">supported by the school to achieve </w:t>
      </w:r>
      <w:r w:rsidR="00C84467">
        <w:rPr>
          <w:rFonts w:ascii="Arial" w:hAnsi="Arial" w:cs="Arial"/>
        </w:rPr>
        <w:t>positive</w:t>
      </w:r>
      <w:r w:rsidR="00510D13" w:rsidRPr="009F3489">
        <w:rPr>
          <w:rFonts w:ascii="Arial" w:hAnsi="Arial" w:cs="Arial"/>
        </w:rPr>
        <w:t xml:space="preserve"> well-being</w:t>
      </w:r>
      <w:r w:rsidR="002342E8">
        <w:rPr>
          <w:rFonts w:ascii="Arial" w:hAnsi="Arial" w:cs="Arial"/>
        </w:rPr>
        <w:t xml:space="preserve"> levels</w:t>
      </w:r>
      <w:r w:rsidR="00510D13" w:rsidRPr="009F3489">
        <w:rPr>
          <w:rFonts w:ascii="Arial" w:hAnsi="Arial" w:cs="Arial"/>
        </w:rPr>
        <w:t xml:space="preserve">. </w:t>
      </w:r>
    </w:p>
    <w:p w14:paraId="43AC8522" w14:textId="0E9F9684" w:rsidR="00F7597D" w:rsidRPr="009F3489" w:rsidRDefault="00233A93" w:rsidP="004A3F41">
      <w:pPr>
        <w:spacing w:line="360" w:lineRule="auto"/>
        <w:rPr>
          <w:rFonts w:ascii="Arial" w:hAnsi="Arial" w:cs="Arial"/>
        </w:rPr>
      </w:pPr>
      <w:r w:rsidRPr="009F3489">
        <w:rPr>
          <w:rFonts w:ascii="Arial" w:hAnsi="Arial" w:cs="Arial"/>
        </w:rPr>
        <w:t xml:space="preserve">During the study a variation of research methods will be used to gather data which can be triangulated to ensure the data shows a holistic view of the opinions of all those involved including, practitioners and learners. </w:t>
      </w:r>
      <w:r w:rsidR="00F7597D" w:rsidRPr="009F3489">
        <w:rPr>
          <w:rFonts w:ascii="Arial" w:hAnsi="Arial" w:cs="Arial"/>
        </w:rPr>
        <w:t>In line with the British Educational Research Association (BERA) (2018) and University of Wales Trinity Saint David (</w:t>
      </w:r>
      <w:r w:rsidR="00B775B1" w:rsidRPr="009F3489">
        <w:rPr>
          <w:rFonts w:ascii="Arial" w:hAnsi="Arial" w:cs="Arial"/>
        </w:rPr>
        <w:t>2017</w:t>
      </w:r>
      <w:r w:rsidR="00F7597D" w:rsidRPr="009F3489">
        <w:rPr>
          <w:rFonts w:ascii="Arial" w:hAnsi="Arial" w:cs="Arial"/>
        </w:rPr>
        <w:t>) ethical guidelines policies primary data will be gathered through a variety of interviews, observations</w:t>
      </w:r>
      <w:r w:rsidR="00A10AE7" w:rsidRPr="009F3489">
        <w:rPr>
          <w:rFonts w:ascii="Arial" w:hAnsi="Arial" w:cs="Arial"/>
        </w:rPr>
        <w:t xml:space="preserve"> and </w:t>
      </w:r>
      <w:r w:rsidR="002342E8">
        <w:rPr>
          <w:rFonts w:ascii="Arial" w:hAnsi="Arial" w:cs="Arial"/>
        </w:rPr>
        <w:t>learning walks</w:t>
      </w:r>
      <w:r w:rsidR="00A10AE7" w:rsidRPr="009F3489">
        <w:rPr>
          <w:rFonts w:ascii="Arial" w:hAnsi="Arial" w:cs="Arial"/>
        </w:rPr>
        <w:t>.</w:t>
      </w:r>
      <w:r w:rsidR="00F7597D" w:rsidRPr="009F3489">
        <w:rPr>
          <w:rFonts w:ascii="Arial" w:hAnsi="Arial" w:cs="Arial"/>
        </w:rPr>
        <w:t xml:space="preserve"> </w:t>
      </w:r>
    </w:p>
    <w:p w14:paraId="287E4216" w14:textId="3401B899" w:rsidR="00C16F17" w:rsidRPr="009F3489" w:rsidRDefault="00C16F17" w:rsidP="004A3F41">
      <w:pPr>
        <w:spacing w:line="360" w:lineRule="auto"/>
        <w:rPr>
          <w:rFonts w:ascii="Arial" w:hAnsi="Arial" w:cs="Arial"/>
        </w:rPr>
      </w:pPr>
      <w:r w:rsidRPr="009F3489">
        <w:rPr>
          <w:rFonts w:ascii="Arial" w:hAnsi="Arial" w:cs="Arial"/>
        </w:rPr>
        <w:t xml:space="preserve">This project stemmed from personal interest as academics have argued that the well-being needs of learners should be met before they can be expected to participate in academic learning </w:t>
      </w:r>
      <w:r w:rsidR="00841F6A">
        <w:rPr>
          <w:rFonts w:ascii="Arial" w:hAnsi="Arial" w:cs="Arial"/>
        </w:rPr>
        <w:t>(</w:t>
      </w:r>
      <w:r w:rsidRPr="009F3489">
        <w:rPr>
          <w:rFonts w:ascii="Arial" w:hAnsi="Arial" w:cs="Arial"/>
        </w:rPr>
        <w:t>Maslow</w:t>
      </w:r>
      <w:r w:rsidR="00806C61">
        <w:rPr>
          <w:rFonts w:ascii="Arial" w:hAnsi="Arial" w:cs="Arial"/>
        </w:rPr>
        <w:t>, 1943, as cited in McLeod, 2018)</w:t>
      </w:r>
      <w:r w:rsidRPr="009F3489">
        <w:rPr>
          <w:rFonts w:ascii="Arial" w:hAnsi="Arial" w:cs="Arial"/>
        </w:rPr>
        <w:t xml:space="preserve">. In addition, one concern before entering the teaching profession is the societal view of a poor work-life balance and an increased risk of poor mental health in practitioners which has prompted the need for further research into good practice carried out by schools across Wales to support practitioners (NASUWT, 2017; </w:t>
      </w:r>
      <w:r w:rsidRPr="009F3489">
        <w:rPr>
          <w:rFonts w:ascii="Arial" w:hAnsi="Arial" w:cs="Arial"/>
        </w:rPr>
        <w:lastRenderedPageBreak/>
        <w:t xml:space="preserve">Education Support Partnership, 2018). </w:t>
      </w:r>
      <w:r w:rsidR="00890B02" w:rsidRPr="009F3489">
        <w:rPr>
          <w:rFonts w:ascii="Arial" w:hAnsi="Arial" w:cs="Arial"/>
        </w:rPr>
        <w:t xml:space="preserve">Prior to engagement in research, the author is of the opinion that learners’ well-being is a growing priority for schools which suggests the well-being of staff is not a focal point for Senior Leadership Teams (SLT).  </w:t>
      </w:r>
    </w:p>
    <w:p w14:paraId="6EECDE08" w14:textId="78ADEE29" w:rsidR="00CD108E" w:rsidRPr="009F3489" w:rsidRDefault="00F7597D" w:rsidP="004A3F41">
      <w:pPr>
        <w:spacing w:line="360" w:lineRule="auto"/>
        <w:rPr>
          <w:rFonts w:ascii="Arial" w:hAnsi="Arial" w:cs="Arial"/>
        </w:rPr>
      </w:pPr>
      <w:r w:rsidRPr="009F3489">
        <w:rPr>
          <w:rFonts w:ascii="Arial" w:hAnsi="Arial" w:cs="Arial"/>
        </w:rPr>
        <w:t>A glossary of the following terms has been provided:</w:t>
      </w:r>
    </w:p>
    <w:p w14:paraId="33EBD0A0" w14:textId="65B6403E" w:rsidR="00134C1A" w:rsidRPr="00650EDE" w:rsidRDefault="00A10B5F" w:rsidP="004A3F41">
      <w:pPr>
        <w:spacing w:line="360" w:lineRule="auto"/>
        <w:rPr>
          <w:rFonts w:ascii="Arial" w:hAnsi="Arial" w:cs="Arial"/>
        </w:rPr>
      </w:pPr>
      <w:r w:rsidRPr="009F3489">
        <w:rPr>
          <w:rFonts w:ascii="Arial" w:hAnsi="Arial" w:cs="Arial"/>
          <w:b/>
          <w:bCs/>
        </w:rPr>
        <w:t xml:space="preserve">Subjective well-being </w:t>
      </w:r>
      <w:r w:rsidR="00BF2859">
        <w:rPr>
          <w:rFonts w:ascii="Arial" w:hAnsi="Arial" w:cs="Arial"/>
        </w:rPr>
        <w:t>–</w:t>
      </w:r>
      <w:r w:rsidR="008202E2">
        <w:rPr>
          <w:rFonts w:ascii="Arial" w:hAnsi="Arial" w:cs="Arial"/>
        </w:rPr>
        <w:t xml:space="preserve"> An</w:t>
      </w:r>
      <w:r w:rsidRPr="009F3489">
        <w:rPr>
          <w:rFonts w:ascii="Arial" w:hAnsi="Arial" w:cs="Arial"/>
        </w:rPr>
        <w:t xml:space="preserve"> </w:t>
      </w:r>
      <w:r w:rsidR="00EE31BE">
        <w:rPr>
          <w:rFonts w:ascii="Arial" w:hAnsi="Arial" w:cs="Arial"/>
        </w:rPr>
        <w:t xml:space="preserve">individual’s view of well-being </w:t>
      </w:r>
      <w:r w:rsidR="001D7589">
        <w:rPr>
          <w:rFonts w:ascii="Arial" w:hAnsi="Arial" w:cs="Arial"/>
        </w:rPr>
        <w:t xml:space="preserve">which </w:t>
      </w:r>
      <w:r w:rsidR="00FE0811">
        <w:rPr>
          <w:rFonts w:ascii="Arial" w:hAnsi="Arial" w:cs="Arial"/>
        </w:rPr>
        <w:t xml:space="preserve">includes </w:t>
      </w:r>
      <w:r w:rsidR="00EE31BE">
        <w:rPr>
          <w:rFonts w:ascii="Arial" w:hAnsi="Arial" w:cs="Arial"/>
        </w:rPr>
        <w:t>h</w:t>
      </w:r>
      <w:r w:rsidR="00C36855">
        <w:rPr>
          <w:rFonts w:ascii="Arial" w:hAnsi="Arial" w:cs="Arial"/>
        </w:rPr>
        <w:t xml:space="preserve">igh positive </w:t>
      </w:r>
      <w:r w:rsidR="00657AEB">
        <w:rPr>
          <w:rFonts w:ascii="Arial" w:hAnsi="Arial" w:cs="Arial"/>
        </w:rPr>
        <w:t>affect and life satisfaction and low negative affect</w:t>
      </w:r>
      <w:r w:rsidR="008C3E41">
        <w:rPr>
          <w:rFonts w:ascii="Arial" w:hAnsi="Arial" w:cs="Arial"/>
        </w:rPr>
        <w:t xml:space="preserve"> (</w:t>
      </w:r>
      <w:proofErr w:type="spellStart"/>
      <w:r w:rsidR="008C3E41">
        <w:rPr>
          <w:rFonts w:ascii="Arial" w:hAnsi="Arial" w:cs="Arial"/>
        </w:rPr>
        <w:t>Kanksy</w:t>
      </w:r>
      <w:proofErr w:type="spellEnd"/>
      <w:r w:rsidR="008C3E41">
        <w:rPr>
          <w:rFonts w:ascii="Arial" w:hAnsi="Arial" w:cs="Arial"/>
        </w:rPr>
        <w:t xml:space="preserve"> and Diener, </w:t>
      </w:r>
      <w:r w:rsidR="00EE31BE">
        <w:rPr>
          <w:rFonts w:ascii="Arial" w:hAnsi="Arial" w:cs="Arial"/>
        </w:rPr>
        <w:t xml:space="preserve">2017). </w:t>
      </w:r>
    </w:p>
    <w:p w14:paraId="56E9765F" w14:textId="1B1626FF" w:rsidR="004D0561" w:rsidRDefault="004D0561" w:rsidP="004A3F41">
      <w:pPr>
        <w:spacing w:line="360" w:lineRule="auto"/>
        <w:rPr>
          <w:rFonts w:ascii="Arial" w:hAnsi="Arial" w:cs="Arial"/>
          <w:sz w:val="24"/>
          <w:szCs w:val="24"/>
        </w:rPr>
      </w:pPr>
    </w:p>
    <w:p w14:paraId="3BE2D4E3" w14:textId="080DD08D" w:rsidR="004A3F41" w:rsidRDefault="004A3F41" w:rsidP="004A3F41">
      <w:pPr>
        <w:spacing w:line="360" w:lineRule="auto"/>
        <w:rPr>
          <w:rFonts w:ascii="Arial" w:hAnsi="Arial" w:cs="Arial"/>
          <w:sz w:val="24"/>
          <w:szCs w:val="24"/>
        </w:rPr>
      </w:pPr>
    </w:p>
    <w:p w14:paraId="15065AA9" w14:textId="2FD0CA08" w:rsidR="004A3F41" w:rsidRDefault="004A3F41" w:rsidP="004A3F41">
      <w:pPr>
        <w:spacing w:line="360" w:lineRule="auto"/>
        <w:rPr>
          <w:rFonts w:ascii="Arial" w:hAnsi="Arial" w:cs="Arial"/>
          <w:sz w:val="24"/>
          <w:szCs w:val="24"/>
        </w:rPr>
      </w:pPr>
    </w:p>
    <w:p w14:paraId="77E35711" w14:textId="67900FEC" w:rsidR="004A3F41" w:rsidRDefault="004A3F41" w:rsidP="004A3F41">
      <w:pPr>
        <w:spacing w:line="360" w:lineRule="auto"/>
        <w:rPr>
          <w:rFonts w:ascii="Arial" w:hAnsi="Arial" w:cs="Arial"/>
          <w:sz w:val="24"/>
          <w:szCs w:val="24"/>
        </w:rPr>
      </w:pPr>
    </w:p>
    <w:p w14:paraId="1CBFCE8B" w14:textId="05635D00" w:rsidR="004A3F41" w:rsidRDefault="004A3F41" w:rsidP="004A3F41">
      <w:pPr>
        <w:spacing w:line="360" w:lineRule="auto"/>
        <w:rPr>
          <w:rFonts w:ascii="Arial" w:hAnsi="Arial" w:cs="Arial"/>
          <w:sz w:val="24"/>
          <w:szCs w:val="24"/>
        </w:rPr>
      </w:pPr>
    </w:p>
    <w:p w14:paraId="4FF38CCF" w14:textId="4D6DC9CC" w:rsidR="004A3F41" w:rsidRDefault="004A3F41" w:rsidP="004A3F41">
      <w:pPr>
        <w:spacing w:line="360" w:lineRule="auto"/>
        <w:rPr>
          <w:rFonts w:ascii="Arial" w:hAnsi="Arial" w:cs="Arial"/>
          <w:sz w:val="24"/>
          <w:szCs w:val="24"/>
        </w:rPr>
      </w:pPr>
    </w:p>
    <w:p w14:paraId="07E386D5" w14:textId="3EB84630" w:rsidR="004A3F41" w:rsidRDefault="004A3F41" w:rsidP="004A3F41">
      <w:pPr>
        <w:spacing w:line="360" w:lineRule="auto"/>
        <w:rPr>
          <w:rFonts w:ascii="Arial" w:hAnsi="Arial" w:cs="Arial"/>
          <w:sz w:val="24"/>
          <w:szCs w:val="24"/>
        </w:rPr>
      </w:pPr>
    </w:p>
    <w:p w14:paraId="3E696ABE" w14:textId="6D30C38D" w:rsidR="004A3F41" w:rsidRDefault="004A3F41" w:rsidP="004A3F41">
      <w:pPr>
        <w:spacing w:line="360" w:lineRule="auto"/>
        <w:rPr>
          <w:rFonts w:ascii="Arial" w:hAnsi="Arial" w:cs="Arial"/>
          <w:sz w:val="24"/>
          <w:szCs w:val="24"/>
        </w:rPr>
      </w:pPr>
    </w:p>
    <w:p w14:paraId="02CAF1D6" w14:textId="3EAC4ABA" w:rsidR="004A3F41" w:rsidRDefault="004A3F41" w:rsidP="004A3F41">
      <w:pPr>
        <w:spacing w:line="360" w:lineRule="auto"/>
        <w:rPr>
          <w:rFonts w:ascii="Arial" w:hAnsi="Arial" w:cs="Arial"/>
          <w:sz w:val="24"/>
          <w:szCs w:val="24"/>
        </w:rPr>
      </w:pPr>
    </w:p>
    <w:p w14:paraId="72BB8CF3" w14:textId="201B2CC8" w:rsidR="004A3F41" w:rsidRDefault="004A3F41" w:rsidP="004A3F41">
      <w:pPr>
        <w:spacing w:line="360" w:lineRule="auto"/>
        <w:rPr>
          <w:rFonts w:ascii="Arial" w:hAnsi="Arial" w:cs="Arial"/>
          <w:sz w:val="24"/>
          <w:szCs w:val="24"/>
        </w:rPr>
      </w:pPr>
    </w:p>
    <w:p w14:paraId="4D91BAB7" w14:textId="6AB4D1F3" w:rsidR="004A3F41" w:rsidRDefault="004A3F41" w:rsidP="004A3F41">
      <w:pPr>
        <w:spacing w:line="360" w:lineRule="auto"/>
        <w:rPr>
          <w:rFonts w:ascii="Arial" w:hAnsi="Arial" w:cs="Arial"/>
          <w:sz w:val="24"/>
          <w:szCs w:val="24"/>
        </w:rPr>
      </w:pPr>
    </w:p>
    <w:p w14:paraId="35E73E74" w14:textId="0353C68E" w:rsidR="004A3F41" w:rsidRDefault="004A3F41" w:rsidP="004A3F41">
      <w:pPr>
        <w:spacing w:line="360" w:lineRule="auto"/>
        <w:rPr>
          <w:rFonts w:ascii="Arial" w:hAnsi="Arial" w:cs="Arial"/>
          <w:sz w:val="24"/>
          <w:szCs w:val="24"/>
        </w:rPr>
      </w:pPr>
    </w:p>
    <w:p w14:paraId="3FF4E3F8" w14:textId="30DA6548" w:rsidR="004A3F41" w:rsidRDefault="004A3F41" w:rsidP="004A3F41">
      <w:pPr>
        <w:spacing w:line="360" w:lineRule="auto"/>
        <w:rPr>
          <w:rFonts w:ascii="Arial" w:hAnsi="Arial" w:cs="Arial"/>
          <w:sz w:val="24"/>
          <w:szCs w:val="24"/>
        </w:rPr>
      </w:pPr>
    </w:p>
    <w:p w14:paraId="456C50E0" w14:textId="6767736B" w:rsidR="004A3F41" w:rsidRDefault="004A3F41" w:rsidP="004A3F41">
      <w:pPr>
        <w:spacing w:line="360" w:lineRule="auto"/>
        <w:rPr>
          <w:rFonts w:ascii="Arial" w:hAnsi="Arial" w:cs="Arial"/>
          <w:sz w:val="24"/>
          <w:szCs w:val="24"/>
        </w:rPr>
      </w:pPr>
    </w:p>
    <w:p w14:paraId="06C3CC1B" w14:textId="2079E16E" w:rsidR="004A3F41" w:rsidRDefault="004A3F41" w:rsidP="004A3F41">
      <w:pPr>
        <w:spacing w:line="360" w:lineRule="auto"/>
        <w:rPr>
          <w:rFonts w:ascii="Arial" w:hAnsi="Arial" w:cs="Arial"/>
          <w:sz w:val="24"/>
          <w:szCs w:val="24"/>
        </w:rPr>
      </w:pPr>
    </w:p>
    <w:p w14:paraId="7ECA0695" w14:textId="276B893A" w:rsidR="004A3F41" w:rsidRDefault="004A3F41" w:rsidP="004A3F41">
      <w:pPr>
        <w:spacing w:line="360" w:lineRule="auto"/>
        <w:rPr>
          <w:rFonts w:ascii="Arial" w:hAnsi="Arial" w:cs="Arial"/>
          <w:sz w:val="24"/>
          <w:szCs w:val="24"/>
        </w:rPr>
      </w:pPr>
    </w:p>
    <w:p w14:paraId="637C3CBA" w14:textId="38841BF0" w:rsidR="004A3F41" w:rsidRDefault="004A3F41" w:rsidP="004A3F41">
      <w:pPr>
        <w:spacing w:line="360" w:lineRule="auto"/>
        <w:rPr>
          <w:rFonts w:ascii="Arial" w:hAnsi="Arial" w:cs="Arial"/>
          <w:sz w:val="24"/>
          <w:szCs w:val="24"/>
        </w:rPr>
      </w:pPr>
    </w:p>
    <w:p w14:paraId="3F30A5DF" w14:textId="77777777" w:rsidR="004A3F41" w:rsidRDefault="004A3F41" w:rsidP="004A3F41">
      <w:pPr>
        <w:spacing w:line="360" w:lineRule="auto"/>
        <w:rPr>
          <w:rFonts w:ascii="Arial" w:hAnsi="Arial" w:cs="Arial"/>
          <w:sz w:val="24"/>
          <w:szCs w:val="24"/>
        </w:rPr>
      </w:pPr>
    </w:p>
    <w:p w14:paraId="5EF35E01" w14:textId="62C39F3E" w:rsidR="00510D13" w:rsidRDefault="0001436E" w:rsidP="004A3F41">
      <w:pPr>
        <w:pStyle w:val="Title"/>
        <w:spacing w:line="360" w:lineRule="auto"/>
        <w:rPr>
          <w:rFonts w:ascii="Arial" w:hAnsi="Arial" w:cs="Arial"/>
          <w:sz w:val="28"/>
          <w:szCs w:val="28"/>
        </w:rPr>
      </w:pPr>
      <w:r w:rsidRPr="009F3489">
        <w:rPr>
          <w:rFonts w:ascii="Arial" w:hAnsi="Arial" w:cs="Arial"/>
          <w:sz w:val="28"/>
          <w:szCs w:val="28"/>
        </w:rPr>
        <w:lastRenderedPageBreak/>
        <w:t xml:space="preserve">Chapter 2: </w:t>
      </w:r>
      <w:r w:rsidR="00F7597D" w:rsidRPr="009F3489">
        <w:rPr>
          <w:rFonts w:ascii="Arial" w:hAnsi="Arial" w:cs="Arial"/>
          <w:sz w:val="28"/>
          <w:szCs w:val="28"/>
        </w:rPr>
        <w:t>Literature Review</w:t>
      </w:r>
    </w:p>
    <w:p w14:paraId="4CD134EB" w14:textId="77777777" w:rsidR="00B4568C" w:rsidRDefault="00B4568C" w:rsidP="00B4568C">
      <w:pPr>
        <w:spacing w:line="360" w:lineRule="auto"/>
        <w:rPr>
          <w:rFonts w:ascii="Arial" w:hAnsi="Arial" w:cs="Arial"/>
          <w:i/>
          <w:iCs/>
        </w:rPr>
      </w:pPr>
      <w:bookmarkStart w:id="1" w:name="_Hlk35274655"/>
      <w:bookmarkStart w:id="2" w:name="_Hlk36026803"/>
      <w:r>
        <w:rPr>
          <w:rFonts w:ascii="Arial" w:hAnsi="Arial" w:cs="Arial"/>
          <w:i/>
          <w:iCs/>
        </w:rPr>
        <w:t>2.1 Defining well-being</w:t>
      </w:r>
    </w:p>
    <w:p w14:paraId="10E7FFB4" w14:textId="0C07EC67" w:rsidR="00B4568C" w:rsidRDefault="00B4568C" w:rsidP="00B4568C">
      <w:pPr>
        <w:spacing w:line="360" w:lineRule="auto"/>
        <w:rPr>
          <w:rFonts w:ascii="Arial" w:hAnsi="Arial" w:cs="Arial"/>
        </w:rPr>
      </w:pPr>
      <w:r>
        <w:rPr>
          <w:rFonts w:ascii="Arial" w:hAnsi="Arial" w:cs="Arial"/>
        </w:rPr>
        <w:t xml:space="preserve">The broad umbrella term of well-being has caused debate amongst academics as many identify different components of positive well-being in comparison to giving a definitive definition. The New Economics Foundation (NEF) (2012, p.8) state that ‘well-being can be understood as how people feel and how they function, both on a personal and a social level, and how they evaluate their lives as a whole’. On the other hand, Dodge </w:t>
      </w:r>
      <w:r>
        <w:rPr>
          <w:rFonts w:ascii="Arial" w:hAnsi="Arial" w:cs="Arial"/>
          <w:i/>
          <w:iCs/>
        </w:rPr>
        <w:t xml:space="preserve">et al. </w:t>
      </w:r>
      <w:r>
        <w:rPr>
          <w:rFonts w:ascii="Arial" w:hAnsi="Arial" w:cs="Arial"/>
        </w:rPr>
        <w:t>(2012, p.230) acknowledged the challenge of defining well-being which led to research into the definitions and dimensions of well-being</w:t>
      </w:r>
      <w:r w:rsidR="00A12573">
        <w:rPr>
          <w:rFonts w:ascii="Arial" w:hAnsi="Arial" w:cs="Arial"/>
        </w:rPr>
        <w:t xml:space="preserve"> and</w:t>
      </w:r>
      <w:r>
        <w:rPr>
          <w:rFonts w:ascii="Arial" w:hAnsi="Arial" w:cs="Arial"/>
        </w:rPr>
        <w:t xml:space="preserve"> they concluded that ‘well-being is the balance point between an individual’s resource pool and the challenges faced’. Yet it is important to note that this definition refers to the psychological, social and intellectual resources and challenges which contradicts the definition previously mentioned which focuses primarily on </w:t>
      </w:r>
      <w:r w:rsidR="00D02D06">
        <w:rPr>
          <w:rFonts w:ascii="Arial" w:hAnsi="Arial" w:cs="Arial"/>
        </w:rPr>
        <w:t>emotional</w:t>
      </w:r>
      <w:r>
        <w:rPr>
          <w:rFonts w:ascii="Arial" w:hAnsi="Arial" w:cs="Arial"/>
        </w:rPr>
        <w:t xml:space="preserve"> and social factors. Interestingly, a study of children in the United Kingdom, Spain and Sweden by UNICEF (2011, p.24) who collected the opinions of children when defining well-being which indicated that a ‘good day included spending time with those they love; creative or sporting activities; being outdoors and having fun’. This definition highlights the subjective nature of well-being which differs between both generations and individuals. </w:t>
      </w:r>
    </w:p>
    <w:p w14:paraId="2F49582F" w14:textId="1481962C" w:rsidR="00B4568C" w:rsidRDefault="00B4568C" w:rsidP="00B4568C">
      <w:pPr>
        <w:spacing w:line="360" w:lineRule="auto"/>
        <w:rPr>
          <w:rFonts w:ascii="Arial" w:hAnsi="Arial" w:cs="Arial"/>
        </w:rPr>
      </w:pPr>
      <w:r>
        <w:rPr>
          <w:rFonts w:ascii="Arial" w:hAnsi="Arial" w:cs="Arial"/>
        </w:rPr>
        <w:t xml:space="preserve">Health and well-being has seen a significant increase in its status within education recently as </w:t>
      </w:r>
      <w:r w:rsidR="00433B08">
        <w:rPr>
          <w:rFonts w:ascii="Arial" w:hAnsi="Arial" w:cs="Arial"/>
        </w:rPr>
        <w:t xml:space="preserve">in </w:t>
      </w:r>
      <w:r>
        <w:rPr>
          <w:rFonts w:ascii="Arial" w:hAnsi="Arial" w:cs="Arial"/>
        </w:rPr>
        <w:t xml:space="preserve">Donaldson’s (2015, p.45) recommendations for Welsh curriculum reform he indicated that ‘children and young people need to experience social, emotional and physical well-being to thrive and engage’ which highlights the many aspects of well-being. It is important to note the exclusion of mental well-being within Donaldson’s (2015) recommendations as it is a growing concern for society as an increased number of younger children are being diagnosed with mental ill health (National Health Service, 2018). </w:t>
      </w:r>
      <w:proofErr w:type="gramStart"/>
      <w:r w:rsidR="00433B08">
        <w:rPr>
          <w:rFonts w:ascii="Arial" w:hAnsi="Arial" w:cs="Arial"/>
        </w:rPr>
        <w:t>However</w:t>
      </w:r>
      <w:proofErr w:type="gramEnd"/>
      <w:r>
        <w:rPr>
          <w:rFonts w:ascii="Arial" w:hAnsi="Arial" w:cs="Arial"/>
        </w:rPr>
        <w:t xml:space="preserve"> the Organisation for Economic Co-operation and Development (OECD) identify Mental health as: </w:t>
      </w:r>
    </w:p>
    <w:p w14:paraId="2BC8DAF7" w14:textId="77777777" w:rsidR="00B4568C" w:rsidRDefault="00B4568C" w:rsidP="00B4568C">
      <w:pPr>
        <w:spacing w:line="360" w:lineRule="auto"/>
        <w:ind w:left="1134" w:right="1134"/>
        <w:rPr>
          <w:rFonts w:ascii="Arial" w:hAnsi="Arial" w:cs="Arial"/>
        </w:rPr>
      </w:pPr>
      <w:r>
        <w:rPr>
          <w:rFonts w:ascii="Arial" w:hAnsi="Arial" w:cs="Arial"/>
        </w:rPr>
        <w:t xml:space="preserve">state of wellbeing in which every individual realises his or her own potential, can cope with the normal stresses of life, can work productively and fruitfully, and is able to </w:t>
      </w:r>
      <w:proofErr w:type="gramStart"/>
      <w:r>
        <w:rPr>
          <w:rFonts w:ascii="Arial" w:hAnsi="Arial" w:cs="Arial"/>
        </w:rPr>
        <w:t>make a contribution</w:t>
      </w:r>
      <w:proofErr w:type="gramEnd"/>
      <w:r>
        <w:rPr>
          <w:rFonts w:ascii="Arial" w:hAnsi="Arial" w:cs="Arial"/>
        </w:rPr>
        <w:t xml:space="preserve"> to her or his community.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r>
      <w:r>
        <w:rPr>
          <w:rFonts w:ascii="Arial" w:hAnsi="Arial" w:cs="Arial"/>
        </w:rPr>
        <w:tab/>
        <w:t xml:space="preserve">        (OECD, 2019, p.1)</w:t>
      </w:r>
    </w:p>
    <w:p w14:paraId="5385120B" w14:textId="22810BC3" w:rsidR="00B4568C" w:rsidRDefault="00B4568C" w:rsidP="00B4568C">
      <w:pPr>
        <w:spacing w:line="360" w:lineRule="auto"/>
        <w:rPr>
          <w:rFonts w:ascii="Arial" w:hAnsi="Arial" w:cs="Arial"/>
        </w:rPr>
      </w:pPr>
      <w:r>
        <w:rPr>
          <w:rFonts w:ascii="Arial" w:hAnsi="Arial" w:cs="Arial"/>
        </w:rPr>
        <w:t xml:space="preserve">In contrast, the Welsh Government (2012, p.7) provide a simpler definition which indicates that mental well-being is essentially ‘feeling good and functioning well’ which </w:t>
      </w:r>
      <w:r w:rsidR="008D0F09">
        <w:rPr>
          <w:rFonts w:ascii="Arial" w:hAnsi="Arial" w:cs="Arial"/>
        </w:rPr>
        <w:t xml:space="preserve">echoes that of the NEF (2012) as previously noted </w:t>
      </w:r>
      <w:r w:rsidR="00EF16D7">
        <w:rPr>
          <w:rFonts w:ascii="Arial" w:hAnsi="Arial" w:cs="Arial"/>
        </w:rPr>
        <w:t xml:space="preserve">which </w:t>
      </w:r>
      <w:r>
        <w:rPr>
          <w:rFonts w:ascii="Arial" w:hAnsi="Arial" w:cs="Arial"/>
        </w:rPr>
        <w:t xml:space="preserve">implies that emotional well-being can be </w:t>
      </w:r>
      <w:r>
        <w:rPr>
          <w:rFonts w:ascii="Arial" w:hAnsi="Arial" w:cs="Arial"/>
        </w:rPr>
        <w:lastRenderedPageBreak/>
        <w:t xml:space="preserve">incorporated into mental well-being. Despite the exclusion of mental well-being in the recommendations by Donaldson (2015) mental well-being has been included in the final ‘what matters’ statements for the new curriculum indicating the importance of ensuring learners gain the knowledge, understanding and skills to promote positive mental health (Welsh Government, 2020). </w:t>
      </w:r>
    </w:p>
    <w:p w14:paraId="33120172" w14:textId="77777777" w:rsidR="00B4568C" w:rsidRDefault="00B4568C" w:rsidP="00B4568C">
      <w:pPr>
        <w:spacing w:line="360" w:lineRule="auto"/>
        <w:rPr>
          <w:rFonts w:ascii="Arial" w:hAnsi="Arial" w:cs="Arial"/>
        </w:rPr>
      </w:pPr>
      <w:r>
        <w:rPr>
          <w:rFonts w:ascii="Arial" w:hAnsi="Arial" w:cs="Arial"/>
        </w:rPr>
        <w:t xml:space="preserve">Although defining well-being remains challenging, for the purpose of this research well-being will be defined as promoting social, physical, mental and emotional aspects to ensure there is a balance between an individual’s knowledge and skills to cope with the challenges they may face. </w:t>
      </w:r>
      <w:bookmarkEnd w:id="2"/>
    </w:p>
    <w:p w14:paraId="61B2F0AE" w14:textId="77777777" w:rsidR="00AB1994" w:rsidRDefault="00AB1994" w:rsidP="004A3F41">
      <w:pPr>
        <w:spacing w:line="360" w:lineRule="auto"/>
        <w:rPr>
          <w:rFonts w:ascii="Arial" w:hAnsi="Arial" w:cs="Arial"/>
          <w:i/>
          <w:iCs/>
        </w:rPr>
      </w:pPr>
      <w:r>
        <w:rPr>
          <w:rFonts w:ascii="Arial" w:hAnsi="Arial" w:cs="Arial"/>
          <w:i/>
          <w:iCs/>
        </w:rPr>
        <w:t>2.2 Importance of promoting learners’ well-being in schools</w:t>
      </w:r>
    </w:p>
    <w:p w14:paraId="28C8267E" w14:textId="77777777" w:rsidR="00AB1994" w:rsidRDefault="00AB1994" w:rsidP="004A3F41">
      <w:pPr>
        <w:spacing w:line="360" w:lineRule="auto"/>
        <w:rPr>
          <w:rFonts w:ascii="Arial" w:hAnsi="Arial" w:cs="Arial"/>
        </w:rPr>
      </w:pPr>
      <w:r>
        <w:rPr>
          <w:rFonts w:ascii="Arial" w:hAnsi="Arial" w:cs="Arial"/>
        </w:rPr>
        <w:t xml:space="preserve">The rising levels of mental ill health and obesity in children need to be addressed within the curriculum, although it is important that they do not overshadow social and emotional aspects of well-being. It is crucial that all schools aim to promote and improve the mental well-being of all learners as research conducted by the National Health Service (NHS) (2018) indicates that 1 in 10 primary school aged children have an identifiable mental health condition. However, these statistics represent children and young people in England, it would be beneficial to see a comparison between the countries in the United Kingdom. Although, research suggests there is a rise in mental health problems for learners in Wales as referrals to Child and Adolescent Mental Health Service (CAMHS) nearly doubled between 2010 and 2014 (Mental Health Foundation, 2016). </w:t>
      </w:r>
    </w:p>
    <w:p w14:paraId="21797D1A" w14:textId="7B10BD46" w:rsidR="00AB1994" w:rsidRDefault="00AB1994" w:rsidP="004A3F41">
      <w:pPr>
        <w:spacing w:line="360" w:lineRule="auto"/>
        <w:rPr>
          <w:rFonts w:ascii="Arial" w:hAnsi="Arial" w:cs="Arial"/>
        </w:rPr>
      </w:pPr>
      <w:r>
        <w:rPr>
          <w:rFonts w:ascii="Arial" w:hAnsi="Arial" w:cs="Arial"/>
        </w:rPr>
        <w:t>On the other hand, it is essential that all aspects of well-being are given equal emphasis in the curriculum as a survey conducted by the Children’s Commissioner for Wales (2019</w:t>
      </w:r>
      <w:r w:rsidR="00E34BE0">
        <w:rPr>
          <w:rFonts w:ascii="Arial" w:hAnsi="Arial" w:cs="Arial"/>
        </w:rPr>
        <w:t>a</w:t>
      </w:r>
      <w:r>
        <w:rPr>
          <w:rFonts w:ascii="Arial" w:hAnsi="Arial" w:cs="Arial"/>
        </w:rPr>
        <w:t>) indicated that family problems, bullying and issues with friends were the most concerning influences for 7-11-year olds in Wales</w:t>
      </w:r>
      <w:r w:rsidR="00E10E55">
        <w:rPr>
          <w:rFonts w:ascii="Arial" w:hAnsi="Arial" w:cs="Arial"/>
        </w:rPr>
        <w:t>,</w:t>
      </w:r>
      <w:r>
        <w:rPr>
          <w:rFonts w:ascii="Arial" w:hAnsi="Arial" w:cs="Arial"/>
        </w:rPr>
        <w:t xml:space="preserve"> </w:t>
      </w:r>
      <w:r w:rsidR="00E10E55">
        <w:rPr>
          <w:rFonts w:ascii="Arial" w:hAnsi="Arial" w:cs="Arial"/>
        </w:rPr>
        <w:t>indicating</w:t>
      </w:r>
      <w:r>
        <w:rPr>
          <w:rFonts w:ascii="Arial" w:hAnsi="Arial" w:cs="Arial"/>
        </w:rPr>
        <w:t xml:space="preserve"> a lack of social well-being for Key Stage 2 learners. In addition, </w:t>
      </w:r>
      <w:proofErr w:type="spellStart"/>
      <w:r>
        <w:rPr>
          <w:rFonts w:ascii="Arial" w:hAnsi="Arial" w:cs="Arial"/>
        </w:rPr>
        <w:t>Barrance’s</w:t>
      </w:r>
      <w:proofErr w:type="spellEnd"/>
      <w:r>
        <w:rPr>
          <w:rFonts w:ascii="Arial" w:hAnsi="Arial" w:cs="Arial"/>
        </w:rPr>
        <w:t xml:space="preserve"> (2019) analysis of learners’ experiences and worries in Wales suggested that mental and emotional health, bullying and the effects of social media were top concerns for parents</w:t>
      </w:r>
      <w:r w:rsidR="00172AAE">
        <w:rPr>
          <w:rFonts w:ascii="Arial" w:hAnsi="Arial" w:cs="Arial"/>
        </w:rPr>
        <w:t>,</w:t>
      </w:r>
      <w:r>
        <w:rPr>
          <w:rFonts w:ascii="Arial" w:hAnsi="Arial" w:cs="Arial"/>
        </w:rPr>
        <w:t xml:space="preserve"> whereas practitioners indicated that mental and emotional health, the effects of social media and family problems were the most concerning issues regarding children. This research highlights the importance of ensuring social and emotional well-being is promoted and nurtured throughout schools as it remains a priority for learners. Similarly, Donaldson (2015) indicated the importance of practitioners ensuring they promote social and emotional development and positive relationships by including it in the pedagogical principles.</w:t>
      </w:r>
    </w:p>
    <w:p w14:paraId="4CC1134E" w14:textId="3F0788B5" w:rsidR="00AB1994" w:rsidRDefault="00AB1994" w:rsidP="004A3F41">
      <w:pPr>
        <w:spacing w:line="360" w:lineRule="auto"/>
        <w:rPr>
          <w:rFonts w:ascii="Arial" w:hAnsi="Arial" w:cs="Arial"/>
        </w:rPr>
      </w:pPr>
      <w:r>
        <w:rPr>
          <w:rFonts w:ascii="Arial" w:hAnsi="Arial" w:cs="Arial"/>
        </w:rPr>
        <w:lastRenderedPageBreak/>
        <w:t>To conclude, the growing importance of mental and physical well-being need</w:t>
      </w:r>
      <w:r w:rsidR="00172AAE">
        <w:rPr>
          <w:rFonts w:ascii="Arial" w:hAnsi="Arial" w:cs="Arial"/>
        </w:rPr>
        <w:t xml:space="preserve">s </w:t>
      </w:r>
      <w:r>
        <w:rPr>
          <w:rFonts w:ascii="Arial" w:hAnsi="Arial" w:cs="Arial"/>
        </w:rPr>
        <w:t xml:space="preserve">to be addressed by schools in Wales, although it is important that the social and emotional well-being are further supported by practitioners within the classroom and the curriculum as it remains an issue for learners. </w:t>
      </w:r>
    </w:p>
    <w:p w14:paraId="260E6E68" w14:textId="77777777" w:rsidR="00AB1994" w:rsidRDefault="00AB1994" w:rsidP="004A3F41">
      <w:pPr>
        <w:spacing w:line="360" w:lineRule="auto"/>
        <w:rPr>
          <w:rFonts w:ascii="Arial" w:hAnsi="Arial" w:cs="Arial"/>
          <w:i/>
          <w:iCs/>
        </w:rPr>
      </w:pPr>
      <w:r>
        <w:rPr>
          <w:rFonts w:ascii="Arial" w:hAnsi="Arial" w:cs="Arial"/>
          <w:i/>
          <w:iCs/>
        </w:rPr>
        <w:t>2.3 Importance of promoting practitioners’ well-being in schools</w:t>
      </w:r>
    </w:p>
    <w:p w14:paraId="12AE41CF" w14:textId="1AA656F7" w:rsidR="00AB1994" w:rsidRDefault="00AB1994" w:rsidP="004A3F41">
      <w:pPr>
        <w:spacing w:line="360" w:lineRule="auto"/>
        <w:rPr>
          <w:rFonts w:ascii="Arial" w:hAnsi="Arial" w:cs="Arial"/>
        </w:rPr>
      </w:pPr>
      <w:r>
        <w:rPr>
          <w:rFonts w:ascii="Arial" w:hAnsi="Arial" w:cs="Arial"/>
        </w:rPr>
        <w:t>Practitioners within education face a demanding workload and increasing pressures from senior management, the Local Authority and Estyn. These pressures can be physically, emotionally and mentally draining for practitioners across Wales as supported by Paterson and Grantham (2016) who suggest teaching is a high-pressure occupation often associated with significant levels o</w:t>
      </w:r>
      <w:r w:rsidR="0003228C">
        <w:rPr>
          <w:rFonts w:ascii="Arial" w:hAnsi="Arial" w:cs="Arial"/>
        </w:rPr>
        <w:t>f</w:t>
      </w:r>
      <w:r>
        <w:rPr>
          <w:rFonts w:ascii="Arial" w:hAnsi="Arial" w:cs="Arial"/>
        </w:rPr>
        <w:t xml:space="preserve"> emotional and psychological stress. In addition, a survey of teachers in the United Kingdom conducted by NASUWT (2019) highlighted that 86% felt their job had negatively impacted their well-being. As a result of the increasing demands, a survey conducted by the National Education Union (NEU) (2019</w:t>
      </w:r>
      <w:r w:rsidR="00427E20">
        <w:rPr>
          <w:rFonts w:ascii="Arial" w:hAnsi="Arial" w:cs="Arial"/>
        </w:rPr>
        <w:t>a</w:t>
      </w:r>
      <w:r>
        <w:rPr>
          <w:rFonts w:ascii="Arial" w:hAnsi="Arial" w:cs="Arial"/>
        </w:rPr>
        <w:t xml:space="preserve">) of 8,764 practitioners across the United Kingdom indicted that 40% of the participants intended to leave the profession in the next five years which highlight the significant issue of teacher retention. Although, it is important to acknowledge the small scale of participants in the study as they represent under 2% of the teaching population across the United Kingdom which also include practitioners in primary and secondary settings which suggests they do not represent the views of the majority of practitioners across the United Kingdom (British Educational Suppliers Association, 2019). </w:t>
      </w:r>
    </w:p>
    <w:p w14:paraId="421F5440" w14:textId="21AC5C56" w:rsidR="00AB1994" w:rsidRDefault="005538F8" w:rsidP="004A3F41">
      <w:pPr>
        <w:spacing w:line="360" w:lineRule="auto"/>
        <w:rPr>
          <w:rFonts w:ascii="Arial" w:hAnsi="Arial" w:cs="Arial"/>
        </w:rPr>
      </w:pPr>
      <w:r>
        <w:rPr>
          <w:rFonts w:ascii="Arial" w:hAnsi="Arial" w:cs="Arial"/>
        </w:rPr>
        <w:t xml:space="preserve">Alternatively </w:t>
      </w:r>
      <w:r w:rsidR="003C535C">
        <w:rPr>
          <w:rFonts w:ascii="Arial" w:hAnsi="Arial" w:cs="Arial"/>
        </w:rPr>
        <w:t>s</w:t>
      </w:r>
      <w:r w:rsidR="00AB1994">
        <w:rPr>
          <w:rFonts w:ascii="Arial" w:hAnsi="Arial" w:cs="Arial"/>
        </w:rPr>
        <w:t>enior management may be aware of staff well-being issues although they are not in the position to fully support them due to the priority learners take in schools</w:t>
      </w:r>
      <w:r w:rsidR="00976B09">
        <w:rPr>
          <w:rFonts w:ascii="Arial" w:hAnsi="Arial" w:cs="Arial"/>
        </w:rPr>
        <w:t>,</w:t>
      </w:r>
      <w:r w:rsidR="00AB1994">
        <w:rPr>
          <w:rFonts w:ascii="Arial" w:hAnsi="Arial" w:cs="Arial"/>
        </w:rPr>
        <w:t xml:space="preserve"> an idea further supported by Bradley </w:t>
      </w:r>
      <w:r w:rsidR="00AB1994">
        <w:rPr>
          <w:rFonts w:ascii="Arial" w:hAnsi="Arial" w:cs="Arial"/>
          <w:i/>
          <w:iCs/>
        </w:rPr>
        <w:t xml:space="preserve">et al. </w:t>
      </w:r>
      <w:r w:rsidR="00AB1994">
        <w:rPr>
          <w:rFonts w:ascii="Arial" w:hAnsi="Arial" w:cs="Arial"/>
        </w:rPr>
        <w:t>(2018) who propose that although teacher well-being is significant, it is often forgotten. Similarly, a survey conducted by National F</w:t>
      </w:r>
      <w:r w:rsidR="0061601E">
        <w:rPr>
          <w:rFonts w:ascii="Arial" w:hAnsi="Arial" w:cs="Arial"/>
        </w:rPr>
        <w:t>oundation</w:t>
      </w:r>
      <w:r w:rsidR="00AB1994">
        <w:rPr>
          <w:rFonts w:ascii="Arial" w:hAnsi="Arial" w:cs="Arial"/>
        </w:rPr>
        <w:t xml:space="preserve"> for Educational Research (NFER) (2019) </w:t>
      </w:r>
      <w:r w:rsidR="00F36290">
        <w:rPr>
          <w:rFonts w:ascii="Arial" w:hAnsi="Arial" w:cs="Arial"/>
        </w:rPr>
        <w:t>found that 94% of senior leaders</w:t>
      </w:r>
      <w:r w:rsidR="00AB1994">
        <w:rPr>
          <w:rFonts w:ascii="Arial" w:hAnsi="Arial" w:cs="Arial"/>
        </w:rPr>
        <w:t xml:space="preserve"> suggested that </w:t>
      </w:r>
      <w:r w:rsidR="009212EC">
        <w:rPr>
          <w:rFonts w:ascii="Arial" w:hAnsi="Arial" w:cs="Arial"/>
        </w:rPr>
        <w:t>practitioners’ workload had increased due to the</w:t>
      </w:r>
      <w:r w:rsidR="00AB1994">
        <w:rPr>
          <w:rFonts w:ascii="Arial" w:hAnsi="Arial" w:cs="Arial"/>
        </w:rPr>
        <w:t xml:space="preserve"> need to support and promote learners’ mental health and well-bein</w:t>
      </w:r>
      <w:r w:rsidR="00C03641">
        <w:rPr>
          <w:rFonts w:ascii="Arial" w:hAnsi="Arial" w:cs="Arial"/>
        </w:rPr>
        <w:t>g</w:t>
      </w:r>
      <w:r w:rsidR="00AB1994">
        <w:rPr>
          <w:rFonts w:ascii="Arial" w:hAnsi="Arial" w:cs="Arial"/>
        </w:rPr>
        <w:t>. In contrast, Estyn (2019</w:t>
      </w:r>
      <w:r w:rsidR="00AE1305">
        <w:rPr>
          <w:rFonts w:ascii="Arial" w:hAnsi="Arial" w:cs="Arial"/>
        </w:rPr>
        <w:t>b</w:t>
      </w:r>
      <w:r w:rsidR="00AB1994">
        <w:rPr>
          <w:rFonts w:ascii="Arial" w:hAnsi="Arial" w:cs="Arial"/>
        </w:rPr>
        <w:t xml:space="preserve">) suggest that schools that effectively support pupil well-being tend to promote staff well-being which contradicts the findings of NFER (2019) which highlighted the direct impact on teachers when supporting learners’ well-being. </w:t>
      </w:r>
    </w:p>
    <w:p w14:paraId="46F001FA" w14:textId="77777777" w:rsidR="00AB1994" w:rsidRDefault="00AB1994" w:rsidP="004A3F41">
      <w:pPr>
        <w:spacing w:line="360" w:lineRule="auto"/>
        <w:rPr>
          <w:rFonts w:ascii="Arial" w:hAnsi="Arial" w:cs="Arial"/>
        </w:rPr>
      </w:pPr>
      <w:r>
        <w:rPr>
          <w:rFonts w:ascii="Arial" w:hAnsi="Arial" w:cs="Arial"/>
        </w:rPr>
        <w:t xml:space="preserve">Considering all of this evidence it seems that the effectiveness of teachers can be negatively impacted by the increasing demands of the workload which causes a damaging effect on the individual’s well-being. Therefore, it is essential that schools begin to implement strategies that promote practitioners’ well-being to ensure maximum staff recruitment and retention. </w:t>
      </w:r>
    </w:p>
    <w:p w14:paraId="0088AECA" w14:textId="77777777" w:rsidR="00AB1994" w:rsidRDefault="00AB1994" w:rsidP="004A3F41">
      <w:pPr>
        <w:spacing w:line="360" w:lineRule="auto"/>
        <w:rPr>
          <w:rFonts w:ascii="Arial" w:hAnsi="Arial" w:cs="Arial"/>
          <w:i/>
          <w:iCs/>
        </w:rPr>
      </w:pPr>
      <w:r>
        <w:rPr>
          <w:rFonts w:ascii="Arial" w:hAnsi="Arial" w:cs="Arial"/>
          <w:i/>
          <w:iCs/>
        </w:rPr>
        <w:lastRenderedPageBreak/>
        <w:t>2.4 The benefits of promoting well-being in schools</w:t>
      </w:r>
    </w:p>
    <w:p w14:paraId="16A61C21" w14:textId="1EB87BDE" w:rsidR="00AB1994" w:rsidRDefault="00AB1994" w:rsidP="004A3F41">
      <w:pPr>
        <w:spacing w:line="360" w:lineRule="auto"/>
        <w:rPr>
          <w:rFonts w:ascii="Arial" w:hAnsi="Arial" w:cs="Arial"/>
        </w:rPr>
      </w:pPr>
      <w:r>
        <w:rPr>
          <w:noProof/>
        </w:rPr>
        <w:drawing>
          <wp:anchor distT="0" distB="0" distL="114300" distR="114300" simplePos="0" relativeHeight="251662336" behindDoc="0" locked="0" layoutInCell="1" allowOverlap="1" wp14:anchorId="3C1718EC" wp14:editId="1ACC150A">
            <wp:simplePos x="0" y="0"/>
            <wp:positionH relativeFrom="column">
              <wp:posOffset>3083560</wp:posOffset>
            </wp:positionH>
            <wp:positionV relativeFrom="paragraph">
              <wp:posOffset>666115</wp:posOffset>
            </wp:positionV>
            <wp:extent cx="2867025" cy="1656080"/>
            <wp:effectExtent l="0" t="0" r="9525"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14293" t="26306" r="43996" b="30836"/>
                    <a:stretch>
                      <a:fillRect/>
                    </a:stretch>
                  </pic:blipFill>
                  <pic:spPr bwMode="auto">
                    <a:xfrm>
                      <a:off x="0" y="0"/>
                      <a:ext cx="2867025" cy="16560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0" behindDoc="0" locked="0" layoutInCell="1" allowOverlap="1" wp14:anchorId="5D23E7C8" wp14:editId="0FA6296D">
                <wp:simplePos x="0" y="0"/>
                <wp:positionH relativeFrom="column">
                  <wp:posOffset>3084195</wp:posOffset>
                </wp:positionH>
                <wp:positionV relativeFrom="paragraph">
                  <wp:posOffset>2326005</wp:posOffset>
                </wp:positionV>
                <wp:extent cx="2867025" cy="425450"/>
                <wp:effectExtent l="0" t="0" r="9525" b="0"/>
                <wp:wrapSquare wrapText="bothSides"/>
                <wp:docPr id="9" name="Text Box 9"/>
                <wp:cNvGraphicFramePr/>
                <a:graphic xmlns:a="http://schemas.openxmlformats.org/drawingml/2006/main">
                  <a:graphicData uri="http://schemas.microsoft.com/office/word/2010/wordprocessingShape">
                    <wps:wsp>
                      <wps:cNvSpPr txBox="1"/>
                      <wps:spPr>
                        <a:xfrm>
                          <a:off x="0" y="0"/>
                          <a:ext cx="2867025" cy="405765"/>
                        </a:xfrm>
                        <a:prstGeom prst="rect">
                          <a:avLst/>
                        </a:prstGeom>
                        <a:solidFill>
                          <a:prstClr val="white"/>
                        </a:solidFill>
                        <a:ln>
                          <a:noFill/>
                        </a:ln>
                      </wps:spPr>
                      <wps:txbx>
                        <w:txbxContent>
                          <w:p w14:paraId="457FB986" w14:textId="77777777" w:rsidR="00CB4AFB" w:rsidRDefault="00CB4AFB" w:rsidP="00AB1994">
                            <w:pPr>
                              <w:pStyle w:val="Caption"/>
                              <w:rPr>
                                <w:b w:val="0"/>
                                <w:bCs w:val="0"/>
                                <w:noProof/>
                                <w:color w:val="auto"/>
                              </w:rPr>
                            </w:pPr>
                            <w:r>
                              <w:rPr>
                                <w:b w:val="0"/>
                                <w:bCs w:val="0"/>
                                <w:color w:val="auto"/>
                              </w:rPr>
                              <w:t>Figure 2.1: Maslow's (1943, as cited in McLeod, 2018) hierarchy of needs</w:t>
                            </w:r>
                            <w:r>
                              <w:rPr>
                                <w:b w:val="0"/>
                                <w:bCs w:val="0"/>
                                <w:noProof/>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5D23E7C8" id="_x0000_t202" coordsize="21600,21600" o:spt="202" path="m,l,21600r21600,l21600,xe">
                <v:stroke joinstyle="miter"/>
                <v:path gradientshapeok="t" o:connecttype="rect"/>
              </v:shapetype>
              <v:shape id="Text Box 9" o:spid="_x0000_s1026" type="#_x0000_t202" style="position:absolute;margin-left:242.85pt;margin-top:183.15pt;width:225.75pt;height:3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" stroked="f">
                <v:textbox style="mso-fit-shape-to-text:t" inset="0,0,0,0">
                  <w:txbxContent>
                    <w:p w14:paraId="457FB986" w14:textId="77777777" w:rsidR="00CB4AFB" w:rsidRDefault="00CB4AFB" w:rsidP="00AB1994">
                      <w:pPr>
                        <w:pStyle w:val="Caption"/>
                        <w:rPr>
                          <w:b w:val="0"/>
                          <w:bCs w:val="0"/>
                          <w:noProof/>
                          <w:color w:val="auto"/>
                        </w:rPr>
                      </w:pPr>
                      <w:r>
                        <w:rPr>
                          <w:b w:val="0"/>
                          <w:bCs w:val="0"/>
                          <w:color w:val="auto"/>
                        </w:rPr>
                        <w:t>Figure 2.1: Maslow's (1943, as cited in McLeod, 2018) hierarchy of needs</w:t>
                      </w:r>
                      <w:r>
                        <w:rPr>
                          <w:b w:val="0"/>
                          <w:bCs w:val="0"/>
                          <w:noProof/>
                          <w:color w:val="auto"/>
                        </w:rPr>
                        <w:t>.</w:t>
                      </w:r>
                    </w:p>
                  </w:txbxContent>
                </v:textbox>
                <w10:wrap type="square"/>
              </v:shape>
            </w:pict>
          </mc:Fallback>
        </mc:AlternateContent>
      </w:r>
      <w:r>
        <w:rPr>
          <w:rFonts w:ascii="Arial" w:hAnsi="Arial" w:cs="Arial"/>
        </w:rPr>
        <w:t xml:space="preserve">Promoting well-being amongst practitioners and learners can have a positive impact on academic and work performance as </w:t>
      </w:r>
      <w:proofErr w:type="spellStart"/>
      <w:r>
        <w:rPr>
          <w:rFonts w:ascii="Arial" w:hAnsi="Arial" w:cs="Arial"/>
        </w:rPr>
        <w:t>Kansky</w:t>
      </w:r>
      <w:proofErr w:type="spellEnd"/>
      <w:r>
        <w:rPr>
          <w:rFonts w:ascii="Arial" w:hAnsi="Arial" w:cs="Arial"/>
        </w:rPr>
        <w:t xml:space="preserve"> and Diener (2017) suggest high levels of well-being are often associated with social relationships, physical activity, mental health, academic or work performance, creativity and citizenship. Furthermore, Maslow (1943, as cited in McLeod, 2018) indicates the needs of both adults and children that need to be met before they can achieve. The hierarchy of the needs highlights how basic needs are required before learners can progress. The levels include physiological needs, safety, love and belonging, self-esteem and self-actualisation as shown in Figure 2.1. In addition, Public Health England (2014) suggest that developing learners’ emotional and social skills can have a significant impact on their attainment. This idea is echoed by the Welsh </w:t>
      </w:r>
      <w:r w:rsidR="00E93CB1">
        <w:rPr>
          <w:rFonts w:ascii="Arial" w:hAnsi="Arial" w:cs="Arial"/>
        </w:rPr>
        <w:t xml:space="preserve">Assembly </w:t>
      </w:r>
      <w:r>
        <w:rPr>
          <w:rFonts w:ascii="Arial" w:hAnsi="Arial" w:cs="Arial"/>
        </w:rPr>
        <w:t xml:space="preserve">Government (2010) who suggest that supporting emotional and mental health in schools can improve teaching and learning experiences, behaviour and attendance and staff recruitment and retention. </w:t>
      </w:r>
    </w:p>
    <w:p w14:paraId="7D91DFEC" w14:textId="77777777" w:rsidR="00AB1994" w:rsidRDefault="00AB1994" w:rsidP="004A3F41">
      <w:pPr>
        <w:spacing w:line="360" w:lineRule="auto"/>
        <w:rPr>
          <w:rFonts w:ascii="Arial" w:hAnsi="Arial" w:cs="Arial"/>
          <w:i/>
          <w:iCs/>
        </w:rPr>
      </w:pPr>
      <w:r>
        <w:rPr>
          <w:rFonts w:ascii="Arial" w:hAnsi="Arial" w:cs="Arial"/>
          <w:i/>
          <w:iCs/>
        </w:rPr>
        <w:t>2.5 Challenges of promoting well-being in schools</w:t>
      </w:r>
    </w:p>
    <w:p w14:paraId="60486671" w14:textId="75AF6023" w:rsidR="00AB1994" w:rsidRDefault="00AB1994" w:rsidP="004A3F41">
      <w:pPr>
        <w:spacing w:line="360" w:lineRule="auto"/>
        <w:rPr>
          <w:rFonts w:ascii="Arial" w:hAnsi="Arial" w:cs="Arial"/>
        </w:rPr>
      </w:pPr>
      <w:r>
        <w:rPr>
          <w:rFonts w:ascii="Arial" w:hAnsi="Arial" w:cs="Arial"/>
        </w:rPr>
        <w:t xml:space="preserve">Well-being remains difficult to accurately measure in schools as well-being is measured through the subjective eye of the individual. In particular, measuring children’s well-being poses additional challenges due to the sensitivity of their emotions and their knowledge and understanding of well-being as learners over the age of seven or eight are capable of answering the questions (Public Health England, 2015). Although, by engaging in continuous monitoring of well-being paired with effective teaching and learning opportunities that empower learners with the knowledge and understanding of the indicators of positive well-being. This idea is encouraged by the Health and </w:t>
      </w:r>
      <w:r w:rsidR="006D0EFB">
        <w:rPr>
          <w:rFonts w:ascii="Arial" w:hAnsi="Arial" w:cs="Arial"/>
        </w:rPr>
        <w:t>Attainment</w:t>
      </w:r>
      <w:r>
        <w:rPr>
          <w:rFonts w:ascii="Arial" w:hAnsi="Arial" w:cs="Arial"/>
        </w:rPr>
        <w:t xml:space="preserve"> of Pupils in a Primary Education Network (HAPPEN) (2020) who advocate good practice where the data collected through a pupil survey can be utilised to implement curriculum changes that address common issues raised. </w:t>
      </w:r>
    </w:p>
    <w:p w14:paraId="548EEF77" w14:textId="69FDD9B8" w:rsidR="00AB1994" w:rsidRDefault="00AB1994" w:rsidP="004A3F41">
      <w:pPr>
        <w:spacing w:line="360" w:lineRule="auto"/>
        <w:rPr>
          <w:rFonts w:ascii="Arial" w:hAnsi="Arial" w:cs="Arial"/>
        </w:rPr>
      </w:pPr>
      <w:r>
        <w:rPr>
          <w:rFonts w:ascii="Arial" w:hAnsi="Arial" w:cs="Arial"/>
        </w:rPr>
        <w:t>In addition, schools struggle to arrange practitioners’ professional development opportunities which can have significant benefits to</w:t>
      </w:r>
      <w:r w:rsidR="00826BB4">
        <w:rPr>
          <w:rFonts w:ascii="Arial" w:hAnsi="Arial" w:cs="Arial"/>
        </w:rPr>
        <w:t>o</w:t>
      </w:r>
      <w:r>
        <w:rPr>
          <w:rFonts w:ascii="Arial" w:hAnsi="Arial" w:cs="Arial"/>
        </w:rPr>
        <w:t xml:space="preserve"> as there is often a cost to the course alongside covering the cost of the practitioner being out of the classroom.  This idea is supported by the Education Workforce Council’s (2017) survey of teachers in Wales which indicated that </w:t>
      </w:r>
      <w:r>
        <w:rPr>
          <w:rFonts w:ascii="Arial" w:hAnsi="Arial" w:cs="Arial"/>
        </w:rPr>
        <w:lastRenderedPageBreak/>
        <w:t xml:space="preserve">cost and time restraints were the most significant barriers to accessing professional development opportunities. </w:t>
      </w:r>
    </w:p>
    <w:p w14:paraId="0A859016" w14:textId="77777777" w:rsidR="00AB1994" w:rsidRDefault="00AB1994" w:rsidP="004A3F41">
      <w:pPr>
        <w:spacing w:line="360" w:lineRule="auto"/>
        <w:rPr>
          <w:rFonts w:ascii="Arial" w:hAnsi="Arial" w:cs="Arial"/>
          <w:i/>
          <w:iCs/>
        </w:rPr>
      </w:pPr>
      <w:r>
        <w:rPr>
          <w:rFonts w:ascii="Arial" w:hAnsi="Arial" w:cs="Arial"/>
          <w:i/>
          <w:iCs/>
        </w:rPr>
        <w:t xml:space="preserve">2.6 Approaches to supporting practitioners and learners’ well-being </w:t>
      </w:r>
    </w:p>
    <w:p w14:paraId="40F54607" w14:textId="4043691C" w:rsidR="00AB1994" w:rsidRDefault="00AB1994" w:rsidP="004A3F41">
      <w:pPr>
        <w:spacing w:line="360" w:lineRule="auto"/>
        <w:rPr>
          <w:rFonts w:ascii="Arial" w:hAnsi="Arial" w:cs="Arial"/>
        </w:rPr>
      </w:pPr>
      <w:r>
        <w:rPr>
          <w:rFonts w:ascii="Arial" w:hAnsi="Arial" w:cs="Arial"/>
        </w:rPr>
        <w:t>The NEF (2011) introduced the five ways to well-being with the aim to improve mental health and well-being which include connect, be active, take notice, keep learning and give. The National Health Service (NHS) (2019) advocate the use of the five ways to well-being which has been adopted as one of the tools to boost mental health and well-being. The tool shows similarities to a model previously advocated by Mosley (199</w:t>
      </w:r>
      <w:r w:rsidR="00623FD5">
        <w:rPr>
          <w:rFonts w:ascii="Arial" w:hAnsi="Arial" w:cs="Arial"/>
        </w:rPr>
        <w:t>6</w:t>
      </w:r>
      <w:r>
        <w:rPr>
          <w:rFonts w:ascii="Arial" w:hAnsi="Arial" w:cs="Arial"/>
        </w:rPr>
        <w:t>) who suggests the ‘five wells of well-being’ promote positive well-being. The wells include intellectual, creative, spiritual, emotional and social</w:t>
      </w:r>
      <w:r w:rsidR="003F34AD">
        <w:rPr>
          <w:rFonts w:ascii="Arial" w:hAnsi="Arial" w:cs="Arial"/>
        </w:rPr>
        <w:t>,</w:t>
      </w:r>
      <w:r>
        <w:rPr>
          <w:rFonts w:ascii="Arial" w:hAnsi="Arial" w:cs="Arial"/>
        </w:rPr>
        <w:t xml:space="preserve"> highlighting the similarities to the areas promoted by the National Health Service. </w:t>
      </w:r>
    </w:p>
    <w:p w14:paraId="1C8C5090" w14:textId="77777777" w:rsidR="00AB1994" w:rsidRDefault="00AB1994" w:rsidP="004A3F41">
      <w:pPr>
        <w:spacing w:line="360" w:lineRule="auto"/>
        <w:rPr>
          <w:rFonts w:ascii="Arial" w:hAnsi="Arial" w:cs="Arial"/>
          <w:i/>
          <w:iCs/>
        </w:rPr>
      </w:pPr>
      <w:r>
        <w:rPr>
          <w:rFonts w:ascii="Arial" w:hAnsi="Arial" w:cs="Arial"/>
          <w:i/>
          <w:iCs/>
        </w:rPr>
        <w:t>2.6.1 Emotional and social well-being</w:t>
      </w:r>
    </w:p>
    <w:p w14:paraId="4DFB6BDE" w14:textId="4EBBFBBC" w:rsidR="00AB1994" w:rsidRDefault="00AB1994" w:rsidP="004A3F41">
      <w:pPr>
        <w:spacing w:line="360" w:lineRule="auto"/>
        <w:rPr>
          <w:rFonts w:ascii="Arial" w:hAnsi="Arial" w:cs="Arial"/>
        </w:rPr>
      </w:pPr>
      <w:r>
        <w:rPr>
          <w:rFonts w:ascii="Arial" w:hAnsi="Arial" w:cs="Arial"/>
        </w:rPr>
        <w:t>Emotional Literacy Support Assistants (ELSA) have been introduced to schools across Wales to improve learners’ emotional literacy. Hills (2016) indicates the core themes of an effective ELSA programme include a therapeutic relationship between the ELSA and the learner, dealing with feelings and building resilience. Estyn (2018</w:t>
      </w:r>
      <w:r w:rsidR="00120EC6">
        <w:rPr>
          <w:rFonts w:ascii="Arial" w:hAnsi="Arial" w:cs="Arial"/>
        </w:rPr>
        <w:t>b</w:t>
      </w:r>
      <w:r>
        <w:rPr>
          <w:rFonts w:ascii="Arial" w:hAnsi="Arial" w:cs="Arial"/>
        </w:rPr>
        <w:t xml:space="preserve">) champion good practice where the school use ELSA to develop emotional literacy skills to improve learners’ well-being. Furthermore, Wilding and Claridge (2016) and Pickering, Lambeth and Woodcock (2019) highlight the individual nature of the ELSA programme and the way in which the programme can be adapted to suit the individual needs of learners.  In addition, </w:t>
      </w:r>
      <w:proofErr w:type="spellStart"/>
      <w:r>
        <w:rPr>
          <w:rFonts w:ascii="Arial" w:hAnsi="Arial" w:cs="Arial"/>
        </w:rPr>
        <w:t>Shutton</w:t>
      </w:r>
      <w:proofErr w:type="spellEnd"/>
      <w:r>
        <w:rPr>
          <w:rFonts w:ascii="Arial" w:hAnsi="Arial" w:cs="Arial"/>
        </w:rPr>
        <w:t xml:space="preserve"> and Burton (2019) and Goswami (201</w:t>
      </w:r>
      <w:r w:rsidR="00E71E7E">
        <w:rPr>
          <w:rFonts w:ascii="Arial" w:hAnsi="Arial" w:cs="Arial"/>
        </w:rPr>
        <w:t>2</w:t>
      </w:r>
      <w:r>
        <w:rPr>
          <w:rFonts w:ascii="Arial" w:hAnsi="Arial" w:cs="Arial"/>
        </w:rPr>
        <w:t xml:space="preserve">) indicate the importance of building positive relationships as it encourages a sense of belonging for learners as they begin to develop trust with peers and adults in the classroom. </w:t>
      </w:r>
    </w:p>
    <w:p w14:paraId="41660F65" w14:textId="036438BF" w:rsidR="00AB1994" w:rsidRDefault="00AB1994" w:rsidP="004A3F41">
      <w:pPr>
        <w:spacing w:line="360" w:lineRule="auto"/>
        <w:rPr>
          <w:rFonts w:ascii="Arial" w:hAnsi="Arial" w:cs="Arial"/>
        </w:rPr>
      </w:pPr>
      <w:r>
        <w:rPr>
          <w:rFonts w:ascii="Arial" w:hAnsi="Arial" w:cs="Arial"/>
        </w:rPr>
        <w:t>On the other hand, to improve practitioners’ emotional and social well-being</w:t>
      </w:r>
      <w:r w:rsidR="005E0D4C">
        <w:rPr>
          <w:rFonts w:ascii="Arial" w:hAnsi="Arial" w:cs="Arial"/>
        </w:rPr>
        <w:t>,</w:t>
      </w:r>
      <w:r>
        <w:rPr>
          <w:rFonts w:ascii="Arial" w:hAnsi="Arial" w:cs="Arial"/>
        </w:rPr>
        <w:t xml:space="preserve"> schools promote the development of positive student-teacher relationships as Estyn (2018</w:t>
      </w:r>
      <w:r w:rsidR="00E57663">
        <w:rPr>
          <w:rFonts w:ascii="Arial" w:hAnsi="Arial" w:cs="Arial"/>
        </w:rPr>
        <w:t>a</w:t>
      </w:r>
      <w:r>
        <w:rPr>
          <w:rFonts w:ascii="Arial" w:hAnsi="Arial" w:cs="Arial"/>
        </w:rPr>
        <w:t xml:space="preserve">) champion the use of regular circle time activities to nurture student-teacher relationships. </w:t>
      </w:r>
      <w:proofErr w:type="spellStart"/>
      <w:r>
        <w:rPr>
          <w:rFonts w:ascii="Arial" w:hAnsi="Arial" w:cs="Arial"/>
        </w:rPr>
        <w:t>Chanfrreau</w:t>
      </w:r>
      <w:proofErr w:type="spellEnd"/>
      <w:r>
        <w:rPr>
          <w:rFonts w:ascii="Arial" w:hAnsi="Arial" w:cs="Arial"/>
        </w:rPr>
        <w:t xml:space="preserve"> </w:t>
      </w:r>
      <w:r>
        <w:rPr>
          <w:rFonts w:ascii="Arial" w:hAnsi="Arial" w:cs="Arial"/>
          <w:i/>
          <w:iCs/>
        </w:rPr>
        <w:t xml:space="preserve">et al. </w:t>
      </w:r>
      <w:r>
        <w:rPr>
          <w:rFonts w:ascii="Arial" w:hAnsi="Arial" w:cs="Arial"/>
        </w:rPr>
        <w:t xml:space="preserve">(2013) indicated the importance of social relationships as a key factor for positive well-being in people of all ages. Furthermore, a longitudinal study conducted by </w:t>
      </w:r>
      <w:proofErr w:type="spellStart"/>
      <w:r>
        <w:rPr>
          <w:rFonts w:ascii="Arial" w:hAnsi="Arial" w:cs="Arial"/>
        </w:rPr>
        <w:t>Aldrup</w:t>
      </w:r>
      <w:proofErr w:type="spellEnd"/>
      <w:r>
        <w:rPr>
          <w:rFonts w:ascii="Arial" w:hAnsi="Arial" w:cs="Arial"/>
        </w:rPr>
        <w:t xml:space="preserve"> </w:t>
      </w:r>
      <w:r>
        <w:rPr>
          <w:rFonts w:ascii="Arial" w:hAnsi="Arial" w:cs="Arial"/>
          <w:i/>
          <w:iCs/>
        </w:rPr>
        <w:t xml:space="preserve">et al. </w:t>
      </w:r>
      <w:r>
        <w:rPr>
          <w:rFonts w:ascii="Arial" w:hAnsi="Arial" w:cs="Arial"/>
        </w:rPr>
        <w:t xml:space="preserve">(2018) suggested that building strong teacher-student relationships within the classroom would have a significant impact on improving practitioners’ well-being as they found positive relationships reduced practitioners’ emotional exhaustion. Whereas research into teacher well-being by </w:t>
      </w:r>
      <w:proofErr w:type="spellStart"/>
      <w:r>
        <w:rPr>
          <w:rFonts w:ascii="Arial" w:hAnsi="Arial" w:cs="Arial"/>
        </w:rPr>
        <w:t>Wigford</w:t>
      </w:r>
      <w:proofErr w:type="spellEnd"/>
      <w:r>
        <w:rPr>
          <w:rFonts w:ascii="Arial" w:hAnsi="Arial" w:cs="Arial"/>
        </w:rPr>
        <w:t xml:space="preserve"> and Higgins (2019) suggests that the work environment, appreciation, relationships and belonging are key aspects that contributed to teachers’ well-being. This study indicates that althoug</w:t>
      </w:r>
      <w:r w:rsidR="00754C36">
        <w:rPr>
          <w:rFonts w:ascii="Arial" w:hAnsi="Arial" w:cs="Arial"/>
        </w:rPr>
        <w:t>h</w:t>
      </w:r>
      <w:r>
        <w:rPr>
          <w:rFonts w:ascii="Arial" w:hAnsi="Arial" w:cs="Arial"/>
        </w:rPr>
        <w:t xml:space="preserve"> relationships are crucial to improve levels of </w:t>
      </w:r>
      <w:r>
        <w:rPr>
          <w:rFonts w:ascii="Arial" w:hAnsi="Arial" w:cs="Arial"/>
        </w:rPr>
        <w:lastRenderedPageBreak/>
        <w:t xml:space="preserve">practitioners’ well-being there are also other contributing factors. The study consisted of teaching staff, varying between teaching assistants to teachers in leadership roles, across 10 countries working in International Schools teaching a broad range of age groups from 0-18 which gives a wide representation of the education profession. </w:t>
      </w:r>
    </w:p>
    <w:p w14:paraId="0369772D" w14:textId="77777777" w:rsidR="00AB1994" w:rsidRDefault="00AB1994" w:rsidP="004A3F41">
      <w:pPr>
        <w:spacing w:line="360" w:lineRule="auto"/>
        <w:rPr>
          <w:rFonts w:ascii="Arial" w:hAnsi="Arial" w:cs="Arial"/>
          <w:i/>
          <w:iCs/>
        </w:rPr>
      </w:pPr>
      <w:r>
        <w:rPr>
          <w:rFonts w:ascii="Arial" w:hAnsi="Arial" w:cs="Arial"/>
          <w:i/>
          <w:iCs/>
        </w:rPr>
        <w:t xml:space="preserve">2.6.2 Mental well-being </w:t>
      </w:r>
    </w:p>
    <w:p w14:paraId="000DB8E4" w14:textId="595B3C5D" w:rsidR="00AB1994" w:rsidRDefault="00AB1994" w:rsidP="004A3F41">
      <w:pPr>
        <w:spacing w:line="360" w:lineRule="auto"/>
        <w:rPr>
          <w:rFonts w:ascii="Arial" w:hAnsi="Arial" w:cs="Arial"/>
        </w:rPr>
      </w:pPr>
      <w:r>
        <w:rPr>
          <w:rFonts w:ascii="Arial" w:hAnsi="Arial" w:cs="Arial"/>
        </w:rPr>
        <w:t>Supporting mental well-being in schools is highly beneficial as Estyn (2017) advocate good practice where the school use PASS data to tailor the curriculum to suit the needs of the learners</w:t>
      </w:r>
      <w:r w:rsidR="00CA3013">
        <w:rPr>
          <w:rFonts w:ascii="Arial" w:hAnsi="Arial" w:cs="Arial"/>
        </w:rPr>
        <w:t>. T</w:t>
      </w:r>
      <w:r>
        <w:rPr>
          <w:rFonts w:ascii="Arial" w:hAnsi="Arial" w:cs="Arial"/>
        </w:rPr>
        <w:t xml:space="preserve">he school delivered teaching and learning experiences that focused on sleep, mindfulness and counselling to support </w:t>
      </w:r>
      <w:proofErr w:type="gramStart"/>
      <w:r>
        <w:rPr>
          <w:rFonts w:ascii="Arial" w:hAnsi="Arial" w:cs="Arial"/>
        </w:rPr>
        <w:t>learners</w:t>
      </w:r>
      <w:proofErr w:type="gramEnd"/>
      <w:r>
        <w:rPr>
          <w:rFonts w:ascii="Arial" w:hAnsi="Arial" w:cs="Arial"/>
        </w:rPr>
        <w:t xml:space="preserve"> well-being. Similar strategies have been used to improve the mental well-being of staff as Estyn (2011) recognise good practice where the senior leadership team organise a health therapist to deliver a range of relaxation techniques which have improved well-being and reduced stress levels. The school have also noted the positive impact on learners’ attainment. In a similar vein, Mentally Healthy Schools (2020) suggest that providing mindfulness and meditation for staff can be beneficial to their well-being. </w:t>
      </w:r>
    </w:p>
    <w:p w14:paraId="297AB781" w14:textId="77777777" w:rsidR="00AB1994" w:rsidRDefault="00AB1994" w:rsidP="004A3F41">
      <w:pPr>
        <w:spacing w:line="360" w:lineRule="auto"/>
        <w:rPr>
          <w:rFonts w:ascii="Arial" w:hAnsi="Arial" w:cs="Arial"/>
          <w:i/>
          <w:iCs/>
        </w:rPr>
      </w:pPr>
      <w:r>
        <w:rPr>
          <w:rFonts w:ascii="Arial" w:hAnsi="Arial" w:cs="Arial"/>
          <w:i/>
          <w:iCs/>
        </w:rPr>
        <w:t>2.6.3 Physical well-being</w:t>
      </w:r>
    </w:p>
    <w:p w14:paraId="63DE9DF0" w14:textId="02B5CA00" w:rsidR="00AB1994" w:rsidRDefault="00AB1994" w:rsidP="004A3F41">
      <w:pPr>
        <w:spacing w:line="360" w:lineRule="auto"/>
        <w:rPr>
          <w:rFonts w:ascii="Arial" w:hAnsi="Arial" w:cs="Arial"/>
        </w:rPr>
      </w:pPr>
      <w:r>
        <w:rPr>
          <w:rFonts w:ascii="Arial" w:hAnsi="Arial" w:cs="Arial"/>
        </w:rPr>
        <w:t xml:space="preserve">A recent report published by the Royal College of Paediatrics and Child Health (2020) suggested that child obesity rates in Wales are increasing </w:t>
      </w:r>
      <w:r w:rsidR="005330AD">
        <w:rPr>
          <w:rFonts w:ascii="Arial" w:hAnsi="Arial" w:cs="Arial"/>
        </w:rPr>
        <w:t xml:space="preserve">and </w:t>
      </w:r>
      <w:r>
        <w:rPr>
          <w:rFonts w:ascii="Arial" w:hAnsi="Arial" w:cs="Arial"/>
        </w:rPr>
        <w:t xml:space="preserve">as a result they recommend that schools implement daily physical activity into the school day. Estyn (2016) advocate good practice where the school engage all learners in the ‘100-mile club’ which encourages daily participation in running activities to achieve a small incentive at completion. The school suggest the implementation of this strategy has improved concentration, fitness levels and academic attainment of the learners. This idea is further supported by Biddle, </w:t>
      </w:r>
      <w:proofErr w:type="spellStart"/>
      <w:r>
        <w:rPr>
          <w:rFonts w:ascii="Arial" w:hAnsi="Arial" w:cs="Arial"/>
        </w:rPr>
        <w:t>Boutcher</w:t>
      </w:r>
      <w:proofErr w:type="spellEnd"/>
      <w:r>
        <w:rPr>
          <w:rFonts w:ascii="Arial" w:hAnsi="Arial" w:cs="Arial"/>
        </w:rPr>
        <w:t xml:space="preserve"> and Fox (2000) and </w:t>
      </w:r>
      <w:proofErr w:type="spellStart"/>
      <w:r>
        <w:rPr>
          <w:rFonts w:ascii="Arial" w:hAnsi="Arial" w:cs="Arial"/>
        </w:rPr>
        <w:t>Sahin</w:t>
      </w:r>
      <w:proofErr w:type="spellEnd"/>
      <w:r>
        <w:rPr>
          <w:rFonts w:ascii="Arial" w:hAnsi="Arial" w:cs="Arial"/>
        </w:rPr>
        <w:t xml:space="preserve"> </w:t>
      </w:r>
      <w:r w:rsidR="001D021B">
        <w:rPr>
          <w:rFonts w:ascii="Arial" w:hAnsi="Arial" w:cs="Arial"/>
          <w:i/>
          <w:iCs/>
        </w:rPr>
        <w:t xml:space="preserve">et al. </w:t>
      </w:r>
      <w:r>
        <w:rPr>
          <w:rFonts w:ascii="Arial" w:hAnsi="Arial" w:cs="Arial"/>
        </w:rPr>
        <w:t xml:space="preserve">(2018) who indicate the positive impact physical activity can have on mental health and well-being. Furthermore, the Health, Social Care and Sport Committee (2019) recommend that the Welsh Government make physical education a priority by introducing a statutory requirement of 120 minutes of physical education per week. </w:t>
      </w:r>
    </w:p>
    <w:p w14:paraId="6E5DF200" w14:textId="60671411" w:rsidR="00AB1994" w:rsidRDefault="00AB1994" w:rsidP="004A3F41">
      <w:pPr>
        <w:spacing w:line="360" w:lineRule="auto"/>
        <w:rPr>
          <w:rFonts w:ascii="Arial" w:hAnsi="Arial" w:cs="Arial"/>
        </w:rPr>
      </w:pPr>
      <w:r>
        <w:rPr>
          <w:rFonts w:ascii="Arial" w:hAnsi="Arial" w:cs="Arial"/>
        </w:rPr>
        <w:t>The evidence presented in this chapter implies that schools should be implementing a range of social, emotional, mental and physical well-being exercises to enhance practitioners and learners’ performance. The following chapter describes the procedures and methods used to gather data for this study.</w:t>
      </w:r>
      <w:bookmarkEnd w:id="1"/>
    </w:p>
    <w:p w14:paraId="69A4A430" w14:textId="77777777" w:rsidR="004A3F41" w:rsidRPr="00AB1994" w:rsidRDefault="004A3F41" w:rsidP="004A3F41">
      <w:pPr>
        <w:spacing w:line="360" w:lineRule="auto"/>
      </w:pPr>
    </w:p>
    <w:p w14:paraId="4BB1A12E" w14:textId="1E9D3F3A" w:rsidR="00510D13" w:rsidRPr="009F3489" w:rsidRDefault="007C6EE8" w:rsidP="004A3F41">
      <w:pPr>
        <w:pStyle w:val="Title"/>
        <w:spacing w:line="360" w:lineRule="auto"/>
        <w:rPr>
          <w:rFonts w:ascii="Arial" w:hAnsi="Arial" w:cs="Arial"/>
          <w:sz w:val="28"/>
          <w:szCs w:val="28"/>
        </w:rPr>
      </w:pPr>
      <w:r w:rsidRPr="009F3489">
        <w:rPr>
          <w:rFonts w:ascii="Arial" w:hAnsi="Arial" w:cs="Arial"/>
          <w:sz w:val="28"/>
          <w:szCs w:val="28"/>
        </w:rPr>
        <w:lastRenderedPageBreak/>
        <w:t>Chapter 3: Methodology</w:t>
      </w:r>
    </w:p>
    <w:p w14:paraId="229DCC79" w14:textId="77777777" w:rsidR="00F4700C" w:rsidRDefault="00F4700C" w:rsidP="004A3F41">
      <w:pPr>
        <w:spacing w:line="360" w:lineRule="auto"/>
        <w:rPr>
          <w:rFonts w:ascii="Arial" w:hAnsi="Arial" w:cs="Arial"/>
        </w:rPr>
      </w:pPr>
      <w:bookmarkStart w:id="3" w:name="_Hlk35274628"/>
      <w:r>
        <w:rPr>
          <w:rFonts w:ascii="Arial" w:hAnsi="Arial" w:cs="Arial"/>
        </w:rPr>
        <w:t xml:space="preserve">This chapter aims to describe and critically evaluate the method and design of the research project. To provide a valid and credible answer to the research question, a mixed method triangulation was employed including a review of literature, government policy and primary data gathered through research (McNeil and Chapman, 2005). </w:t>
      </w:r>
    </w:p>
    <w:p w14:paraId="1ABA0E82" w14:textId="645192D0" w:rsidR="00F4700C" w:rsidRDefault="00F4700C" w:rsidP="004A3F41">
      <w:pPr>
        <w:spacing w:line="360" w:lineRule="auto"/>
        <w:rPr>
          <w:rFonts w:ascii="Arial" w:hAnsi="Arial" w:cs="Arial"/>
        </w:rPr>
      </w:pPr>
      <w:r>
        <w:rPr>
          <w:rFonts w:ascii="Arial" w:hAnsi="Arial" w:cs="Arial"/>
        </w:rPr>
        <w:t xml:space="preserve">The data was collected from primary school age children and practitioners from a mainstream primary school setting which also encompasses a Learning Resource Centre (LRC), using learning walks, observations and interviews. Prior to the study, ethical clearance was sought from the University of Wales Trinity Saint David (see Appendix </w:t>
      </w:r>
      <w:r w:rsidR="00E931D1">
        <w:rPr>
          <w:rFonts w:ascii="Arial" w:hAnsi="Arial" w:cs="Arial"/>
        </w:rPr>
        <w:t>1</w:t>
      </w:r>
      <w:r>
        <w:rPr>
          <w:rFonts w:ascii="Arial" w:hAnsi="Arial" w:cs="Arial"/>
        </w:rPr>
        <w:t>) which ensure</w:t>
      </w:r>
      <w:r w:rsidR="00374C7C">
        <w:rPr>
          <w:rFonts w:ascii="Arial" w:hAnsi="Arial" w:cs="Arial"/>
        </w:rPr>
        <w:t>s</w:t>
      </w:r>
      <w:r>
        <w:rPr>
          <w:rFonts w:ascii="Arial" w:hAnsi="Arial" w:cs="Arial"/>
        </w:rPr>
        <w:t xml:space="preserve"> the research m</w:t>
      </w:r>
      <w:r w:rsidR="00374C7C">
        <w:rPr>
          <w:rFonts w:ascii="Arial" w:hAnsi="Arial" w:cs="Arial"/>
        </w:rPr>
        <w:t>e</w:t>
      </w:r>
      <w:r>
        <w:rPr>
          <w:rFonts w:ascii="Arial" w:hAnsi="Arial" w:cs="Arial"/>
        </w:rPr>
        <w:t>et</w:t>
      </w:r>
      <w:r w:rsidR="00374C7C">
        <w:rPr>
          <w:rFonts w:ascii="Arial" w:hAnsi="Arial" w:cs="Arial"/>
        </w:rPr>
        <w:t>s</w:t>
      </w:r>
      <w:r>
        <w:rPr>
          <w:rFonts w:ascii="Arial" w:hAnsi="Arial" w:cs="Arial"/>
        </w:rPr>
        <w:t xml:space="preserve"> the ethical guidelines in line with British Education Research Association (BERA) (2018) and the University of Wales Trinity Saint David (2017). Prior to participation in data collection, all participants were made aware of the research aims and their ability to leave the study at any time, all learners that participated were asked to give verbal consent to take part in the research project whereas, practitioners were asked to give written consent (National Foundation for Educational Research, 2013; Cohen, Manion and Morrison, 2007). Additionally, all learners that participated in the interviews were made aware that they did not have to take part in the research and at any time they could opt to leave the research. As noted in the Welsh Government’s (2019) </w:t>
      </w:r>
      <w:r>
        <w:rPr>
          <w:rFonts w:ascii="Arial" w:hAnsi="Arial" w:cs="Arial"/>
          <w:i/>
          <w:iCs/>
        </w:rPr>
        <w:t xml:space="preserve">Professional Standards for Teaching and Leadership </w:t>
      </w:r>
      <w:r>
        <w:rPr>
          <w:rFonts w:ascii="Arial" w:hAnsi="Arial" w:cs="Arial"/>
        </w:rPr>
        <w:t xml:space="preserve">classroom-based research has become a key focus professional development. The expectation of action research within education also promotes pupil voice in line with the United Nations Convention for the Rights of the Child which encourages children’s opinions to be listened to and valued (UNICEF, 1990). </w:t>
      </w:r>
    </w:p>
    <w:p w14:paraId="6ECB4ED1" w14:textId="559BFC7C" w:rsidR="00F4700C" w:rsidRDefault="00F4700C" w:rsidP="004A3F41">
      <w:pPr>
        <w:spacing w:line="360" w:lineRule="auto"/>
        <w:rPr>
          <w:rFonts w:ascii="Arial" w:hAnsi="Arial" w:cs="Arial"/>
        </w:rPr>
      </w:pPr>
      <w:r>
        <w:rPr>
          <w:rFonts w:ascii="Arial" w:hAnsi="Arial" w:cs="Arial"/>
        </w:rPr>
        <w:t xml:space="preserve">During the study it was essential to gather qualitative data which provides specific examples which can be extremely beneficial for the researcher, as was the case during the current research as the aim of the study is to identify good practice in supporting well-being which will improve the author’s future professional practice (National Foundation for Educational Research, 2013). This study uses qualitative analysis to gain insight into the effective strategies and approaches adopted by schools to support and promote practitioners and learners’ well-being. Three data collection methods were employed during the data gathering for the current study including interviews, observations and learning walks. </w:t>
      </w:r>
      <w:proofErr w:type="spellStart"/>
      <w:r>
        <w:rPr>
          <w:rFonts w:ascii="Arial" w:hAnsi="Arial" w:cs="Arial"/>
        </w:rPr>
        <w:t>Piccoli</w:t>
      </w:r>
      <w:proofErr w:type="spellEnd"/>
      <w:r>
        <w:rPr>
          <w:rFonts w:ascii="Arial" w:hAnsi="Arial" w:cs="Arial"/>
        </w:rPr>
        <w:t xml:space="preserve"> (2019) indicates the benefits of data triangulation gathered from multiple methods which allows the researcher to draw correlations between data</w:t>
      </w:r>
      <w:r w:rsidR="00081442">
        <w:rPr>
          <w:rFonts w:ascii="Arial" w:hAnsi="Arial" w:cs="Arial"/>
        </w:rPr>
        <w:t xml:space="preserve"> and</w:t>
      </w:r>
      <w:r>
        <w:rPr>
          <w:rFonts w:ascii="Arial" w:hAnsi="Arial" w:cs="Arial"/>
        </w:rPr>
        <w:t xml:space="preserve"> therefore further validates and clarifies the results. Learning walks provided a useful insight into the approaches taken across the school, allowing the author to view any differences in approaches across the school. </w:t>
      </w:r>
      <w:proofErr w:type="spellStart"/>
      <w:r>
        <w:rPr>
          <w:rFonts w:ascii="Arial" w:hAnsi="Arial" w:cs="Arial"/>
        </w:rPr>
        <w:t>Dubé</w:t>
      </w:r>
      <w:proofErr w:type="spellEnd"/>
      <w:r>
        <w:rPr>
          <w:rFonts w:ascii="Arial" w:hAnsi="Arial" w:cs="Arial"/>
        </w:rPr>
        <w:t xml:space="preserve"> </w:t>
      </w:r>
      <w:r>
        <w:rPr>
          <w:rFonts w:ascii="Arial" w:hAnsi="Arial" w:cs="Arial"/>
          <w:i/>
          <w:iCs/>
        </w:rPr>
        <w:t xml:space="preserve">et </w:t>
      </w:r>
      <w:r>
        <w:rPr>
          <w:rFonts w:ascii="Arial" w:hAnsi="Arial" w:cs="Arial"/>
          <w:i/>
          <w:iCs/>
        </w:rPr>
        <w:lastRenderedPageBreak/>
        <w:t xml:space="preserve">al. </w:t>
      </w:r>
      <w:r>
        <w:rPr>
          <w:rFonts w:ascii="Arial" w:hAnsi="Arial" w:cs="Arial"/>
        </w:rPr>
        <w:t>(2014) suggests guided walks provide a unique way to gather qualitative data as it allows the participant to share relevant experiences and information in relation to the physical environment. Whereas observations are key when researching various strategies and interventions as they allow the researcher to understand first-hand the manner in which they are carried out. Although, observations can be limited within the school environment due to timetabling structures, which was particularly difficult during the research period as many classes have structured routines in the day which clashed with observation timetabling. Furthermore, the Hawthorne Effect is widely recognised as a limitation of observational research as participants may change their behaviours as they are aware that they are being observed (</w:t>
      </w:r>
      <w:proofErr w:type="spellStart"/>
      <w:r>
        <w:rPr>
          <w:rFonts w:ascii="Arial" w:hAnsi="Arial" w:cs="Arial"/>
        </w:rPr>
        <w:t>McCambridge</w:t>
      </w:r>
      <w:proofErr w:type="spellEnd"/>
      <w:r>
        <w:rPr>
          <w:rFonts w:ascii="Arial" w:hAnsi="Arial" w:cs="Arial"/>
        </w:rPr>
        <w:t xml:space="preserve">, Witton and </w:t>
      </w:r>
      <w:proofErr w:type="spellStart"/>
      <w:r>
        <w:rPr>
          <w:rFonts w:ascii="Arial" w:hAnsi="Arial" w:cs="Arial"/>
        </w:rPr>
        <w:t>Elbourne</w:t>
      </w:r>
      <w:proofErr w:type="spellEnd"/>
      <w:r>
        <w:rPr>
          <w:rFonts w:ascii="Arial" w:hAnsi="Arial" w:cs="Arial"/>
        </w:rPr>
        <w:t xml:space="preserve">, 2014). It could be argued that interviews were the most effective method used to gather data as they allowed the participant to further elaborate on points throughout the interview, therefore the data gathered was more detailed than any other method of data collection (Denscombe, 2014). The author had the opportunity to utilise a semi-structured interview technique for teachers, teaching assistants and learners within the school which provided a range of viewpoints. Furthermore, the NFER (2013) and Denscombe (2014) indicate the benefits of using semi-structured interview techniques as it allows greater flexibility and the opportunity for elaboration on certain points. </w:t>
      </w:r>
    </w:p>
    <w:p w14:paraId="089B8D9B" w14:textId="77777777" w:rsidR="00F4700C" w:rsidRDefault="00F4700C" w:rsidP="004A3F41">
      <w:pPr>
        <w:spacing w:line="360" w:lineRule="auto"/>
        <w:rPr>
          <w:rFonts w:ascii="Arial" w:hAnsi="Arial" w:cs="Arial"/>
        </w:rPr>
      </w:pPr>
      <w:r>
        <w:rPr>
          <w:rFonts w:ascii="Arial" w:hAnsi="Arial" w:cs="Arial"/>
        </w:rPr>
        <w:t xml:space="preserve">Interviews with learners were conducted in small focus groups, the purpose of the interviews was to identify what they believed well-being to be and the ways in which the school could support and promote their well-being. The interview with learners consisted of three focus groups, although learners were identified from particular phases individual selection was random. The session followed a semi-structured set of questions that aimed to identify the definition of well-being, the types of activities that promote their well-being, measures they would take if they felt they had an issue in school and additional activities they would like the school to provide to promote well-being. The use of focus groups with learners can be beneficial as they provide a more informal environment for discussion, which was particularly helpful as the learners were not familiar with the researcher. However, Seal, Bogart and Ehrhardt (1988) suggest focus groups can hinder participants from giving their true opinion unless another shares the same belief. </w:t>
      </w:r>
    </w:p>
    <w:p w14:paraId="52943984" w14:textId="77777777" w:rsidR="00F4700C" w:rsidRDefault="00F4700C" w:rsidP="004A3F41">
      <w:pPr>
        <w:spacing w:line="360" w:lineRule="auto"/>
        <w:rPr>
          <w:rFonts w:ascii="Arial" w:hAnsi="Arial" w:cs="Arial"/>
        </w:rPr>
      </w:pPr>
      <w:r>
        <w:rPr>
          <w:rFonts w:ascii="Arial" w:hAnsi="Arial" w:cs="Arial"/>
        </w:rPr>
        <w:t xml:space="preserve">Alternatively, the aim of the interviews with practitioners was to gather opinions on the importance of promoting both practitioners and learners’ well-being, strategies and approaches used to promote well-being, the challenges of promoting learners’ well-being. These interviews allowed the researcher to gather a range of opinions from practitioners that work in a variety of classrooms across the school which can be used for comparative analysis. Although, it was important to ensure that interviews with practitioners did not </w:t>
      </w:r>
      <w:r>
        <w:rPr>
          <w:rFonts w:ascii="Arial" w:hAnsi="Arial" w:cs="Arial"/>
        </w:rPr>
        <w:lastRenderedPageBreak/>
        <w:t xml:space="preserve">disrupt any teaching and learning experiences alongside respecting the practitioners’ need for break times. </w:t>
      </w:r>
    </w:p>
    <w:p w14:paraId="1B6F5E5D" w14:textId="3835850C" w:rsidR="00F4700C" w:rsidRDefault="00F4700C" w:rsidP="004A3F41">
      <w:pPr>
        <w:spacing w:line="360" w:lineRule="auto"/>
        <w:rPr>
          <w:rFonts w:ascii="Arial" w:hAnsi="Arial" w:cs="Arial"/>
        </w:rPr>
      </w:pPr>
      <w:r>
        <w:rPr>
          <w:rFonts w:ascii="Arial" w:hAnsi="Arial" w:cs="Arial"/>
        </w:rPr>
        <w:t xml:space="preserve">Interviews were conducted with 17 learners and 6 practitioners (see Appendix </w:t>
      </w:r>
      <w:r w:rsidR="007211B5">
        <w:rPr>
          <w:rFonts w:ascii="Arial" w:hAnsi="Arial" w:cs="Arial"/>
        </w:rPr>
        <w:t>2</w:t>
      </w:r>
      <w:r>
        <w:rPr>
          <w:rFonts w:ascii="Arial" w:hAnsi="Arial" w:cs="Arial"/>
        </w:rPr>
        <w:t>). It is important to consider the sample size as Cohen, Manion and Morrison (2007) suggest a minimum of thirty participants is needed to provide data that can be analysed to be used to draw conclusions for future practice</w:t>
      </w:r>
      <w:r w:rsidR="007B1EB2">
        <w:rPr>
          <w:rFonts w:ascii="Arial" w:hAnsi="Arial" w:cs="Arial"/>
        </w:rPr>
        <w:t>,</w:t>
      </w:r>
      <w:r>
        <w:rPr>
          <w:rFonts w:ascii="Arial" w:hAnsi="Arial" w:cs="Arial"/>
        </w:rPr>
        <w:t xml:space="preserve"> which may indicate that the sample size for the current study is not sufficient in providing credible information. In addition, to improve the quality of the data collected it may have been beneficial to gather learners from a range of classes within each phase in comparison to the same class as this would allow for further comparison of data within each age range. Although, it is important to consider that the main aim of the research project is to gain a deeper understanding of effective practice to improve personal professional practice</w:t>
      </w:r>
      <w:r w:rsidR="00B01376">
        <w:rPr>
          <w:rFonts w:ascii="Arial" w:hAnsi="Arial" w:cs="Arial"/>
        </w:rPr>
        <w:t>,</w:t>
      </w:r>
      <w:r>
        <w:rPr>
          <w:rFonts w:ascii="Arial" w:hAnsi="Arial" w:cs="Arial"/>
        </w:rPr>
        <w:t xml:space="preserve"> therefore the data collected would provide the author with relevant information that can impact professional development. </w:t>
      </w:r>
    </w:p>
    <w:bookmarkEnd w:id="3"/>
    <w:p w14:paraId="1A83CE5C" w14:textId="2534DDEF" w:rsidR="00F4700C" w:rsidRDefault="00F4700C" w:rsidP="004A3F41">
      <w:pPr>
        <w:spacing w:line="360" w:lineRule="auto"/>
        <w:rPr>
          <w:rFonts w:ascii="Arial" w:hAnsi="Arial" w:cs="Arial"/>
        </w:rPr>
      </w:pPr>
    </w:p>
    <w:p w14:paraId="0F0A7697" w14:textId="6C3BBCA5" w:rsidR="00510D13" w:rsidRDefault="00510D13" w:rsidP="004A3F41">
      <w:pPr>
        <w:spacing w:line="360" w:lineRule="auto"/>
        <w:rPr>
          <w:rFonts w:ascii="Arial" w:hAnsi="Arial" w:cs="Arial"/>
          <w:sz w:val="28"/>
          <w:szCs w:val="28"/>
        </w:rPr>
      </w:pPr>
    </w:p>
    <w:p w14:paraId="4AC105C5" w14:textId="6A072BE8" w:rsidR="004A3F41" w:rsidRDefault="004A3F41" w:rsidP="004A3F41">
      <w:pPr>
        <w:spacing w:line="360" w:lineRule="auto"/>
        <w:rPr>
          <w:rFonts w:ascii="Arial" w:hAnsi="Arial" w:cs="Arial"/>
          <w:sz w:val="28"/>
          <w:szCs w:val="28"/>
        </w:rPr>
      </w:pPr>
    </w:p>
    <w:p w14:paraId="302C5F37" w14:textId="314D8517" w:rsidR="004A3F41" w:rsidRDefault="004A3F41" w:rsidP="004A3F41">
      <w:pPr>
        <w:spacing w:line="360" w:lineRule="auto"/>
        <w:rPr>
          <w:rFonts w:ascii="Arial" w:hAnsi="Arial" w:cs="Arial"/>
          <w:sz w:val="28"/>
          <w:szCs w:val="28"/>
        </w:rPr>
      </w:pPr>
    </w:p>
    <w:p w14:paraId="05F7A178" w14:textId="07FA3178" w:rsidR="004A3F41" w:rsidRDefault="004A3F41" w:rsidP="004A3F41">
      <w:pPr>
        <w:spacing w:line="360" w:lineRule="auto"/>
        <w:rPr>
          <w:rFonts w:ascii="Arial" w:hAnsi="Arial" w:cs="Arial"/>
          <w:sz w:val="28"/>
          <w:szCs w:val="28"/>
        </w:rPr>
      </w:pPr>
    </w:p>
    <w:p w14:paraId="244876E7" w14:textId="0B063923" w:rsidR="004A3F41" w:rsidRDefault="004A3F41" w:rsidP="004A3F41">
      <w:pPr>
        <w:spacing w:line="360" w:lineRule="auto"/>
        <w:rPr>
          <w:rFonts w:ascii="Arial" w:hAnsi="Arial" w:cs="Arial"/>
          <w:sz w:val="28"/>
          <w:szCs w:val="28"/>
        </w:rPr>
      </w:pPr>
    </w:p>
    <w:p w14:paraId="08CAB68E" w14:textId="63CA19F5" w:rsidR="004A3F41" w:rsidRDefault="004A3F41" w:rsidP="004A3F41">
      <w:pPr>
        <w:spacing w:line="360" w:lineRule="auto"/>
        <w:rPr>
          <w:rFonts w:ascii="Arial" w:hAnsi="Arial" w:cs="Arial"/>
          <w:sz w:val="28"/>
          <w:szCs w:val="28"/>
        </w:rPr>
      </w:pPr>
    </w:p>
    <w:p w14:paraId="5B52CAEE" w14:textId="12400121" w:rsidR="004A3F41" w:rsidRDefault="004A3F41" w:rsidP="004A3F41">
      <w:pPr>
        <w:spacing w:line="360" w:lineRule="auto"/>
        <w:rPr>
          <w:rFonts w:ascii="Arial" w:hAnsi="Arial" w:cs="Arial"/>
          <w:sz w:val="28"/>
          <w:szCs w:val="28"/>
        </w:rPr>
      </w:pPr>
    </w:p>
    <w:p w14:paraId="3C77FB59" w14:textId="61F24D30" w:rsidR="004A3F41" w:rsidRDefault="004A3F41" w:rsidP="004A3F41">
      <w:pPr>
        <w:spacing w:line="360" w:lineRule="auto"/>
        <w:rPr>
          <w:rFonts w:ascii="Arial" w:hAnsi="Arial" w:cs="Arial"/>
          <w:sz w:val="28"/>
          <w:szCs w:val="28"/>
        </w:rPr>
      </w:pPr>
    </w:p>
    <w:p w14:paraId="27880BB2" w14:textId="29357CAA" w:rsidR="004A3F41" w:rsidRDefault="004A3F41" w:rsidP="004A3F41">
      <w:pPr>
        <w:spacing w:line="360" w:lineRule="auto"/>
        <w:rPr>
          <w:rFonts w:ascii="Arial" w:hAnsi="Arial" w:cs="Arial"/>
          <w:sz w:val="28"/>
          <w:szCs w:val="28"/>
        </w:rPr>
      </w:pPr>
    </w:p>
    <w:p w14:paraId="03FC46CD" w14:textId="0034CD11" w:rsidR="004A3F41" w:rsidRDefault="004A3F41" w:rsidP="004A3F41">
      <w:pPr>
        <w:spacing w:line="360" w:lineRule="auto"/>
        <w:rPr>
          <w:rFonts w:ascii="Arial" w:hAnsi="Arial" w:cs="Arial"/>
          <w:sz w:val="28"/>
          <w:szCs w:val="28"/>
        </w:rPr>
      </w:pPr>
    </w:p>
    <w:p w14:paraId="2FF0B44F" w14:textId="204EE625" w:rsidR="004A3F41" w:rsidRDefault="004A3F41" w:rsidP="004A3F41">
      <w:pPr>
        <w:spacing w:line="360" w:lineRule="auto"/>
        <w:rPr>
          <w:rFonts w:ascii="Arial" w:hAnsi="Arial" w:cs="Arial"/>
          <w:sz w:val="28"/>
          <w:szCs w:val="28"/>
        </w:rPr>
      </w:pPr>
    </w:p>
    <w:p w14:paraId="0DDFD3F7" w14:textId="77777777" w:rsidR="004A3F41" w:rsidRPr="009F3489" w:rsidRDefault="004A3F41" w:rsidP="004A3F41">
      <w:pPr>
        <w:spacing w:line="360" w:lineRule="auto"/>
        <w:rPr>
          <w:rFonts w:ascii="Arial" w:hAnsi="Arial" w:cs="Arial"/>
          <w:sz w:val="28"/>
          <w:szCs w:val="28"/>
        </w:rPr>
      </w:pPr>
    </w:p>
    <w:p w14:paraId="23118FBB" w14:textId="166C2864" w:rsidR="009E4D7F" w:rsidRPr="009F3489" w:rsidRDefault="009E4D7F" w:rsidP="004A3F41">
      <w:pPr>
        <w:pStyle w:val="Title"/>
        <w:spacing w:line="360" w:lineRule="auto"/>
        <w:rPr>
          <w:rFonts w:ascii="Arial" w:hAnsi="Arial" w:cs="Arial"/>
          <w:sz w:val="28"/>
          <w:szCs w:val="28"/>
        </w:rPr>
      </w:pPr>
      <w:r w:rsidRPr="009F3489">
        <w:rPr>
          <w:rFonts w:ascii="Arial" w:hAnsi="Arial" w:cs="Arial"/>
          <w:sz w:val="28"/>
          <w:szCs w:val="28"/>
        </w:rPr>
        <w:lastRenderedPageBreak/>
        <w:t>Chapter 4: Results and Discussion</w:t>
      </w:r>
    </w:p>
    <w:p w14:paraId="0FAD5955" w14:textId="414FD8EF" w:rsidR="007A207E" w:rsidRPr="004A3F41" w:rsidRDefault="007A207E" w:rsidP="004A3F41">
      <w:pPr>
        <w:spacing w:line="360" w:lineRule="auto"/>
        <w:rPr>
          <w:rFonts w:ascii="Arial" w:hAnsi="Arial" w:cs="Arial"/>
        </w:rPr>
      </w:pPr>
      <w:bookmarkStart w:id="4" w:name="_Hlk35274673"/>
      <w:bookmarkStart w:id="5" w:name="_Hlk35251346"/>
      <w:r w:rsidRPr="004A3F41">
        <w:rPr>
          <w:rFonts w:ascii="Arial" w:hAnsi="Arial" w:cs="Arial"/>
        </w:rPr>
        <w:t xml:space="preserve">This chapter aims to analyse and interpret the responses and observations made within a primary school setting in the Pembrokeshire Local Authority (see Appendix </w:t>
      </w:r>
      <w:r w:rsidR="005B046A">
        <w:rPr>
          <w:rFonts w:ascii="Arial" w:hAnsi="Arial" w:cs="Arial"/>
        </w:rPr>
        <w:t>3</w:t>
      </w:r>
      <w:r w:rsidRPr="004A3F41">
        <w:rPr>
          <w:rFonts w:ascii="Arial" w:hAnsi="Arial" w:cs="Arial"/>
        </w:rPr>
        <w:t xml:space="preserve">). The chapter will present the findings of the current study which aims to gather evidence that identifies strategies utilised by schools to support and promote practitioners and learners’ well-being. References will be made to literature reviewed in chapter 2 to identify any similarities and contradictions to previous studies and research. </w:t>
      </w:r>
    </w:p>
    <w:p w14:paraId="0848CBCD" w14:textId="77777777" w:rsidR="007A207E" w:rsidRPr="004A3F41" w:rsidRDefault="007A207E" w:rsidP="004A3F41">
      <w:pPr>
        <w:spacing w:line="360" w:lineRule="auto"/>
        <w:rPr>
          <w:rFonts w:ascii="Arial" w:hAnsi="Arial" w:cs="Arial"/>
          <w:i/>
          <w:iCs/>
        </w:rPr>
      </w:pPr>
      <w:r w:rsidRPr="004A3F41">
        <w:rPr>
          <w:rFonts w:ascii="Arial" w:hAnsi="Arial" w:cs="Arial"/>
          <w:i/>
          <w:iCs/>
        </w:rPr>
        <w:t>4.1 Defining well-being</w:t>
      </w:r>
    </w:p>
    <w:p w14:paraId="6BBF3A9B" w14:textId="1974ABB2" w:rsidR="007A207E" w:rsidRPr="004A3F41" w:rsidRDefault="007A207E" w:rsidP="004A3F41">
      <w:pPr>
        <w:spacing w:line="360" w:lineRule="auto"/>
        <w:rPr>
          <w:rFonts w:ascii="Arial" w:hAnsi="Arial" w:cs="Arial"/>
        </w:rPr>
      </w:pPr>
      <w:r w:rsidRPr="004A3F41">
        <w:rPr>
          <w:rFonts w:ascii="Arial" w:hAnsi="Arial" w:cs="Arial"/>
        </w:rPr>
        <w:t xml:space="preserve">As mentioned in the literature review, defining well-being remains challenging due to the subjective view of the individual. It was noticed that the definition of well-being changed drastically across the school. Whereas Foundation Phase learners suggested that well-being meant being happy, funny, excited, caring and being treated well. Lower Key Stage 2 focused more on being fit and healthy which is further supported by Appendix </w:t>
      </w:r>
      <w:r w:rsidR="005B046A">
        <w:rPr>
          <w:rFonts w:ascii="Arial" w:hAnsi="Arial" w:cs="Arial"/>
        </w:rPr>
        <w:t>4</w:t>
      </w:r>
      <w:r w:rsidRPr="004A3F41">
        <w:rPr>
          <w:rFonts w:ascii="Arial" w:hAnsi="Arial" w:cs="Arial"/>
        </w:rPr>
        <w:t xml:space="preserve"> which indicates the emphasis of physical well-being to be healthy confident individuals (Welsh Government, 2020). It is important to note that only upper Key Stage 2 learners indicated that mental health contributed to well-being. The results indicate the relationship between key aspects of physical, emotional and mental health in promoting positive well-being. </w:t>
      </w:r>
    </w:p>
    <w:p w14:paraId="223842EC" w14:textId="77777777" w:rsidR="007A207E" w:rsidRPr="004A3F41" w:rsidRDefault="007A207E" w:rsidP="004A3F41">
      <w:pPr>
        <w:spacing w:line="360" w:lineRule="auto"/>
        <w:rPr>
          <w:rFonts w:ascii="Arial" w:hAnsi="Arial" w:cs="Arial"/>
        </w:rPr>
      </w:pPr>
      <w:r w:rsidRPr="004A3F41">
        <w:rPr>
          <w:rFonts w:ascii="Arial" w:hAnsi="Arial" w:cs="Arial"/>
        </w:rPr>
        <w:t xml:space="preserve">In correlation with the previously mentioned research by UNICEF (2011) participants in both the Foundation Phase and Key Stage 2 referred to family and friends, creative or sporting activities and being outdoors and having fun as contributing to their sense of well-being. Interestingly, Foundation Phase participants strongly indicated the importance of learning on their well-being as half the group indicated that maths and literacy made them happy which correlates with Mosley’s (1996) and the National Health Service’s (2019) aspects of strong well-being which include a focus on intellectual learning to promote positive well-being. </w:t>
      </w:r>
    </w:p>
    <w:p w14:paraId="636C1FE3" w14:textId="77777777" w:rsidR="007A207E" w:rsidRPr="004A3F41" w:rsidRDefault="007A207E" w:rsidP="004A3F41">
      <w:pPr>
        <w:spacing w:line="360" w:lineRule="auto"/>
        <w:rPr>
          <w:rFonts w:ascii="Arial" w:hAnsi="Arial" w:cs="Arial"/>
          <w:i/>
          <w:iCs/>
        </w:rPr>
      </w:pPr>
      <w:r w:rsidRPr="004A3F41">
        <w:rPr>
          <w:rFonts w:ascii="Arial" w:hAnsi="Arial" w:cs="Arial"/>
          <w:i/>
          <w:iCs/>
        </w:rPr>
        <w:t xml:space="preserve">4.2 The importance and benefits promoting well-being </w:t>
      </w:r>
    </w:p>
    <w:p w14:paraId="46104498" w14:textId="7787D4EF" w:rsidR="007A207E" w:rsidRPr="004A3F41" w:rsidRDefault="007A207E" w:rsidP="004A3F41">
      <w:pPr>
        <w:spacing w:line="360" w:lineRule="auto"/>
        <w:rPr>
          <w:rFonts w:ascii="Arial" w:hAnsi="Arial" w:cs="Arial"/>
        </w:rPr>
      </w:pPr>
      <w:r w:rsidRPr="004A3F41">
        <w:rPr>
          <w:rFonts w:ascii="Arial" w:hAnsi="Arial" w:cs="Arial"/>
        </w:rPr>
        <w:t xml:space="preserve">It was hypothesised that senior leadership teams prioritised learners’ well-being before staff well-being. </w:t>
      </w:r>
      <w:r w:rsidR="003A7A4A">
        <w:rPr>
          <w:rFonts w:ascii="Arial" w:hAnsi="Arial" w:cs="Arial"/>
        </w:rPr>
        <w:t>However,</w:t>
      </w:r>
      <w:r w:rsidRPr="004A3F41">
        <w:rPr>
          <w:rFonts w:ascii="Arial" w:hAnsi="Arial" w:cs="Arial"/>
        </w:rPr>
        <w:t xml:space="preserve"> this study contradicts that hypothesis as the findings suggests many of the measures put in place to promote well-being benefitted practitioners and learners’ equally. An interview with the headteacher suggested that teachers are the ‘weather of the classroom’ indicating that they set the tone for the whole class. Additionally, many of the interviews with staff supported this view as they often quoted ‘happy staff equals happy children’ which correlates with the view of Roffey (2012) who suggests high levels of teacher well-being can have a positive impact on improving learners’ well-being.  </w:t>
      </w:r>
    </w:p>
    <w:p w14:paraId="79246218" w14:textId="77777777" w:rsidR="007A207E" w:rsidRPr="004A3F41" w:rsidRDefault="007A207E" w:rsidP="004A3F41">
      <w:pPr>
        <w:spacing w:line="360" w:lineRule="auto"/>
        <w:rPr>
          <w:rFonts w:ascii="Arial" w:hAnsi="Arial" w:cs="Arial"/>
        </w:rPr>
      </w:pPr>
      <w:r w:rsidRPr="004A3F41">
        <w:rPr>
          <w:rFonts w:ascii="Arial" w:hAnsi="Arial" w:cs="Arial"/>
        </w:rPr>
        <w:lastRenderedPageBreak/>
        <w:t>In regard to promoting staff well-being, most participants alluded to the pressures of education as a whole as the biggest reason for the need to promote staff well-being. These results confirm the association between the demanding nature of the profession and the impact it can have on individual’s well-being (NASUWT, 2019).</w:t>
      </w:r>
    </w:p>
    <w:p w14:paraId="03D41B9F" w14:textId="77777777" w:rsidR="007A207E" w:rsidRPr="004A3F41" w:rsidRDefault="007A207E" w:rsidP="004A3F41">
      <w:pPr>
        <w:spacing w:line="360" w:lineRule="auto"/>
        <w:rPr>
          <w:rFonts w:ascii="Arial" w:hAnsi="Arial" w:cs="Arial"/>
        </w:rPr>
      </w:pPr>
      <w:r w:rsidRPr="004A3F41">
        <w:rPr>
          <w:rFonts w:ascii="Arial" w:hAnsi="Arial" w:cs="Arial"/>
        </w:rPr>
        <w:t xml:space="preserve">In relation to promoting the well-being of learners, two members of staff suggested that mental well-being is an area that needs particular emphasis although their reasoning differed, one suggesting that social media had a particular impact whereas the lack of resilience in learners was commented on. In contrast, emotional well-being was an area of focus for a Key Stage 2 practitioner as they suggested learners can become quite good at hiding any issues. </w:t>
      </w:r>
    </w:p>
    <w:p w14:paraId="7B3461A0" w14:textId="77777777" w:rsidR="007A207E" w:rsidRPr="004A3F41" w:rsidRDefault="007A207E" w:rsidP="004A3F41">
      <w:pPr>
        <w:spacing w:line="360" w:lineRule="auto"/>
        <w:rPr>
          <w:rFonts w:ascii="Arial" w:hAnsi="Arial" w:cs="Arial"/>
          <w:i/>
          <w:iCs/>
        </w:rPr>
      </w:pPr>
      <w:r w:rsidRPr="004A3F41">
        <w:rPr>
          <w:rFonts w:ascii="Arial" w:hAnsi="Arial" w:cs="Arial"/>
          <w:i/>
          <w:iCs/>
        </w:rPr>
        <w:t>4.3 The challenges of promoting well-being in schools</w:t>
      </w:r>
    </w:p>
    <w:p w14:paraId="2392202D" w14:textId="77777777" w:rsidR="007A207E" w:rsidRPr="004A3F41" w:rsidRDefault="007A207E" w:rsidP="004A3F41">
      <w:pPr>
        <w:spacing w:line="360" w:lineRule="auto"/>
      </w:pPr>
      <w:r w:rsidRPr="004A3F41">
        <w:rPr>
          <w:rFonts w:ascii="Arial" w:hAnsi="Arial" w:cs="Arial"/>
        </w:rPr>
        <w:t xml:space="preserve">As discussed in the literature review, timetabling can become a significant barrier to promoting the well-being of learners and practitioners. School X has addressed these issues by implementing an asymmetric week, which dedicates Friday afternoons to practitioners and learners’ well-being. All learners have the opportunity to go home and spend time with family members or stay in school and participate in a range of leisure activities. In contrast, for practitioners there is an equal focus on personal well-being and professional development as the school utilise this time to provide a range of Continual Professional Development opportunities. As a result of the implementation of the asymmetric week, the headteacher suggested ‘the school have managed to triple the amount of training they offer staff as a result of the introduction of the asymmetric week’. To ensure the implementation of the asymmetric week does not have a negative impact on teacher’s workload, the school have reconfigured the weekly timetable to add 10 minutes a day to teaching time to make up for the removal of a Friday afternoon. The positive impact of the asymmetric week was highlighted participants as they stated ‘the asymmetric week makes me happier as there is more time for training, family and making appointments’ and ‘the asymmetric week allows me to complete my </w:t>
      </w:r>
      <w:proofErr w:type="spellStart"/>
      <w:r w:rsidRPr="004A3F41">
        <w:rPr>
          <w:rFonts w:ascii="Arial" w:hAnsi="Arial" w:cs="Arial"/>
        </w:rPr>
        <w:t>masters</w:t>
      </w:r>
      <w:proofErr w:type="spellEnd"/>
      <w:r w:rsidRPr="004A3F41">
        <w:rPr>
          <w:rFonts w:ascii="Arial" w:hAnsi="Arial" w:cs="Arial"/>
        </w:rPr>
        <w:t xml:space="preserve"> degree’ which indicates the positive impact of the asymmetric week on practitioners and learners’ well-being.  </w:t>
      </w:r>
    </w:p>
    <w:p w14:paraId="37E92B4D" w14:textId="4B5844D5" w:rsidR="007A207E" w:rsidRPr="004A3F41" w:rsidRDefault="007A207E" w:rsidP="004A3F41">
      <w:pPr>
        <w:spacing w:line="360" w:lineRule="auto"/>
        <w:rPr>
          <w:rFonts w:ascii="Arial" w:hAnsi="Arial" w:cs="Arial"/>
        </w:rPr>
      </w:pPr>
      <w:r w:rsidRPr="004A3F41">
        <w:rPr>
          <w:rFonts w:ascii="Arial" w:hAnsi="Arial" w:cs="Arial"/>
        </w:rPr>
        <w:t>Interestingly, an interview with the ELSA lead within the school suggested that one limitation to the effectiveness of the programme was the lack of time and space within the school day. These findings highlight the difficulty of finding the time and space to promote learners’ well-being. It could be argued that learners would benefit from having a trained ELSA in each classroom, although this may be difficult for schools to fund. Interestingly, Estyn (2019</w:t>
      </w:r>
      <w:r w:rsidR="00D457F1">
        <w:rPr>
          <w:rFonts w:ascii="Arial" w:hAnsi="Arial" w:cs="Arial"/>
        </w:rPr>
        <w:t>b</w:t>
      </w:r>
      <w:r w:rsidRPr="004A3F41">
        <w:rPr>
          <w:rFonts w:ascii="Arial" w:hAnsi="Arial" w:cs="Arial"/>
        </w:rPr>
        <w:t xml:space="preserve">) advocate good practice where key themes such as resilience and coping strategies are </w:t>
      </w:r>
      <w:r w:rsidRPr="004A3F41">
        <w:rPr>
          <w:rFonts w:ascii="Arial" w:hAnsi="Arial" w:cs="Arial"/>
        </w:rPr>
        <w:lastRenderedPageBreak/>
        <w:t xml:space="preserve">promoted in the classroom which aim to improve learners’ ability to recognise the need for self-regulation of emotions.  </w:t>
      </w:r>
    </w:p>
    <w:p w14:paraId="5CB18596" w14:textId="77777777" w:rsidR="007A207E" w:rsidRPr="004A3F41" w:rsidRDefault="007A207E" w:rsidP="004A3F41">
      <w:pPr>
        <w:spacing w:line="360" w:lineRule="auto"/>
        <w:rPr>
          <w:rFonts w:ascii="Arial" w:hAnsi="Arial" w:cs="Arial"/>
          <w:i/>
          <w:iCs/>
        </w:rPr>
      </w:pPr>
      <w:r w:rsidRPr="004A3F41">
        <w:rPr>
          <w:rFonts w:ascii="Arial" w:hAnsi="Arial" w:cs="Arial"/>
          <w:noProof/>
        </w:rPr>
        <w:drawing>
          <wp:anchor distT="0" distB="0" distL="114300" distR="114300" simplePos="0" relativeHeight="251650048" behindDoc="0" locked="0" layoutInCell="1" allowOverlap="1" wp14:anchorId="3F1F001A" wp14:editId="2353BF96">
            <wp:simplePos x="0" y="0"/>
            <wp:positionH relativeFrom="column">
              <wp:posOffset>3592830</wp:posOffset>
            </wp:positionH>
            <wp:positionV relativeFrom="paragraph">
              <wp:posOffset>276860</wp:posOffset>
            </wp:positionV>
            <wp:extent cx="2741930" cy="2607945"/>
            <wp:effectExtent l="0" t="0" r="127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8016"/>
                    <a:stretch/>
                  </pic:blipFill>
                  <pic:spPr bwMode="auto">
                    <a:xfrm>
                      <a:off x="0" y="0"/>
                      <a:ext cx="2741930" cy="2607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A3F41">
        <w:rPr>
          <w:rFonts w:ascii="Arial" w:hAnsi="Arial" w:cs="Arial"/>
          <w:i/>
          <w:iCs/>
        </w:rPr>
        <w:t>4.4 Approaches to supporting practitioners and learners’ well-being</w:t>
      </w:r>
    </w:p>
    <w:p w14:paraId="215EB9B7" w14:textId="6C05046B" w:rsidR="007A207E" w:rsidRPr="004A3F41" w:rsidRDefault="007A207E" w:rsidP="004A3F41">
      <w:pPr>
        <w:spacing w:line="360" w:lineRule="auto"/>
        <w:rPr>
          <w:rFonts w:ascii="Arial" w:hAnsi="Arial" w:cs="Arial"/>
        </w:rPr>
      </w:pPr>
      <w:r w:rsidRPr="004A3F41">
        <w:rPr>
          <w:rFonts w:ascii="Arial" w:hAnsi="Arial" w:cs="Arial"/>
        </w:rPr>
        <w:t xml:space="preserve">In order to answer the research question, data was collected that evidenced the use of strategies to support emotional and social, mental and spiritual and physical well-being in line with the NHS (2019) ways to wellbeing as shown in figure 4.1 which highlights the </w:t>
      </w:r>
      <w:r w:rsidR="006F148E">
        <w:rPr>
          <w:rFonts w:ascii="Arial" w:hAnsi="Arial" w:cs="Arial"/>
        </w:rPr>
        <w:t xml:space="preserve">activities </w:t>
      </w:r>
      <w:r w:rsidR="00990780" w:rsidRPr="00990780">
        <w:rPr>
          <w:rFonts w:ascii="Arial" w:hAnsi="Arial" w:cs="Arial"/>
        </w:rPr>
        <w:t>learners</w:t>
      </w:r>
      <w:r w:rsidR="006F148E">
        <w:rPr>
          <w:rFonts w:ascii="Arial" w:hAnsi="Arial" w:cs="Arial"/>
        </w:rPr>
        <w:t xml:space="preserve"> can use to</w:t>
      </w:r>
      <w:r w:rsidR="00990780" w:rsidRPr="00990780">
        <w:rPr>
          <w:rFonts w:ascii="Arial" w:hAnsi="Arial" w:cs="Arial"/>
        </w:rPr>
        <w:t xml:space="preserve"> develop in each area.</w:t>
      </w:r>
      <w:r w:rsidR="00E56A4F">
        <w:rPr>
          <w:rFonts w:ascii="Arial" w:hAnsi="Arial" w:cs="Arial"/>
        </w:rPr>
        <w:t xml:space="preserve"> </w:t>
      </w:r>
    </w:p>
    <w:p w14:paraId="4A075C60" w14:textId="3E65C92A" w:rsidR="007A207E" w:rsidRPr="004A3F41" w:rsidRDefault="007A207E" w:rsidP="004A3F41">
      <w:pPr>
        <w:spacing w:line="360" w:lineRule="auto"/>
        <w:rPr>
          <w:rFonts w:ascii="Arial" w:hAnsi="Arial" w:cs="Arial"/>
          <w:i/>
          <w:iCs/>
        </w:rPr>
      </w:pPr>
      <w:r w:rsidRPr="004A3F41">
        <w:rPr>
          <w:rFonts w:ascii="Arial" w:hAnsi="Arial" w:cs="Arial"/>
          <w:i/>
          <w:iCs/>
        </w:rPr>
        <w:t>4.4.1</w:t>
      </w:r>
      <w:r w:rsidRPr="004A3F41">
        <w:rPr>
          <w:rFonts w:ascii="Arial" w:hAnsi="Arial" w:cs="Arial"/>
        </w:rPr>
        <w:t xml:space="preserve"> </w:t>
      </w:r>
      <w:r w:rsidRPr="004A3F41">
        <w:rPr>
          <w:rFonts w:ascii="Arial" w:hAnsi="Arial" w:cs="Arial"/>
          <w:i/>
          <w:iCs/>
        </w:rPr>
        <w:t>Emotional and social well-being</w:t>
      </w:r>
    </w:p>
    <w:p w14:paraId="176F9FE0" w14:textId="6ADD7891" w:rsidR="007A207E" w:rsidRPr="004A3F41" w:rsidRDefault="007A207E" w:rsidP="004A3F41">
      <w:pPr>
        <w:spacing w:line="360" w:lineRule="auto"/>
        <w:rPr>
          <w:rFonts w:ascii="Arial" w:hAnsi="Arial" w:cs="Arial"/>
        </w:rPr>
      </w:pPr>
      <w:r w:rsidRPr="004A3F41">
        <w:rPr>
          <w:noProof/>
        </w:rPr>
        <mc:AlternateContent>
          <mc:Choice Requires="wps">
            <w:drawing>
              <wp:anchor distT="0" distB="0" distL="114300" distR="114300" simplePos="0" relativeHeight="251654144" behindDoc="0" locked="0" layoutInCell="1" allowOverlap="1" wp14:anchorId="5EE9A4AC" wp14:editId="4A428370">
                <wp:simplePos x="0" y="0"/>
                <wp:positionH relativeFrom="column">
                  <wp:posOffset>3592830</wp:posOffset>
                </wp:positionH>
                <wp:positionV relativeFrom="paragraph">
                  <wp:posOffset>528955</wp:posOffset>
                </wp:positionV>
                <wp:extent cx="274193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741930" cy="635"/>
                        </a:xfrm>
                        <a:prstGeom prst="rect">
                          <a:avLst/>
                        </a:prstGeom>
                        <a:solidFill>
                          <a:prstClr val="white"/>
                        </a:solidFill>
                        <a:ln>
                          <a:noFill/>
                        </a:ln>
                      </wps:spPr>
                      <wps:txbx>
                        <w:txbxContent>
                          <w:p w14:paraId="087871AB" w14:textId="77777777" w:rsidR="00CB4AFB" w:rsidRPr="006F148E" w:rsidRDefault="00CB4AFB" w:rsidP="007A207E">
                            <w:pPr>
                              <w:pStyle w:val="Caption"/>
                              <w:rPr>
                                <w:rFonts w:ascii="Arial" w:eastAsiaTheme="minorHAnsi" w:hAnsi="Arial" w:cs="Arial"/>
                                <w:b w:val="0"/>
                                <w:bCs w:val="0"/>
                                <w:noProof/>
                                <w:color w:val="7F7F7F" w:themeColor="text1" w:themeTint="80"/>
                                <w:sz w:val="24"/>
                                <w:szCs w:val="24"/>
                              </w:rPr>
                            </w:pPr>
                            <w:r w:rsidRPr="006F148E">
                              <w:rPr>
                                <w:b w:val="0"/>
                                <w:bCs w:val="0"/>
                                <w:color w:val="7F7F7F" w:themeColor="text1" w:themeTint="80"/>
                              </w:rPr>
                              <w:t xml:space="preserve">Figure 4.1: Wheel of well-being showcased in Year 5 and 6 </w:t>
                            </w:r>
                            <w:proofErr w:type="gramStart"/>
                            <w:r w:rsidRPr="006F148E">
                              <w:rPr>
                                <w:b w:val="0"/>
                                <w:bCs w:val="0"/>
                                <w:color w:val="7F7F7F" w:themeColor="text1" w:themeTint="80"/>
                              </w:rPr>
                              <w:t>wing</w:t>
                            </w:r>
                            <w:proofErr w:type="gramEnd"/>
                            <w:r w:rsidRPr="006F148E">
                              <w:rPr>
                                <w:b w:val="0"/>
                                <w:bCs w:val="0"/>
                                <w:color w:val="7F7F7F" w:themeColor="text1" w:themeTint="80"/>
                              </w:rPr>
                              <w:t xml:space="preserve"> at School X, adapted from the NHS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9A4AC" id="Text Box 3" o:spid="_x0000_s1027" type="#_x0000_t202" style="position:absolute;margin-left:282.9pt;margin-top:41.65pt;width:215.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" stroked="f">
                <v:textbox style="mso-fit-shape-to-text:t" inset="0,0,0,0">
                  <w:txbxContent>
                    <w:p w14:paraId="087871AB" w14:textId="77777777" w:rsidR="00CB4AFB" w:rsidRPr="006F148E" w:rsidRDefault="00CB4AFB" w:rsidP="007A207E">
                      <w:pPr>
                        <w:pStyle w:val="Caption"/>
                        <w:rPr>
                          <w:rFonts w:ascii="Arial" w:eastAsiaTheme="minorHAnsi" w:hAnsi="Arial" w:cs="Arial"/>
                          <w:b w:val="0"/>
                          <w:bCs w:val="0"/>
                          <w:noProof/>
                          <w:color w:val="7F7F7F" w:themeColor="text1" w:themeTint="80"/>
                          <w:sz w:val="24"/>
                          <w:szCs w:val="24"/>
                        </w:rPr>
                      </w:pPr>
                      <w:r w:rsidRPr="006F148E">
                        <w:rPr>
                          <w:b w:val="0"/>
                          <w:bCs w:val="0"/>
                          <w:color w:val="7F7F7F" w:themeColor="text1" w:themeTint="80"/>
                        </w:rPr>
                        <w:t xml:space="preserve">Figure 4.1: Wheel of well-being showcased in Year 5 and 6 </w:t>
                      </w:r>
                      <w:proofErr w:type="gramStart"/>
                      <w:r w:rsidRPr="006F148E">
                        <w:rPr>
                          <w:b w:val="0"/>
                          <w:bCs w:val="0"/>
                          <w:color w:val="7F7F7F" w:themeColor="text1" w:themeTint="80"/>
                        </w:rPr>
                        <w:t>wing</w:t>
                      </w:r>
                      <w:proofErr w:type="gramEnd"/>
                      <w:r w:rsidRPr="006F148E">
                        <w:rPr>
                          <w:b w:val="0"/>
                          <w:bCs w:val="0"/>
                          <w:color w:val="7F7F7F" w:themeColor="text1" w:themeTint="80"/>
                        </w:rPr>
                        <w:t xml:space="preserve"> at School X, adapted from the NHS (2019).</w:t>
                      </w:r>
                    </w:p>
                  </w:txbxContent>
                </v:textbox>
                <w10:wrap type="square"/>
              </v:shape>
            </w:pict>
          </mc:Fallback>
        </mc:AlternateContent>
      </w:r>
      <w:r w:rsidRPr="004A3F41">
        <w:rPr>
          <w:rFonts w:ascii="Arial" w:hAnsi="Arial" w:cs="Arial"/>
        </w:rPr>
        <w:t xml:space="preserve">The school use Emotional Literacy Support Assistant (ELSA) training to support the emotional and social well-being of learners by promoting a range of coping strategies. Currently within the school there are 7 members of staff that have undergone the ELSA training, the school further supports learners across the school by placing an ELSA trained member of staff within each wing to continuously build relationships and monitor the progress of individuals. In correlation with research mentioned in the literature review, the ELSA programme has improved individual’s emotional and social well-being. A key aspect of ELSA is relationships which highlights the value of dedicating time at the beginning of the year to build relationships with the learners by taking interest in their hobbies and talents outside of school. Furthermore, an interview with a Key Stage 2 practitioner suggested that ‘taking the time to build and nurture relationships with all pupils in the class is the most effective way to promote well-being’ as the practitioner can identify any patterns or changes of behaviour which may indicate a well-being issue. </w:t>
      </w:r>
    </w:p>
    <w:p w14:paraId="3055156A" w14:textId="12929743" w:rsidR="007A207E" w:rsidRPr="004A3F41" w:rsidRDefault="007A207E" w:rsidP="004A3F41">
      <w:pPr>
        <w:spacing w:line="360" w:lineRule="auto"/>
        <w:rPr>
          <w:rFonts w:ascii="Arial" w:hAnsi="Arial" w:cs="Arial"/>
        </w:rPr>
      </w:pPr>
      <w:r w:rsidRPr="004A3F41">
        <w:rPr>
          <w:rFonts w:ascii="Arial" w:hAnsi="Arial" w:cs="Arial"/>
        </w:rPr>
        <w:t>To address the increasing use of social media and the impact it has on pupils’ mental well-being</w:t>
      </w:r>
      <w:r w:rsidR="009E048C">
        <w:rPr>
          <w:rFonts w:ascii="Arial" w:hAnsi="Arial" w:cs="Arial"/>
        </w:rPr>
        <w:t>,</w:t>
      </w:r>
      <w:r w:rsidRPr="004A3F41">
        <w:rPr>
          <w:rFonts w:ascii="Arial" w:hAnsi="Arial" w:cs="Arial"/>
        </w:rPr>
        <w:t xml:space="preserve"> in Upper Key Stage 2 the school organised a ‘making connections fair’ which aimed to introduce learners and their families to a range of activities they can participate in after school to reduce the use of social media. The fair included Guides, Cubs, the local leisure centre, St Johns Ambulance, horse riding and canoeing, a participant from focus group 3 said ‘I go horse-riding, that helps my well-being’. </w:t>
      </w:r>
    </w:p>
    <w:p w14:paraId="4B235075" w14:textId="77777777" w:rsidR="007A207E" w:rsidRPr="004A3F41" w:rsidRDefault="007A207E" w:rsidP="004A3F41">
      <w:pPr>
        <w:spacing w:line="360" w:lineRule="auto"/>
        <w:rPr>
          <w:rFonts w:ascii="Arial" w:hAnsi="Arial" w:cs="Arial"/>
        </w:rPr>
      </w:pPr>
      <w:r w:rsidRPr="004A3F41">
        <w:rPr>
          <w:rFonts w:ascii="Arial" w:hAnsi="Arial" w:cs="Arial"/>
        </w:rPr>
        <w:t xml:space="preserve">The majority (4 out of 6) of Foundation Phase learners that were interviewed suggested they would tell a teacher if they were worried about anything in school, some participants also </w:t>
      </w:r>
      <w:r w:rsidRPr="004A3F41">
        <w:rPr>
          <w:rFonts w:ascii="Arial" w:hAnsi="Arial" w:cs="Arial"/>
        </w:rPr>
        <w:lastRenderedPageBreak/>
        <w:t xml:space="preserve">suggested that they would tell a friend. Lower Key Stage 2 also suggested that they would tell a trusting adult either in their class or the ‘hive’ which is a dedicated classroom for learners with behavioural and emotional issues. In addition, half of the participants suggested they would tell a friend. However, upper Key Stage 2 said ‘I would just deal with it’ or ‘hold it in’, no participant indicated telling either a friend or a teacher which supports the view previously discussed of learners being able to hide any emotional issues. </w:t>
      </w:r>
    </w:p>
    <w:p w14:paraId="24D28740" w14:textId="4A6082A8" w:rsidR="007A207E" w:rsidRPr="004A3F41" w:rsidRDefault="007A207E" w:rsidP="004A3F41">
      <w:pPr>
        <w:spacing w:line="360" w:lineRule="auto"/>
        <w:rPr>
          <w:rFonts w:ascii="Arial" w:hAnsi="Arial" w:cs="Arial"/>
        </w:rPr>
      </w:pPr>
      <w:r w:rsidRPr="004A3F41">
        <w:rPr>
          <w:rFonts w:ascii="Arial" w:hAnsi="Arial" w:cs="Arial"/>
        </w:rPr>
        <w:t>To promote the emotional and social well-being of both practitioners, learners and the wider community the school have created a ‘Community Choir’ which encourages everyone to socialise and develop relationships through a shared passion for singing. The co-ordinator for the choir stated that the choir ‘improves well-being by promoting socialisation within the community’. A similar good practice example was shared by Estyn (2019</w:t>
      </w:r>
      <w:r w:rsidR="0043481D">
        <w:rPr>
          <w:rFonts w:ascii="Arial" w:hAnsi="Arial" w:cs="Arial"/>
        </w:rPr>
        <w:t>a</w:t>
      </w:r>
      <w:r w:rsidRPr="004A3F41">
        <w:rPr>
          <w:rFonts w:ascii="Arial" w:hAnsi="Arial" w:cs="Arial"/>
        </w:rPr>
        <w:t>) where the school initially intended to encourage learners to build relationships with local care home residents. As a result of enthusiasm for the choir, it has been extended to include parents and members of the wider community which give</w:t>
      </w:r>
      <w:r w:rsidR="008D1060">
        <w:rPr>
          <w:rFonts w:ascii="Arial" w:hAnsi="Arial" w:cs="Arial"/>
        </w:rPr>
        <w:t>s</w:t>
      </w:r>
      <w:r w:rsidRPr="004A3F41">
        <w:rPr>
          <w:rFonts w:ascii="Arial" w:hAnsi="Arial" w:cs="Arial"/>
        </w:rPr>
        <w:t xml:space="preserve"> learners the opportunity to value relationships and develop social skills. </w:t>
      </w:r>
    </w:p>
    <w:p w14:paraId="3B9B678F" w14:textId="77777777" w:rsidR="007A207E" w:rsidRPr="004A3F41" w:rsidRDefault="007A207E" w:rsidP="004A3F41">
      <w:pPr>
        <w:spacing w:line="360" w:lineRule="auto"/>
        <w:rPr>
          <w:rFonts w:ascii="Arial" w:hAnsi="Arial" w:cs="Arial"/>
          <w:i/>
          <w:iCs/>
        </w:rPr>
      </w:pPr>
      <w:r w:rsidRPr="004A3F41">
        <w:rPr>
          <w:rFonts w:ascii="Arial" w:hAnsi="Arial" w:cs="Arial"/>
          <w:i/>
          <w:iCs/>
        </w:rPr>
        <w:t>4.4.2</w:t>
      </w:r>
      <w:r w:rsidRPr="004A3F41">
        <w:rPr>
          <w:rFonts w:ascii="Arial" w:hAnsi="Arial" w:cs="Arial"/>
        </w:rPr>
        <w:t xml:space="preserve"> </w:t>
      </w:r>
      <w:r w:rsidRPr="004A3F41">
        <w:rPr>
          <w:rFonts w:ascii="Arial" w:hAnsi="Arial" w:cs="Arial"/>
          <w:i/>
          <w:iCs/>
        </w:rPr>
        <w:t>Mental and spiritual well-being</w:t>
      </w:r>
    </w:p>
    <w:p w14:paraId="53E0B376" w14:textId="30893440" w:rsidR="007A207E" w:rsidRPr="004A3F41" w:rsidRDefault="007A207E" w:rsidP="004A3F41">
      <w:pPr>
        <w:spacing w:line="360" w:lineRule="auto"/>
        <w:rPr>
          <w:rFonts w:ascii="Arial" w:hAnsi="Arial" w:cs="Arial"/>
        </w:rPr>
      </w:pPr>
      <w:r w:rsidRPr="004A3F41">
        <w:rPr>
          <w:rFonts w:ascii="Arial" w:hAnsi="Arial" w:cs="Arial"/>
        </w:rPr>
        <w:t>Learners in year 5 and 6 have a ‘You are Awesome’ journal full of prompts to encourage learners to develop resilience, achieve goals and become confident individuals (Syed, 2018). The school promote use of Carol Dweck’s (2012) ‘Growth Mindset’ and James Nottingham’s (2018) ‘The Learning Pit’ across the school with the aim to further promote positive thinking to achieve goals</w:t>
      </w:r>
      <w:r w:rsidR="002972F8">
        <w:rPr>
          <w:rFonts w:ascii="Arial" w:hAnsi="Arial" w:cs="Arial"/>
        </w:rPr>
        <w:t>,</w:t>
      </w:r>
      <w:r w:rsidRPr="004A3F41">
        <w:rPr>
          <w:rFonts w:ascii="Arial" w:hAnsi="Arial" w:cs="Arial"/>
        </w:rPr>
        <w:t xml:space="preserve"> therefore boosting self-esteem and confidence (see Appendix </w:t>
      </w:r>
      <w:r w:rsidR="00B21F1A">
        <w:rPr>
          <w:rFonts w:ascii="Arial" w:hAnsi="Arial" w:cs="Arial"/>
        </w:rPr>
        <w:t>5</w:t>
      </w:r>
      <w:r w:rsidRPr="004A3F41">
        <w:rPr>
          <w:rFonts w:ascii="Arial" w:hAnsi="Arial" w:cs="Arial"/>
        </w:rPr>
        <w:t xml:space="preserve">). Both practitioners and learners indicated the importance of mental health as they stated, ‘mental health and children and teachers is a massive focus area at the moment’ and ‘mental health is important to your well-being. In addition, the whole school engage in daily yoga which promotes mental and spiritual well-being alongside developing core strength. Furthermore, the school have invested in training a mental health first aider, which is currently not a legal requirement in Wales but highlights the school’s ambition to ensure the well-being of learners is supported </w:t>
      </w:r>
      <w:r w:rsidR="007822A4">
        <w:rPr>
          <w:rFonts w:ascii="Arial" w:hAnsi="Arial" w:cs="Arial"/>
        </w:rPr>
        <w:t>(</w:t>
      </w:r>
      <w:r w:rsidR="00566985">
        <w:rPr>
          <w:rFonts w:ascii="Arial" w:hAnsi="Arial" w:cs="Arial"/>
        </w:rPr>
        <w:t>NEU</w:t>
      </w:r>
      <w:r w:rsidR="00FB6A7D">
        <w:rPr>
          <w:rFonts w:ascii="Arial" w:hAnsi="Arial" w:cs="Arial"/>
        </w:rPr>
        <w:t>, 2019</w:t>
      </w:r>
      <w:r w:rsidR="00427E20">
        <w:rPr>
          <w:rFonts w:ascii="Arial" w:hAnsi="Arial" w:cs="Arial"/>
        </w:rPr>
        <w:t>b</w:t>
      </w:r>
      <w:r w:rsidR="00FB6A7D">
        <w:rPr>
          <w:rFonts w:ascii="Arial" w:hAnsi="Arial" w:cs="Arial"/>
        </w:rPr>
        <w:t>)</w:t>
      </w:r>
      <w:r w:rsidRPr="004A3F41">
        <w:rPr>
          <w:rFonts w:ascii="Arial" w:hAnsi="Arial" w:cs="Arial"/>
        </w:rPr>
        <w:t>. Some members of staff have had the opportunity to engage in mindfulness training which they said was very beneficial to their own well-being. The next step for the school is to complete a course that allows practitioners to deliver mindfulness training to learners.</w:t>
      </w:r>
    </w:p>
    <w:p w14:paraId="6E519FE3" w14:textId="77777777" w:rsidR="007A207E" w:rsidRPr="004A3F41" w:rsidRDefault="007A207E" w:rsidP="004A3F41">
      <w:pPr>
        <w:spacing w:line="360" w:lineRule="auto"/>
        <w:rPr>
          <w:rFonts w:ascii="Arial" w:hAnsi="Arial" w:cs="Arial"/>
        </w:rPr>
      </w:pPr>
      <w:r w:rsidRPr="004A3F41">
        <w:rPr>
          <w:rFonts w:ascii="Arial" w:hAnsi="Arial" w:cs="Arial"/>
        </w:rPr>
        <w:t xml:space="preserve">On the other hand, practitioners’ mental well-being is promoted as staff are supported and encouraged to engage in a wide range of Continual Professional Development. In addition, staff benefit from an equal allocation of time spent engaging in professional development through a range of continual professional development opportunities including mindfulness, </w:t>
      </w:r>
      <w:r w:rsidRPr="004A3F41">
        <w:rPr>
          <w:rFonts w:ascii="Arial" w:hAnsi="Arial" w:cs="Arial"/>
        </w:rPr>
        <w:lastRenderedPageBreak/>
        <w:t xml:space="preserve">empathy, drama, music and sign-along training alongside the opportunity to engage in individual research projects or additional qualifications. Many of the participants suggested the implementation of the asymmetric week has improved their well-being as they have more opportunities to engage in professional learning which is now a key aspect of the teaching standards in Wales (Welsh Government, 2019). In addition, the Public Policy Institute for Wales (PPIW) (2016) undertook research into the benefits and limitations of Wales implementing the asymmetric week across all schools in Wales. The research highlighted the benefits for practitioners as it would promote more free time to engage in professional learning opportunities alongside activities that can boost staff and pupils’ well-being. </w:t>
      </w:r>
    </w:p>
    <w:p w14:paraId="4C6FC87E" w14:textId="77777777" w:rsidR="007A207E" w:rsidRPr="004A3F41" w:rsidRDefault="007A207E" w:rsidP="004A3F41">
      <w:pPr>
        <w:spacing w:line="360" w:lineRule="auto"/>
        <w:rPr>
          <w:rFonts w:ascii="Arial" w:hAnsi="Arial" w:cs="Arial"/>
          <w:i/>
          <w:iCs/>
        </w:rPr>
      </w:pPr>
      <w:r w:rsidRPr="004A3F41">
        <w:rPr>
          <w:rFonts w:ascii="Arial" w:hAnsi="Arial" w:cs="Arial"/>
          <w:i/>
          <w:iCs/>
        </w:rPr>
        <w:t>4.4.3</w:t>
      </w:r>
      <w:r w:rsidRPr="004A3F41">
        <w:rPr>
          <w:rFonts w:ascii="Arial" w:hAnsi="Arial" w:cs="Arial"/>
        </w:rPr>
        <w:t xml:space="preserve"> </w:t>
      </w:r>
      <w:r w:rsidRPr="004A3F41">
        <w:rPr>
          <w:rFonts w:ascii="Arial" w:hAnsi="Arial" w:cs="Arial"/>
          <w:i/>
          <w:iCs/>
        </w:rPr>
        <w:t>Physical well-being</w:t>
      </w:r>
    </w:p>
    <w:p w14:paraId="776B5B84" w14:textId="46DD20FC" w:rsidR="007A207E" w:rsidRPr="004A3F41" w:rsidRDefault="007A207E" w:rsidP="004A3F41">
      <w:pPr>
        <w:spacing w:line="360" w:lineRule="auto"/>
        <w:rPr>
          <w:rFonts w:ascii="Arial" w:hAnsi="Arial" w:cs="Arial"/>
        </w:rPr>
      </w:pPr>
      <w:r w:rsidRPr="004A3F41">
        <w:rPr>
          <w:rFonts w:ascii="Arial" w:hAnsi="Arial" w:cs="Arial"/>
        </w:rPr>
        <w:t>The school have incorporated a wide range of physical activities to boost learners’ physical well-being which include Rika Shake which is a trampolining exercise class run by an outside agency, this activity is available weekly for learners throughout Key Stage 2 and for all members of staff after school before weekly school meetings. The session aims to improve core strength</w:t>
      </w:r>
      <w:r w:rsidR="002E2D4B">
        <w:rPr>
          <w:rFonts w:ascii="Arial" w:hAnsi="Arial" w:cs="Arial"/>
        </w:rPr>
        <w:t xml:space="preserve"> and</w:t>
      </w:r>
      <w:r w:rsidRPr="004A3F41">
        <w:rPr>
          <w:rFonts w:ascii="Arial" w:hAnsi="Arial" w:cs="Arial"/>
        </w:rPr>
        <w:t xml:space="preserve"> the sessions are enjoyable for all learners. Additionally, learners throughout the school are encouraged to take part in a daily </w:t>
      </w:r>
      <w:r w:rsidR="007F0EDC">
        <w:rPr>
          <w:rFonts w:ascii="Arial" w:hAnsi="Arial" w:cs="Arial"/>
        </w:rPr>
        <w:t xml:space="preserve">kilometre </w:t>
      </w:r>
      <w:r w:rsidRPr="004A3F41">
        <w:rPr>
          <w:rFonts w:ascii="Arial" w:hAnsi="Arial" w:cs="Arial"/>
        </w:rPr>
        <w:t>and yoga sessions which aims to promote healthy behaviours for all learners. One member of staff has recently engaged in SKIP Cymru training which aims to improve motor development of pupils in the early years which is primarily taught through dedicated sessions then further supported in the classroom through a range of independent tasks. In Key Stage 2 learners are encouraged to try new activities such as free running which encourages learners to challenge themselves and take risks.</w:t>
      </w:r>
    </w:p>
    <w:bookmarkEnd w:id="5"/>
    <w:p w14:paraId="6CA2DDAC" w14:textId="77777777" w:rsidR="007A207E" w:rsidRPr="004A3F41" w:rsidRDefault="007A207E" w:rsidP="004A3F41">
      <w:pPr>
        <w:spacing w:line="360" w:lineRule="auto"/>
        <w:rPr>
          <w:rFonts w:ascii="Arial" w:hAnsi="Arial" w:cs="Arial"/>
        </w:rPr>
      </w:pPr>
      <w:r w:rsidRPr="004A3F41">
        <w:rPr>
          <w:rFonts w:ascii="Arial" w:hAnsi="Arial" w:cs="Arial"/>
        </w:rPr>
        <w:t>To conclude, this chapter has detailed the numerous ways in which practitioners and learners’ well-being can be promoted in school. These findings will impact on the authors’ future practice which will be discussed in more detail in the following chapter</w:t>
      </w:r>
      <w:bookmarkEnd w:id="4"/>
      <w:r w:rsidRPr="004A3F41">
        <w:rPr>
          <w:rFonts w:ascii="Arial" w:hAnsi="Arial" w:cs="Arial"/>
        </w:rPr>
        <w:t xml:space="preserve">. </w:t>
      </w:r>
    </w:p>
    <w:p w14:paraId="3CC8DC87" w14:textId="12C39303" w:rsidR="009E4D7F" w:rsidRDefault="009E4D7F" w:rsidP="004A3F41">
      <w:pPr>
        <w:spacing w:line="360" w:lineRule="auto"/>
        <w:rPr>
          <w:rFonts w:ascii="Arial" w:hAnsi="Arial" w:cs="Arial"/>
          <w:sz w:val="28"/>
          <w:szCs w:val="28"/>
        </w:rPr>
      </w:pPr>
    </w:p>
    <w:p w14:paraId="73EB8984" w14:textId="2E078C55" w:rsidR="00650EDE" w:rsidRDefault="00650EDE" w:rsidP="004A3F41">
      <w:pPr>
        <w:spacing w:line="360" w:lineRule="auto"/>
        <w:rPr>
          <w:rFonts w:ascii="Arial" w:hAnsi="Arial" w:cs="Arial"/>
          <w:sz w:val="28"/>
          <w:szCs w:val="28"/>
        </w:rPr>
      </w:pPr>
    </w:p>
    <w:p w14:paraId="729F6A9F" w14:textId="68CA5C7B" w:rsidR="00650EDE" w:rsidRDefault="00650EDE" w:rsidP="004A3F41">
      <w:pPr>
        <w:spacing w:line="360" w:lineRule="auto"/>
        <w:rPr>
          <w:rFonts w:ascii="Arial" w:hAnsi="Arial" w:cs="Arial"/>
          <w:sz w:val="28"/>
          <w:szCs w:val="28"/>
        </w:rPr>
      </w:pPr>
    </w:p>
    <w:p w14:paraId="364ACB4D" w14:textId="6E662309" w:rsidR="00650EDE" w:rsidRDefault="00650EDE" w:rsidP="004A3F41">
      <w:pPr>
        <w:spacing w:line="360" w:lineRule="auto"/>
        <w:rPr>
          <w:rFonts w:ascii="Arial" w:hAnsi="Arial" w:cs="Arial"/>
          <w:sz w:val="28"/>
          <w:szCs w:val="28"/>
        </w:rPr>
      </w:pPr>
    </w:p>
    <w:p w14:paraId="1459FBFF" w14:textId="77777777" w:rsidR="004A3F41" w:rsidRPr="009F3489" w:rsidRDefault="004A3F41" w:rsidP="004A3F41">
      <w:pPr>
        <w:spacing w:line="360" w:lineRule="auto"/>
        <w:rPr>
          <w:rFonts w:ascii="Arial" w:hAnsi="Arial" w:cs="Arial"/>
          <w:sz w:val="28"/>
          <w:szCs w:val="28"/>
        </w:rPr>
      </w:pPr>
    </w:p>
    <w:p w14:paraId="299A0FF7" w14:textId="31EA33E2" w:rsidR="009E4D7F" w:rsidRDefault="009E4D7F" w:rsidP="004A3F41">
      <w:pPr>
        <w:pStyle w:val="Title"/>
        <w:spacing w:line="360" w:lineRule="auto"/>
        <w:rPr>
          <w:rFonts w:ascii="Arial" w:hAnsi="Arial" w:cs="Arial"/>
          <w:sz w:val="28"/>
          <w:szCs w:val="28"/>
        </w:rPr>
      </w:pPr>
      <w:r w:rsidRPr="009F3489">
        <w:rPr>
          <w:rFonts w:ascii="Arial" w:hAnsi="Arial" w:cs="Arial"/>
          <w:sz w:val="28"/>
          <w:szCs w:val="28"/>
        </w:rPr>
        <w:lastRenderedPageBreak/>
        <w:t>Chapter 5: Conclusion</w:t>
      </w:r>
    </w:p>
    <w:p w14:paraId="71283E6A" w14:textId="77777777" w:rsidR="00FC62F7" w:rsidRDefault="00FC62F7" w:rsidP="004A3F41">
      <w:pPr>
        <w:spacing w:line="360" w:lineRule="auto"/>
        <w:rPr>
          <w:rFonts w:ascii="Arial" w:hAnsi="Arial" w:cs="Arial"/>
        </w:rPr>
      </w:pPr>
      <w:r w:rsidRPr="00C166C0">
        <w:rPr>
          <w:rFonts w:ascii="Arial" w:hAnsi="Arial" w:cs="Arial"/>
        </w:rPr>
        <w:t xml:space="preserve">The aim of this research study was to gain a deeper understanding of the strategies and approaches used by schools to promote practitioners and learners’ well-being which will be incorporated into future practice. The findings have highlighted the vast number of strategies utilised by schools to promote emotional, social, mental and physical well-being of both practitioners and staff. </w:t>
      </w:r>
      <w:r>
        <w:rPr>
          <w:rFonts w:ascii="Arial" w:hAnsi="Arial" w:cs="Arial"/>
        </w:rPr>
        <w:t xml:space="preserve">Future research might examine the effectiveness of the strategies discussed in promoting practitioners and learners’ well-being. </w:t>
      </w:r>
    </w:p>
    <w:p w14:paraId="2FEF50A9" w14:textId="77F51021" w:rsidR="00FC62F7" w:rsidRDefault="00FC62F7" w:rsidP="004A3F41">
      <w:pPr>
        <w:spacing w:line="360" w:lineRule="auto"/>
        <w:rPr>
          <w:rFonts w:ascii="Arial" w:hAnsi="Arial" w:cs="Arial"/>
        </w:rPr>
      </w:pPr>
      <w:r>
        <w:rPr>
          <w:rFonts w:ascii="Arial" w:hAnsi="Arial" w:cs="Arial"/>
        </w:rPr>
        <w:t xml:space="preserve">The findings have highlighted the importance of developing positive relationships with all learners in the classroom as it encourages learners to share any issues or worries with the practitioner. To ensure these relationships are built, the practitioner should ensure they strive to take interest in individual’s hobbies and interests both within and outside of school. </w:t>
      </w:r>
      <w:r w:rsidR="001652C6">
        <w:rPr>
          <w:rFonts w:ascii="Arial" w:hAnsi="Arial" w:cs="Arial"/>
        </w:rPr>
        <w:t>I</w:t>
      </w:r>
      <w:r>
        <w:rPr>
          <w:rFonts w:ascii="Arial" w:hAnsi="Arial" w:cs="Arial"/>
        </w:rPr>
        <w:t xml:space="preserve">t is important to note that building trusting relationships with learners takes time therefore, it would be highly beneficial for the practitioner to develop these relationships prior to the beginning of the year by getting involved in extracurricular activities and events. </w:t>
      </w:r>
    </w:p>
    <w:p w14:paraId="0AF62975" w14:textId="77777777" w:rsidR="00FC62F7" w:rsidRDefault="00FC62F7" w:rsidP="004A3F41">
      <w:pPr>
        <w:spacing w:line="360" w:lineRule="auto"/>
        <w:rPr>
          <w:rFonts w:ascii="Arial" w:hAnsi="Arial" w:cs="Arial"/>
        </w:rPr>
      </w:pPr>
      <w:r>
        <w:rPr>
          <w:rFonts w:ascii="Arial" w:hAnsi="Arial" w:cs="Arial"/>
        </w:rPr>
        <w:t xml:space="preserve">In addition, the current study has highlighted the value of developing learners’ social and emotional skills as it gives learners’ the vocabulary to express issues and </w:t>
      </w:r>
      <w:proofErr w:type="gramStart"/>
      <w:r>
        <w:rPr>
          <w:rFonts w:ascii="Arial" w:hAnsi="Arial" w:cs="Arial"/>
        </w:rPr>
        <w:t>worries</w:t>
      </w:r>
      <w:proofErr w:type="gramEnd"/>
      <w:r>
        <w:rPr>
          <w:rFonts w:ascii="Arial" w:hAnsi="Arial" w:cs="Arial"/>
        </w:rPr>
        <w:t xml:space="preserve"> they may have either within or outside of school. Therefore, it is crucial that some of the themes included in the ELSA programme are promoted within the classroom to further concrete the emotional and social skills for all learners. To achieve this, regular teaching and learning experiences that promote emotional recognition, coping skills and social cues would be crucial to further support learners. </w:t>
      </w:r>
    </w:p>
    <w:p w14:paraId="1165BABA" w14:textId="5D3529FE" w:rsidR="00723296" w:rsidRDefault="00FC62F7" w:rsidP="004A3F41">
      <w:pPr>
        <w:spacing w:line="360" w:lineRule="auto"/>
        <w:rPr>
          <w:rFonts w:ascii="Arial" w:hAnsi="Arial" w:cs="Arial"/>
        </w:rPr>
      </w:pPr>
      <w:r>
        <w:rPr>
          <w:rFonts w:ascii="Arial" w:hAnsi="Arial" w:cs="Arial"/>
        </w:rPr>
        <w:t xml:space="preserve">Furthermore, the importance of promoting both practitioners and learners’ mental health has become apparent throughout this study as both practitioners and learners have commented on the benefits of promoting good mental health. Promoting mental health exercises such as mindfulness and breathing techniques in the classroom can support practitioners and learners’ mental health. In addition, it is essential that practitioners promote </w:t>
      </w:r>
      <w:r w:rsidR="00910385">
        <w:rPr>
          <w:rFonts w:ascii="Arial" w:hAnsi="Arial" w:cs="Arial"/>
        </w:rPr>
        <w:t xml:space="preserve">and </w:t>
      </w:r>
      <w:r>
        <w:rPr>
          <w:rFonts w:ascii="Arial" w:hAnsi="Arial" w:cs="Arial"/>
        </w:rPr>
        <w:t xml:space="preserve">advocate the importance of mental health awareness amongst learners and staff by encouraging a school culture that values communication to share worries and issues regarding mental health. </w:t>
      </w:r>
    </w:p>
    <w:p w14:paraId="00D537E7" w14:textId="4CA64656" w:rsidR="00677E8C" w:rsidRDefault="00FC62F7" w:rsidP="004A3F41">
      <w:pPr>
        <w:spacing w:line="360" w:lineRule="auto"/>
        <w:rPr>
          <w:rFonts w:ascii="Arial" w:hAnsi="Arial" w:cs="Arial"/>
        </w:rPr>
      </w:pPr>
      <w:r>
        <w:rPr>
          <w:rFonts w:ascii="Arial" w:hAnsi="Arial" w:cs="Arial"/>
        </w:rPr>
        <w:t xml:space="preserve">Finally, it is crucial as a practitioner that all ‘ways of well-being’ advocated by the NHS (2019) are promoted by inside and outside of the school environment to ensure all practitioners have the ability to provide the most effective teaching and learning experiences. </w:t>
      </w:r>
    </w:p>
    <w:p w14:paraId="21E538A5" w14:textId="71BADEE4" w:rsidR="00EF4B77" w:rsidRDefault="00EF4B77" w:rsidP="004A3F41">
      <w:pPr>
        <w:spacing w:line="360" w:lineRule="auto"/>
        <w:rPr>
          <w:rFonts w:ascii="Arial" w:hAnsi="Arial" w:cs="Arial"/>
        </w:rPr>
      </w:pPr>
    </w:p>
    <w:p w14:paraId="2905BF93" w14:textId="4DE95384" w:rsidR="00EF4B77" w:rsidRPr="00CB4AFB" w:rsidRDefault="00EF4B77" w:rsidP="00EF4B77">
      <w:pPr>
        <w:pStyle w:val="Title"/>
        <w:rPr>
          <w:rFonts w:ascii="Arial" w:hAnsi="Arial" w:cs="Arial"/>
          <w:sz w:val="28"/>
          <w:szCs w:val="28"/>
        </w:rPr>
      </w:pPr>
      <w:r w:rsidRPr="00CB4AFB">
        <w:rPr>
          <w:rFonts w:ascii="Arial" w:hAnsi="Arial" w:cs="Arial"/>
          <w:sz w:val="28"/>
          <w:szCs w:val="28"/>
        </w:rPr>
        <w:lastRenderedPageBreak/>
        <w:t xml:space="preserve">Reference List </w:t>
      </w:r>
      <w:bookmarkStart w:id="6" w:name="_GoBack"/>
      <w:bookmarkEnd w:id="6"/>
    </w:p>
    <w:p w14:paraId="5933B677"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Aldrup</w:t>
      </w:r>
      <w:proofErr w:type="spellEnd"/>
      <w:r w:rsidRPr="00F75E7C">
        <w:rPr>
          <w:rFonts w:ascii="Arial" w:hAnsi="Arial" w:cs="Arial"/>
        </w:rPr>
        <w:t xml:space="preserve">, K. </w:t>
      </w:r>
      <w:r w:rsidRPr="00F75E7C">
        <w:rPr>
          <w:rFonts w:ascii="Arial" w:hAnsi="Arial" w:cs="Arial"/>
          <w:i/>
          <w:iCs/>
        </w:rPr>
        <w:t>et al</w:t>
      </w:r>
      <w:r w:rsidRPr="00F75E7C">
        <w:rPr>
          <w:rFonts w:ascii="Arial" w:hAnsi="Arial" w:cs="Arial"/>
        </w:rPr>
        <w:t xml:space="preserve">. (2018) ‘Student misbehaviour and teacher well-being: Testing the mediating role of the teacher-student relationship’, </w:t>
      </w:r>
      <w:r w:rsidRPr="00F75E7C">
        <w:rPr>
          <w:rFonts w:ascii="Arial" w:hAnsi="Arial" w:cs="Arial"/>
          <w:i/>
          <w:iCs/>
        </w:rPr>
        <w:t>Learning and Instruction</w:t>
      </w:r>
      <w:r w:rsidRPr="00F75E7C">
        <w:rPr>
          <w:rFonts w:ascii="Arial" w:hAnsi="Arial" w:cs="Arial"/>
        </w:rPr>
        <w:t>, 58, pp.126–136.</w:t>
      </w:r>
    </w:p>
    <w:p w14:paraId="2FEBD28A"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Barrance</w:t>
      </w:r>
      <w:proofErr w:type="spellEnd"/>
      <w:r w:rsidRPr="00F75E7C">
        <w:rPr>
          <w:rFonts w:ascii="Arial" w:hAnsi="Arial" w:cs="Arial"/>
        </w:rPr>
        <w:t xml:space="preserve">, R. (2019) </w:t>
      </w:r>
      <w:r w:rsidRPr="00F75E7C">
        <w:rPr>
          <w:rFonts w:ascii="Arial" w:hAnsi="Arial" w:cs="Arial"/>
          <w:i/>
          <w:iCs/>
        </w:rPr>
        <w:t xml:space="preserve">Beth </w:t>
      </w:r>
      <w:proofErr w:type="spellStart"/>
      <w:r w:rsidRPr="00F75E7C">
        <w:rPr>
          <w:rFonts w:ascii="Arial" w:hAnsi="Arial" w:cs="Arial"/>
          <w:i/>
          <w:iCs/>
        </w:rPr>
        <w:t>Nawr</w:t>
      </w:r>
      <w:proofErr w:type="spellEnd"/>
      <w:r w:rsidRPr="00F75E7C">
        <w:rPr>
          <w:rFonts w:ascii="Arial" w:hAnsi="Arial" w:cs="Arial"/>
          <w:i/>
          <w:iCs/>
        </w:rPr>
        <w:t>, 2019: The survey results and analysis of the experiences and worries of children and young people in Wales and their priorities for the Children’s Commissioner</w:t>
      </w:r>
      <w:r w:rsidRPr="00F75E7C">
        <w:rPr>
          <w:rFonts w:ascii="Arial" w:hAnsi="Arial" w:cs="Arial"/>
        </w:rPr>
        <w:t xml:space="preserve">. Swansea: Children’s Commissioner for Wales. </w:t>
      </w:r>
    </w:p>
    <w:p w14:paraId="04F8D3C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Biddle, S.J.H., </w:t>
      </w:r>
      <w:proofErr w:type="spellStart"/>
      <w:r w:rsidRPr="00F75E7C">
        <w:rPr>
          <w:rFonts w:ascii="Arial" w:hAnsi="Arial" w:cs="Arial"/>
        </w:rPr>
        <w:t>Boutcher</w:t>
      </w:r>
      <w:proofErr w:type="spellEnd"/>
      <w:r w:rsidRPr="00F75E7C">
        <w:rPr>
          <w:rFonts w:ascii="Arial" w:hAnsi="Arial" w:cs="Arial"/>
        </w:rPr>
        <w:t xml:space="preserve">, S.H., and Fox, K.R. (2000) </w:t>
      </w:r>
      <w:r w:rsidRPr="00F75E7C">
        <w:rPr>
          <w:rFonts w:ascii="Arial" w:hAnsi="Arial" w:cs="Arial"/>
          <w:i/>
          <w:iCs/>
        </w:rPr>
        <w:t>Physical activity and psychological well-being</w:t>
      </w:r>
      <w:r w:rsidRPr="00F75E7C">
        <w:rPr>
          <w:rFonts w:ascii="Arial" w:hAnsi="Arial" w:cs="Arial"/>
        </w:rPr>
        <w:t>. London: Routledge.</w:t>
      </w:r>
    </w:p>
    <w:p w14:paraId="58E10C0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Bradley, C. et al. (2018) ‘Supporting improvements in classroom climate for students and teachers with the four pillars of wellbeing curriculum’, </w:t>
      </w:r>
      <w:r w:rsidRPr="00F75E7C">
        <w:rPr>
          <w:rFonts w:ascii="Arial" w:hAnsi="Arial" w:cs="Arial"/>
          <w:i/>
          <w:iCs/>
        </w:rPr>
        <w:t>Translational Issues in Psychological Science</w:t>
      </w:r>
      <w:r w:rsidRPr="00F75E7C">
        <w:rPr>
          <w:rFonts w:ascii="Arial" w:hAnsi="Arial" w:cs="Arial"/>
        </w:rPr>
        <w:t xml:space="preserve">, 4(3), pp. 245–264. </w:t>
      </w:r>
    </w:p>
    <w:p w14:paraId="4C972BC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British Educational Research Association (BERA). (2018) </w:t>
      </w:r>
      <w:r w:rsidRPr="00F75E7C">
        <w:rPr>
          <w:rFonts w:ascii="Arial" w:hAnsi="Arial" w:cs="Arial"/>
          <w:i/>
          <w:iCs/>
        </w:rPr>
        <w:t xml:space="preserve">Ethical Guidelines for Education Research. </w:t>
      </w:r>
      <w:r w:rsidRPr="00F75E7C">
        <w:rPr>
          <w:rFonts w:ascii="Arial" w:hAnsi="Arial" w:cs="Arial"/>
        </w:rPr>
        <w:t xml:space="preserve">Available at: </w:t>
      </w:r>
      <w:hyperlink r:id="rId10" w:history="1">
        <w:r w:rsidRPr="00F75E7C">
          <w:rPr>
            <w:rStyle w:val="Hyperlink"/>
            <w:rFonts w:ascii="Arial" w:hAnsi="Arial" w:cs="Arial"/>
          </w:rPr>
          <w:t>https://www.bera.ac.uk/wp-content/uploads/2018/06/BERA-Ethical-Guidelines-for-Educational-Research_4thEdn_2018.pdf?noredirect=1</w:t>
        </w:r>
      </w:hyperlink>
      <w:r w:rsidRPr="00F75E7C">
        <w:rPr>
          <w:rFonts w:ascii="Arial" w:hAnsi="Arial" w:cs="Arial"/>
        </w:rPr>
        <w:t xml:space="preserve"> (Accessed on 15th February 2020).</w:t>
      </w:r>
    </w:p>
    <w:p w14:paraId="5E76625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British Educational Suppliers Association. (2019) </w:t>
      </w:r>
      <w:r w:rsidRPr="00F75E7C">
        <w:rPr>
          <w:rFonts w:ascii="Arial" w:hAnsi="Arial" w:cs="Arial"/>
          <w:i/>
          <w:iCs/>
        </w:rPr>
        <w:t>Key UK education statistics.</w:t>
      </w:r>
      <w:r w:rsidRPr="00F75E7C">
        <w:rPr>
          <w:rFonts w:ascii="Arial" w:hAnsi="Arial" w:cs="Arial"/>
        </w:rPr>
        <w:t xml:space="preserve"> Available at: </w:t>
      </w:r>
      <w:hyperlink r:id="rId11" w:history="1">
        <w:r w:rsidRPr="00F75E7C">
          <w:rPr>
            <w:rStyle w:val="Hyperlink"/>
            <w:rFonts w:ascii="Arial" w:hAnsi="Arial" w:cs="Arial"/>
          </w:rPr>
          <w:t>https://www.besa.org.uk/key-uk-education-statistics/</w:t>
        </w:r>
      </w:hyperlink>
      <w:r w:rsidRPr="00F75E7C">
        <w:rPr>
          <w:rFonts w:ascii="Arial" w:hAnsi="Arial" w:cs="Arial"/>
        </w:rPr>
        <w:t xml:space="preserve"> (Accessed on 12</w:t>
      </w:r>
      <w:r w:rsidRPr="00F75E7C">
        <w:rPr>
          <w:rFonts w:ascii="Arial" w:hAnsi="Arial" w:cs="Arial"/>
          <w:vertAlign w:val="superscript"/>
        </w:rPr>
        <w:t>th</w:t>
      </w:r>
      <w:r w:rsidRPr="00F75E7C">
        <w:rPr>
          <w:rFonts w:ascii="Arial" w:hAnsi="Arial" w:cs="Arial"/>
        </w:rPr>
        <w:t xml:space="preserve"> February 2020). </w:t>
      </w:r>
    </w:p>
    <w:p w14:paraId="7EA71AD6"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Chanfrreau</w:t>
      </w:r>
      <w:proofErr w:type="spellEnd"/>
      <w:r w:rsidRPr="00F75E7C">
        <w:rPr>
          <w:rFonts w:ascii="Arial" w:hAnsi="Arial" w:cs="Arial"/>
        </w:rPr>
        <w:t xml:space="preserve"> J. </w:t>
      </w:r>
      <w:r w:rsidRPr="00F75E7C">
        <w:rPr>
          <w:rFonts w:ascii="Arial" w:hAnsi="Arial" w:cs="Arial"/>
          <w:i/>
          <w:iCs/>
        </w:rPr>
        <w:t xml:space="preserve">et al. </w:t>
      </w:r>
      <w:r w:rsidRPr="00F75E7C">
        <w:rPr>
          <w:rFonts w:ascii="Arial" w:hAnsi="Arial" w:cs="Arial"/>
        </w:rPr>
        <w:t xml:space="preserve">(2013) </w:t>
      </w:r>
      <w:r w:rsidRPr="00F75E7C">
        <w:rPr>
          <w:rFonts w:ascii="Arial" w:hAnsi="Arial" w:cs="Arial"/>
          <w:i/>
          <w:iCs/>
        </w:rPr>
        <w:t>Predicting wellbeing</w:t>
      </w:r>
      <w:r w:rsidRPr="00F75E7C">
        <w:rPr>
          <w:rFonts w:ascii="Arial" w:hAnsi="Arial" w:cs="Arial"/>
        </w:rPr>
        <w:t xml:space="preserve">. London: </w:t>
      </w:r>
      <w:proofErr w:type="spellStart"/>
      <w:r w:rsidRPr="00F75E7C">
        <w:rPr>
          <w:rFonts w:ascii="Arial" w:hAnsi="Arial" w:cs="Arial"/>
        </w:rPr>
        <w:t>NatCen</w:t>
      </w:r>
      <w:proofErr w:type="spellEnd"/>
      <w:r w:rsidRPr="00F75E7C">
        <w:rPr>
          <w:rFonts w:ascii="Arial" w:hAnsi="Arial" w:cs="Arial"/>
        </w:rPr>
        <w:t xml:space="preserve"> Social Research for the Department of Health.</w:t>
      </w:r>
    </w:p>
    <w:p w14:paraId="6BBD7A4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Children’s Commissioner for Wales. (2019a) </w:t>
      </w:r>
      <w:r w:rsidRPr="00F75E7C">
        <w:rPr>
          <w:rFonts w:ascii="Arial" w:hAnsi="Arial" w:cs="Arial"/>
          <w:i/>
          <w:iCs/>
        </w:rPr>
        <w:t xml:space="preserve">A plan for all children and young people 2019 – 2022. </w:t>
      </w:r>
      <w:r w:rsidRPr="00F75E7C">
        <w:rPr>
          <w:rFonts w:ascii="Arial" w:hAnsi="Arial" w:cs="Arial"/>
        </w:rPr>
        <w:t>Swansea: Children’s Commissioner for Wales.</w:t>
      </w:r>
    </w:p>
    <w:p w14:paraId="5F08DD6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Cohen, L., Manion, L. and Morrison, K. (2007) </w:t>
      </w:r>
      <w:r w:rsidRPr="00F75E7C">
        <w:rPr>
          <w:rFonts w:ascii="Arial" w:hAnsi="Arial" w:cs="Arial"/>
          <w:i/>
          <w:iCs/>
        </w:rPr>
        <w:t>Research methods in education</w:t>
      </w:r>
      <w:r w:rsidRPr="00F75E7C">
        <w:rPr>
          <w:rFonts w:ascii="Arial" w:hAnsi="Arial" w:cs="Arial"/>
        </w:rPr>
        <w:t>. 6</w:t>
      </w:r>
      <w:r w:rsidRPr="00F75E7C">
        <w:rPr>
          <w:rFonts w:ascii="Arial" w:hAnsi="Arial" w:cs="Arial"/>
          <w:vertAlign w:val="superscript"/>
        </w:rPr>
        <w:t>th</w:t>
      </w:r>
      <w:r w:rsidRPr="00F75E7C">
        <w:rPr>
          <w:rFonts w:ascii="Arial" w:hAnsi="Arial" w:cs="Arial"/>
        </w:rPr>
        <w:t xml:space="preserve"> Ed. London: Routledge. </w:t>
      </w:r>
    </w:p>
    <w:p w14:paraId="722333C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Denscombe, M. (2014) </w:t>
      </w:r>
      <w:r w:rsidRPr="00F75E7C">
        <w:rPr>
          <w:rFonts w:ascii="Arial" w:hAnsi="Arial" w:cs="Arial"/>
          <w:i/>
          <w:iCs/>
        </w:rPr>
        <w:t xml:space="preserve">The good research guide: For small-scale social research projects. </w:t>
      </w:r>
      <w:r w:rsidRPr="00F75E7C">
        <w:rPr>
          <w:rFonts w:ascii="Arial" w:hAnsi="Arial" w:cs="Arial"/>
        </w:rPr>
        <w:t>5th ed. Maidenhead: Open UP.</w:t>
      </w:r>
    </w:p>
    <w:p w14:paraId="4B8728D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Dodge, R. </w:t>
      </w:r>
      <w:r w:rsidRPr="00F75E7C">
        <w:rPr>
          <w:rFonts w:ascii="Arial" w:hAnsi="Arial" w:cs="Arial"/>
          <w:i/>
          <w:iCs/>
        </w:rPr>
        <w:t>et al</w:t>
      </w:r>
      <w:r w:rsidRPr="00F75E7C">
        <w:rPr>
          <w:rFonts w:ascii="Arial" w:hAnsi="Arial" w:cs="Arial"/>
        </w:rPr>
        <w:t xml:space="preserve">. (2012) ‘The challenge of defining wellbeing’, </w:t>
      </w:r>
      <w:r w:rsidRPr="00F75E7C">
        <w:rPr>
          <w:rFonts w:ascii="Arial" w:hAnsi="Arial" w:cs="Arial"/>
          <w:i/>
          <w:iCs/>
        </w:rPr>
        <w:t>International Journal of Wellbeing</w:t>
      </w:r>
      <w:r w:rsidRPr="00F75E7C">
        <w:rPr>
          <w:rFonts w:ascii="Arial" w:hAnsi="Arial" w:cs="Arial"/>
        </w:rPr>
        <w:t xml:space="preserve">, 2, pp.222-235. </w:t>
      </w:r>
    </w:p>
    <w:p w14:paraId="1B35E91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Donaldson, G. (2015) </w:t>
      </w:r>
      <w:r w:rsidRPr="00F75E7C">
        <w:rPr>
          <w:rFonts w:ascii="Arial" w:hAnsi="Arial" w:cs="Arial"/>
          <w:i/>
          <w:iCs/>
        </w:rPr>
        <w:t>Successful Futures Independent Review of Curriculum and Assessment Arrangements in Wales</w:t>
      </w:r>
      <w:r w:rsidRPr="00F75E7C">
        <w:rPr>
          <w:rFonts w:ascii="Arial" w:hAnsi="Arial" w:cs="Arial"/>
        </w:rPr>
        <w:t>. Cardiff: Welsh Assembly Government.</w:t>
      </w:r>
    </w:p>
    <w:p w14:paraId="7E3CDBCB"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Dubé</w:t>
      </w:r>
      <w:proofErr w:type="spellEnd"/>
      <w:r w:rsidRPr="00F75E7C">
        <w:rPr>
          <w:rFonts w:ascii="Arial" w:hAnsi="Arial" w:cs="Arial"/>
        </w:rPr>
        <w:t xml:space="preserve">, T. V. et al. (2014) ‘Interviewing in situ: employing the guided walk as a dynamic form of qualitative inquiry’, </w:t>
      </w:r>
      <w:r w:rsidRPr="00F75E7C">
        <w:rPr>
          <w:rFonts w:ascii="Arial" w:hAnsi="Arial" w:cs="Arial"/>
          <w:i/>
          <w:iCs/>
        </w:rPr>
        <w:t>Medical Education</w:t>
      </w:r>
      <w:r w:rsidRPr="00F75E7C">
        <w:rPr>
          <w:rFonts w:ascii="Arial" w:hAnsi="Arial" w:cs="Arial"/>
        </w:rPr>
        <w:t xml:space="preserve">, 48(11), pp. 1092–1100. </w:t>
      </w:r>
    </w:p>
    <w:p w14:paraId="7FC8E7EA"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Dweck, C. (2012) </w:t>
      </w:r>
      <w:r w:rsidRPr="00F75E7C">
        <w:rPr>
          <w:rFonts w:ascii="Arial" w:hAnsi="Arial" w:cs="Arial"/>
          <w:i/>
          <w:iCs/>
        </w:rPr>
        <w:t>Mindset</w:t>
      </w:r>
      <w:r w:rsidRPr="00F75E7C">
        <w:rPr>
          <w:rFonts w:ascii="Arial" w:hAnsi="Arial" w:cs="Arial"/>
        </w:rPr>
        <w:t>. London: Robinson</w:t>
      </w:r>
    </w:p>
    <w:p w14:paraId="5975EED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Education Support Partnership. (2018) </w:t>
      </w:r>
      <w:r w:rsidRPr="00F75E7C">
        <w:rPr>
          <w:rFonts w:ascii="Arial" w:hAnsi="Arial" w:cs="Arial"/>
          <w:i/>
          <w:iCs/>
        </w:rPr>
        <w:t>Teacher well-being index 2018</w:t>
      </w:r>
      <w:r w:rsidRPr="00F75E7C">
        <w:rPr>
          <w:rFonts w:ascii="Arial" w:hAnsi="Arial" w:cs="Arial"/>
        </w:rPr>
        <w:t xml:space="preserve">. London: Education Support Partnership. </w:t>
      </w:r>
    </w:p>
    <w:p w14:paraId="1C59CC63"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Education Workforce Council. (2017) </w:t>
      </w:r>
      <w:r w:rsidRPr="00F75E7C">
        <w:rPr>
          <w:rFonts w:ascii="Arial" w:hAnsi="Arial" w:cs="Arial"/>
          <w:i/>
          <w:iCs/>
        </w:rPr>
        <w:t>National Education Workforce Survey.</w:t>
      </w:r>
      <w:r w:rsidRPr="00F75E7C">
        <w:rPr>
          <w:rFonts w:ascii="Arial" w:hAnsi="Arial" w:cs="Arial"/>
        </w:rPr>
        <w:t xml:space="preserve"> Available at: </w:t>
      </w:r>
      <w:hyperlink r:id="rId12" w:history="1">
        <w:r w:rsidRPr="00F75E7C">
          <w:rPr>
            <w:rStyle w:val="Hyperlink"/>
            <w:rFonts w:ascii="Arial" w:hAnsi="Arial" w:cs="Arial"/>
          </w:rPr>
          <w:t>file:///C:/Users/Laptop/Downloads/1%20National%20education%20workforce%20survey%20(April%202017)%20E.PDF</w:t>
        </w:r>
      </w:hyperlink>
      <w:r w:rsidRPr="00F75E7C">
        <w:rPr>
          <w:rFonts w:ascii="Arial" w:hAnsi="Arial" w:cs="Arial"/>
        </w:rPr>
        <w:t xml:space="preserve"> (Accessed on 21st February 2020).</w:t>
      </w:r>
    </w:p>
    <w:p w14:paraId="3C02B09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lastRenderedPageBreak/>
        <w:t xml:space="preserve">Estyn. (2011) </w:t>
      </w:r>
      <w:r w:rsidRPr="00F75E7C">
        <w:rPr>
          <w:rFonts w:ascii="Arial" w:hAnsi="Arial" w:cs="Arial"/>
          <w:i/>
          <w:iCs/>
        </w:rPr>
        <w:t>Happy teachers, happy pupils</w:t>
      </w:r>
      <w:r w:rsidRPr="00F75E7C">
        <w:rPr>
          <w:rFonts w:ascii="Arial" w:hAnsi="Arial" w:cs="Arial"/>
        </w:rPr>
        <w:t xml:space="preserve">. Available at: </w:t>
      </w:r>
      <w:hyperlink r:id="rId13" w:history="1">
        <w:r w:rsidRPr="00F75E7C">
          <w:rPr>
            <w:rStyle w:val="Hyperlink"/>
            <w:rFonts w:ascii="Arial" w:hAnsi="Arial" w:cs="Arial"/>
          </w:rPr>
          <w:t>https://www.estyn.gov.wales/effective-practice/happy-teachers-happy-pupils</w:t>
        </w:r>
      </w:hyperlink>
      <w:r w:rsidRPr="00F75E7C">
        <w:rPr>
          <w:rFonts w:ascii="Arial" w:hAnsi="Arial" w:cs="Arial"/>
        </w:rPr>
        <w:t xml:space="preserve"> (Accessed on 23rd February 2020). </w:t>
      </w:r>
    </w:p>
    <w:p w14:paraId="4E3DFE7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(2016) </w:t>
      </w:r>
      <w:r w:rsidRPr="00F75E7C">
        <w:rPr>
          <w:rFonts w:ascii="Arial" w:hAnsi="Arial" w:cs="Arial"/>
          <w:i/>
          <w:iCs/>
        </w:rPr>
        <w:t>Improving well-being and standards of attainment</w:t>
      </w:r>
      <w:r w:rsidRPr="00F75E7C">
        <w:rPr>
          <w:rFonts w:ascii="Arial" w:hAnsi="Arial" w:cs="Arial"/>
        </w:rPr>
        <w:t xml:space="preserve">. Available at: </w:t>
      </w:r>
      <w:hyperlink r:id="rId14" w:history="1">
        <w:r w:rsidRPr="00F75E7C">
          <w:rPr>
            <w:rStyle w:val="Hyperlink"/>
            <w:rFonts w:ascii="Arial" w:hAnsi="Arial" w:cs="Arial"/>
          </w:rPr>
          <w:t>https://www.estyn.gov.wales/effective-practice/improving-wellbeing-and-standards-attainment</w:t>
        </w:r>
      </w:hyperlink>
      <w:r w:rsidRPr="00F75E7C">
        <w:rPr>
          <w:rFonts w:ascii="Arial" w:hAnsi="Arial" w:cs="Arial"/>
        </w:rPr>
        <w:t xml:space="preserve"> (Accessed on 25th February 2020).</w:t>
      </w:r>
    </w:p>
    <w:p w14:paraId="3B57814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(2017) </w:t>
      </w:r>
      <w:r w:rsidRPr="00F75E7C">
        <w:rPr>
          <w:rFonts w:ascii="Arial" w:hAnsi="Arial" w:cs="Arial"/>
          <w:i/>
          <w:iCs/>
        </w:rPr>
        <w:t>A preventative approach to support well-being</w:t>
      </w:r>
      <w:r w:rsidRPr="00F75E7C">
        <w:rPr>
          <w:rFonts w:ascii="Arial" w:hAnsi="Arial" w:cs="Arial"/>
        </w:rPr>
        <w:t xml:space="preserve">. Available at: </w:t>
      </w:r>
      <w:hyperlink r:id="rId15" w:history="1">
        <w:r w:rsidRPr="00F75E7C">
          <w:rPr>
            <w:rStyle w:val="Hyperlink"/>
            <w:rFonts w:ascii="Arial" w:hAnsi="Arial" w:cs="Arial"/>
          </w:rPr>
          <w:t>https://www.estyn.gov.wales/effective-practice/preventative-approach-support-wellbeing</w:t>
        </w:r>
      </w:hyperlink>
      <w:r w:rsidRPr="00F75E7C">
        <w:rPr>
          <w:rFonts w:ascii="Arial" w:hAnsi="Arial" w:cs="Arial"/>
        </w:rPr>
        <w:t xml:space="preserve"> (Accessed on 15th February 2020). </w:t>
      </w:r>
    </w:p>
    <w:p w14:paraId="27086D05"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(2018a) </w:t>
      </w:r>
      <w:r w:rsidRPr="00F75E7C">
        <w:rPr>
          <w:rFonts w:ascii="Arial" w:hAnsi="Arial" w:cs="Arial"/>
          <w:i/>
          <w:iCs/>
        </w:rPr>
        <w:t>Effective strategies support the social and emotional well-being of pupils.</w:t>
      </w:r>
      <w:r w:rsidRPr="00F75E7C">
        <w:rPr>
          <w:rFonts w:ascii="Arial" w:hAnsi="Arial" w:cs="Arial"/>
        </w:rPr>
        <w:t xml:space="preserve"> Available at: </w:t>
      </w:r>
      <w:hyperlink r:id="rId16" w:history="1">
        <w:r w:rsidRPr="00F75E7C">
          <w:rPr>
            <w:rStyle w:val="Hyperlink"/>
            <w:rFonts w:ascii="Arial" w:hAnsi="Arial" w:cs="Arial"/>
          </w:rPr>
          <w:t>https://www.estyn.gov.wales/effective-practice/effective-strategies-support-social-and-emotional-wellbeing-pupils</w:t>
        </w:r>
      </w:hyperlink>
      <w:r w:rsidRPr="00F75E7C">
        <w:rPr>
          <w:rFonts w:ascii="Arial" w:hAnsi="Arial" w:cs="Arial"/>
        </w:rPr>
        <w:t xml:space="preserve"> (Accessed on 23rd February 2020). </w:t>
      </w:r>
    </w:p>
    <w:p w14:paraId="094B30F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(2018b) </w:t>
      </w:r>
      <w:r w:rsidRPr="00F75E7C">
        <w:rPr>
          <w:rFonts w:ascii="Arial" w:hAnsi="Arial" w:cs="Arial"/>
          <w:i/>
          <w:iCs/>
        </w:rPr>
        <w:t>Using well-being activities to nurture pupils</w:t>
      </w:r>
      <w:r w:rsidRPr="00F75E7C">
        <w:rPr>
          <w:rFonts w:ascii="Arial" w:hAnsi="Arial" w:cs="Arial"/>
        </w:rPr>
        <w:t xml:space="preserve">. Available at: </w:t>
      </w:r>
      <w:hyperlink r:id="rId17" w:history="1">
        <w:r w:rsidRPr="00F75E7C">
          <w:rPr>
            <w:rStyle w:val="Hyperlink"/>
            <w:rFonts w:ascii="Arial" w:hAnsi="Arial" w:cs="Arial"/>
          </w:rPr>
          <w:t>https://www.estyn.gov.wales/effective-practice/using-wellbeing-activities-nurture-pupils</w:t>
        </w:r>
      </w:hyperlink>
      <w:r w:rsidRPr="00F75E7C">
        <w:rPr>
          <w:rFonts w:ascii="Arial" w:hAnsi="Arial" w:cs="Arial"/>
        </w:rPr>
        <w:t xml:space="preserve"> (Accessed on 25th February 2020). </w:t>
      </w:r>
    </w:p>
    <w:p w14:paraId="24A10BA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(2019a) </w:t>
      </w:r>
      <w:r w:rsidRPr="00F75E7C">
        <w:rPr>
          <w:rFonts w:ascii="Arial" w:hAnsi="Arial" w:cs="Arial"/>
          <w:i/>
          <w:iCs/>
        </w:rPr>
        <w:t xml:space="preserve">Connecting generations. </w:t>
      </w:r>
      <w:r w:rsidRPr="00F75E7C">
        <w:rPr>
          <w:rFonts w:ascii="Arial" w:hAnsi="Arial" w:cs="Arial"/>
        </w:rPr>
        <w:t xml:space="preserve">Available at: </w:t>
      </w:r>
      <w:hyperlink r:id="rId18" w:history="1">
        <w:r w:rsidRPr="00F75E7C">
          <w:rPr>
            <w:rStyle w:val="Hyperlink"/>
            <w:rFonts w:ascii="Arial" w:hAnsi="Arial" w:cs="Arial"/>
          </w:rPr>
          <w:t>https://www.estyn.gov.wales/effective-practice/connecting-generations</w:t>
        </w:r>
      </w:hyperlink>
      <w:r w:rsidRPr="00F75E7C">
        <w:rPr>
          <w:rFonts w:ascii="Arial" w:hAnsi="Arial" w:cs="Arial"/>
        </w:rPr>
        <w:t xml:space="preserve"> (Accessed on 24th February 2020). </w:t>
      </w:r>
    </w:p>
    <w:p w14:paraId="5149D74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(2019b) </w:t>
      </w:r>
      <w:r w:rsidRPr="00F75E7C">
        <w:rPr>
          <w:rFonts w:ascii="Arial" w:hAnsi="Arial" w:cs="Arial"/>
          <w:i/>
          <w:iCs/>
        </w:rPr>
        <w:t>Healthy and happy: School impact on pupils’ health and well-being</w:t>
      </w:r>
      <w:r w:rsidRPr="00F75E7C">
        <w:rPr>
          <w:rFonts w:ascii="Arial" w:hAnsi="Arial" w:cs="Arial"/>
        </w:rPr>
        <w:t xml:space="preserve">. Cardiff: OGL. </w:t>
      </w:r>
    </w:p>
    <w:p w14:paraId="18D54438"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Goswami, H. (2012) ‘Social Relationships and Children's Subjective Well-Being’, </w:t>
      </w:r>
      <w:r w:rsidRPr="00F75E7C">
        <w:rPr>
          <w:rFonts w:ascii="Arial" w:hAnsi="Arial" w:cs="Arial"/>
          <w:i/>
          <w:iCs/>
        </w:rPr>
        <w:t>Social Indicators Research</w:t>
      </w:r>
      <w:r w:rsidRPr="00F75E7C">
        <w:rPr>
          <w:rFonts w:ascii="Arial" w:hAnsi="Arial" w:cs="Arial"/>
        </w:rPr>
        <w:t>, 107.3, pp.575-89.</w:t>
      </w:r>
    </w:p>
    <w:p w14:paraId="48A6E85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Health and Attainment of Pupils in a Primary Education Network. (2020) </w:t>
      </w:r>
      <w:proofErr w:type="spellStart"/>
      <w:r w:rsidRPr="00F75E7C">
        <w:rPr>
          <w:rFonts w:ascii="Arial" w:hAnsi="Arial" w:cs="Arial"/>
          <w:i/>
          <w:iCs/>
        </w:rPr>
        <w:t>Eveswell</w:t>
      </w:r>
      <w:proofErr w:type="spellEnd"/>
      <w:r w:rsidRPr="00F75E7C">
        <w:rPr>
          <w:rFonts w:ascii="Arial" w:hAnsi="Arial" w:cs="Arial"/>
          <w:i/>
          <w:iCs/>
        </w:rPr>
        <w:t xml:space="preserve"> &amp; Somerton Primary School: Using the HAPPEN Survey to Develop a Whole School Approach to Health and Wellbeing. </w:t>
      </w:r>
      <w:r w:rsidRPr="00F75E7C">
        <w:rPr>
          <w:rFonts w:ascii="Arial" w:hAnsi="Arial" w:cs="Arial"/>
        </w:rPr>
        <w:t xml:space="preserve">Available at: </w:t>
      </w:r>
      <w:hyperlink r:id="rId19" w:history="1">
        <w:r w:rsidRPr="00F75E7C">
          <w:rPr>
            <w:rStyle w:val="Hyperlink"/>
            <w:rFonts w:ascii="Arial" w:hAnsi="Arial" w:cs="Arial"/>
          </w:rPr>
          <w:t>https://happen-wales.co.uk/eveswell-somerton-primary-school/</w:t>
        </w:r>
      </w:hyperlink>
      <w:r w:rsidRPr="00F75E7C">
        <w:rPr>
          <w:rFonts w:ascii="Arial" w:hAnsi="Arial" w:cs="Arial"/>
        </w:rPr>
        <w:t xml:space="preserve"> (Accessed 19</w:t>
      </w:r>
      <w:r w:rsidRPr="00F75E7C">
        <w:rPr>
          <w:rFonts w:ascii="Arial" w:hAnsi="Arial" w:cs="Arial"/>
          <w:vertAlign w:val="superscript"/>
        </w:rPr>
        <w:t>th</w:t>
      </w:r>
      <w:r w:rsidRPr="00F75E7C">
        <w:rPr>
          <w:rFonts w:ascii="Arial" w:hAnsi="Arial" w:cs="Arial"/>
        </w:rPr>
        <w:t xml:space="preserve"> March 2020).</w:t>
      </w:r>
    </w:p>
    <w:p w14:paraId="462D37B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Health, Social Care and Sport Committee. (2019) </w:t>
      </w:r>
      <w:r w:rsidRPr="00F75E7C">
        <w:rPr>
          <w:rFonts w:ascii="Arial" w:hAnsi="Arial" w:cs="Arial"/>
          <w:i/>
          <w:iCs/>
        </w:rPr>
        <w:t xml:space="preserve">Physical activity of children and young people. </w:t>
      </w:r>
      <w:r w:rsidRPr="00F75E7C">
        <w:rPr>
          <w:rFonts w:ascii="Arial" w:hAnsi="Arial" w:cs="Arial"/>
        </w:rPr>
        <w:t xml:space="preserve">Cardiff: National Assembly for Wales. </w:t>
      </w:r>
    </w:p>
    <w:p w14:paraId="4FBE371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Hills, R. (2016) ‘An evaluation of the emotional literacy support assistant (ELSA) project from the perspectives of primary school children’, </w:t>
      </w:r>
      <w:r w:rsidRPr="00F75E7C">
        <w:rPr>
          <w:rFonts w:ascii="Arial" w:hAnsi="Arial" w:cs="Arial"/>
          <w:i/>
          <w:iCs/>
        </w:rPr>
        <w:t>Educational &amp; Child Psychology</w:t>
      </w:r>
      <w:r w:rsidRPr="00F75E7C">
        <w:rPr>
          <w:rFonts w:ascii="Arial" w:hAnsi="Arial" w:cs="Arial"/>
        </w:rPr>
        <w:t xml:space="preserve">, 33(4), pp. 50–65. </w:t>
      </w:r>
    </w:p>
    <w:p w14:paraId="4F54A3F5"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Kansky</w:t>
      </w:r>
      <w:proofErr w:type="spellEnd"/>
      <w:r w:rsidRPr="00F75E7C">
        <w:rPr>
          <w:rFonts w:ascii="Arial" w:hAnsi="Arial" w:cs="Arial"/>
        </w:rPr>
        <w:t xml:space="preserve">, J. and Diener, E. (2017) ‘Benefits of well-being: Health, social relationships, work, and resilience’, </w:t>
      </w:r>
      <w:r w:rsidRPr="00F75E7C">
        <w:rPr>
          <w:rFonts w:ascii="Arial" w:hAnsi="Arial" w:cs="Arial"/>
          <w:i/>
          <w:iCs/>
        </w:rPr>
        <w:t>Journal of Positive Psychology and Wellbeing</w:t>
      </w:r>
      <w:r w:rsidRPr="00F75E7C">
        <w:rPr>
          <w:rFonts w:ascii="Arial" w:hAnsi="Arial" w:cs="Arial"/>
        </w:rPr>
        <w:t>, 1(2), pp.129–169.</w:t>
      </w:r>
    </w:p>
    <w:p w14:paraId="7D22BABA"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McCambridge</w:t>
      </w:r>
      <w:proofErr w:type="spellEnd"/>
      <w:r w:rsidRPr="00F75E7C">
        <w:rPr>
          <w:rFonts w:ascii="Arial" w:hAnsi="Arial" w:cs="Arial"/>
        </w:rPr>
        <w:t xml:space="preserve">, J., Witton, J., and </w:t>
      </w:r>
      <w:proofErr w:type="spellStart"/>
      <w:r w:rsidRPr="00F75E7C">
        <w:rPr>
          <w:rFonts w:ascii="Arial" w:hAnsi="Arial" w:cs="Arial"/>
        </w:rPr>
        <w:t>Elbourne</w:t>
      </w:r>
      <w:proofErr w:type="spellEnd"/>
      <w:r w:rsidRPr="00F75E7C">
        <w:rPr>
          <w:rFonts w:ascii="Arial" w:hAnsi="Arial" w:cs="Arial"/>
        </w:rPr>
        <w:t xml:space="preserve">, D. R. (2014) ‘Systematic review of the Hawthorne effect: new concepts are needed to study research participation effects’, </w:t>
      </w:r>
      <w:r w:rsidRPr="00F75E7C">
        <w:rPr>
          <w:rFonts w:ascii="Arial" w:hAnsi="Arial" w:cs="Arial"/>
          <w:i/>
          <w:iCs/>
        </w:rPr>
        <w:t>Journal of clinical epidemiology</w:t>
      </w:r>
      <w:r w:rsidRPr="00F75E7C">
        <w:rPr>
          <w:rFonts w:ascii="Arial" w:hAnsi="Arial" w:cs="Arial"/>
        </w:rPr>
        <w:t xml:space="preserve">, 67(3), 267–277. </w:t>
      </w:r>
    </w:p>
    <w:p w14:paraId="386271C6" w14:textId="77777777" w:rsidR="007D6FD1" w:rsidRPr="00F75E7C" w:rsidRDefault="007D6FD1" w:rsidP="007D6FD1">
      <w:pPr>
        <w:spacing w:line="240" w:lineRule="auto"/>
        <w:ind w:left="777" w:hanging="720"/>
        <w:rPr>
          <w:rStyle w:val="Hyperlink"/>
          <w:rFonts w:ascii="Arial" w:hAnsi="Arial" w:cs="Arial"/>
        </w:rPr>
      </w:pPr>
      <w:r w:rsidRPr="00F75E7C">
        <w:rPr>
          <w:rFonts w:ascii="Arial" w:hAnsi="Arial" w:cs="Arial"/>
        </w:rPr>
        <w:t xml:space="preserve">McLeod, S. A. (2018). </w:t>
      </w:r>
      <w:r w:rsidRPr="00F75E7C">
        <w:rPr>
          <w:rFonts w:ascii="Arial" w:hAnsi="Arial" w:cs="Arial"/>
          <w:i/>
          <w:iCs/>
        </w:rPr>
        <w:t>Maslow's hierarchy of needs</w:t>
      </w:r>
      <w:r w:rsidRPr="00F75E7C">
        <w:rPr>
          <w:rFonts w:ascii="Arial" w:hAnsi="Arial" w:cs="Arial"/>
        </w:rPr>
        <w:t xml:space="preserve">. Available at: </w:t>
      </w:r>
      <w:hyperlink r:id="rId20" w:history="1">
        <w:r w:rsidRPr="00F75E7C">
          <w:rPr>
            <w:rStyle w:val="Hyperlink"/>
            <w:rFonts w:ascii="Arial" w:hAnsi="Arial" w:cs="Arial"/>
          </w:rPr>
          <w:t>https://www.simplypsychology.org/maslow.html</w:t>
        </w:r>
      </w:hyperlink>
      <w:r w:rsidRPr="00F75E7C">
        <w:rPr>
          <w:rStyle w:val="Hyperlink"/>
          <w:rFonts w:ascii="Arial" w:hAnsi="Arial" w:cs="Arial"/>
        </w:rPr>
        <w:t xml:space="preserve"> </w:t>
      </w:r>
      <w:r w:rsidRPr="00F75E7C">
        <w:rPr>
          <w:rStyle w:val="Hyperlink"/>
          <w:rFonts w:ascii="Arial" w:hAnsi="Arial" w:cs="Arial"/>
          <w:color w:val="auto"/>
          <w:u w:val="none"/>
        </w:rPr>
        <w:t>(Accessed on 1st March 2020).</w:t>
      </w:r>
    </w:p>
    <w:p w14:paraId="33B38A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McNeill, N. and Chapman, S. (2005) </w:t>
      </w:r>
      <w:r w:rsidRPr="00F75E7C">
        <w:rPr>
          <w:rFonts w:ascii="Arial" w:hAnsi="Arial" w:cs="Arial"/>
          <w:i/>
          <w:iCs/>
        </w:rPr>
        <w:t>Research Methods</w:t>
      </w:r>
      <w:r w:rsidRPr="00F75E7C">
        <w:rPr>
          <w:rFonts w:ascii="Arial" w:hAnsi="Arial" w:cs="Arial"/>
        </w:rPr>
        <w:t>. 3rd ed. London; New York: Routledge.</w:t>
      </w:r>
    </w:p>
    <w:p w14:paraId="09DBEF3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Mental Health Foundation. (2016) </w:t>
      </w:r>
      <w:r w:rsidRPr="00F75E7C">
        <w:rPr>
          <w:rFonts w:ascii="Arial" w:hAnsi="Arial" w:cs="Arial"/>
          <w:i/>
          <w:iCs/>
        </w:rPr>
        <w:t>Mental health in Wales: Fundamental facts 2016</w:t>
      </w:r>
      <w:r w:rsidRPr="00F75E7C">
        <w:rPr>
          <w:rFonts w:ascii="Arial" w:hAnsi="Arial" w:cs="Arial"/>
        </w:rPr>
        <w:t>. Cardiff: Mental Health Foundation.</w:t>
      </w:r>
    </w:p>
    <w:p w14:paraId="55748E5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lastRenderedPageBreak/>
        <w:t xml:space="preserve">Mentally Healthy Schools. (2020) </w:t>
      </w:r>
      <w:r w:rsidRPr="00F75E7C">
        <w:rPr>
          <w:rFonts w:ascii="Arial" w:hAnsi="Arial" w:cs="Arial"/>
          <w:i/>
          <w:iCs/>
        </w:rPr>
        <w:t xml:space="preserve">Supporting staff well-being. </w:t>
      </w:r>
      <w:r w:rsidRPr="00F75E7C">
        <w:rPr>
          <w:rFonts w:ascii="Arial" w:hAnsi="Arial" w:cs="Arial"/>
        </w:rPr>
        <w:t xml:space="preserve">Available at: </w:t>
      </w:r>
      <w:hyperlink r:id="rId21" w:history="1">
        <w:r w:rsidRPr="00F75E7C">
          <w:rPr>
            <w:rStyle w:val="Hyperlink"/>
            <w:rFonts w:ascii="Arial" w:hAnsi="Arial" w:cs="Arial"/>
          </w:rPr>
          <w:t>https://www.mentallyhealthyschools.org.uk/whole-school-approach/supporting-staff-wellbeing/</w:t>
        </w:r>
      </w:hyperlink>
      <w:r w:rsidRPr="00F75E7C">
        <w:rPr>
          <w:rFonts w:ascii="Arial" w:hAnsi="Arial" w:cs="Arial"/>
        </w:rPr>
        <w:t xml:space="preserve"> (Accessed on 3</w:t>
      </w:r>
      <w:r w:rsidRPr="00F75E7C">
        <w:rPr>
          <w:rFonts w:ascii="Arial" w:hAnsi="Arial" w:cs="Arial"/>
          <w:vertAlign w:val="superscript"/>
        </w:rPr>
        <w:t>rd</w:t>
      </w:r>
      <w:r w:rsidRPr="00F75E7C">
        <w:rPr>
          <w:rFonts w:ascii="Arial" w:hAnsi="Arial" w:cs="Arial"/>
        </w:rPr>
        <w:t xml:space="preserve"> March 2020).</w:t>
      </w:r>
    </w:p>
    <w:p w14:paraId="73862B8C"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Mosley, J. (1996) </w:t>
      </w:r>
      <w:r w:rsidRPr="00F75E7C">
        <w:rPr>
          <w:rFonts w:ascii="Arial" w:hAnsi="Arial" w:cs="Arial"/>
          <w:i/>
          <w:iCs/>
        </w:rPr>
        <w:t>Quality circle time in the primary classroom: your essential guide to enhancing self-esteem, self-discipline and positive relationships Vol. 1.</w:t>
      </w:r>
      <w:r w:rsidRPr="00F75E7C">
        <w:rPr>
          <w:rFonts w:ascii="Arial" w:hAnsi="Arial" w:cs="Arial"/>
        </w:rPr>
        <w:t xml:space="preserve"> Wisbech: Learning Development Aids.</w:t>
      </w:r>
    </w:p>
    <w:p w14:paraId="7D4188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NASUWT. (2017) </w:t>
      </w:r>
      <w:r w:rsidRPr="00F75E7C">
        <w:rPr>
          <w:rFonts w:ascii="Arial" w:hAnsi="Arial" w:cs="Arial"/>
          <w:i/>
          <w:iCs/>
        </w:rPr>
        <w:t xml:space="preserve">The big question 2017: an opinion of teachers and school leaders. </w:t>
      </w:r>
      <w:r w:rsidRPr="00F75E7C">
        <w:rPr>
          <w:rFonts w:ascii="Arial" w:hAnsi="Arial" w:cs="Arial"/>
        </w:rPr>
        <w:t xml:space="preserve">Available at: </w:t>
      </w:r>
      <w:hyperlink r:id="rId22" w:history="1">
        <w:r w:rsidRPr="00F75E7C">
          <w:rPr>
            <w:rStyle w:val="Hyperlink"/>
            <w:rFonts w:ascii="Arial" w:hAnsi="Arial" w:cs="Arial"/>
          </w:rPr>
          <w:t>https://www.nasuwt.org.uk/uploads/assets/uploaded/efb57dc6-4890-4f4c-8fa1c6d0609d652b.pdf</w:t>
        </w:r>
      </w:hyperlink>
      <w:r w:rsidRPr="00F75E7C">
        <w:rPr>
          <w:rFonts w:ascii="Arial" w:hAnsi="Arial" w:cs="Arial"/>
        </w:rPr>
        <w:t xml:space="preserve"> (Accessed on 29th January 2020). </w:t>
      </w:r>
    </w:p>
    <w:p w14:paraId="5625479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NASUWT. (2019) </w:t>
      </w:r>
      <w:r w:rsidRPr="00F75E7C">
        <w:rPr>
          <w:rFonts w:ascii="Arial" w:hAnsi="Arial" w:cs="Arial"/>
          <w:i/>
          <w:iCs/>
        </w:rPr>
        <w:t>Teacher’s mental health in the UK: Evidence from NASUWT’s big question survey 2019</w:t>
      </w:r>
      <w:r w:rsidRPr="00F75E7C">
        <w:rPr>
          <w:rFonts w:ascii="Arial" w:hAnsi="Arial" w:cs="Arial"/>
        </w:rPr>
        <w:t xml:space="preserve">. Available at: </w:t>
      </w:r>
      <w:hyperlink r:id="rId23" w:history="1">
        <w:r w:rsidRPr="00F75E7C">
          <w:rPr>
            <w:rStyle w:val="Hyperlink"/>
            <w:rFonts w:ascii="Arial" w:hAnsi="Arial" w:cs="Arial"/>
          </w:rPr>
          <w:t>https://www.nasuwt.org.uk/uploads/assets/uploaded/30c31a30-b070-44f1-8e9f009b650bb350.pdf</w:t>
        </w:r>
      </w:hyperlink>
      <w:r w:rsidRPr="00F75E7C">
        <w:rPr>
          <w:rFonts w:ascii="Arial" w:hAnsi="Arial" w:cs="Arial"/>
        </w:rPr>
        <w:t xml:space="preserve"> (Accessed on 15th February 2020). </w:t>
      </w:r>
    </w:p>
    <w:p w14:paraId="6F373CB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Education Union. (2019a) </w:t>
      </w:r>
      <w:r w:rsidRPr="00F75E7C">
        <w:rPr>
          <w:rFonts w:ascii="Arial" w:hAnsi="Arial" w:cs="Arial"/>
          <w:i/>
          <w:iCs/>
        </w:rPr>
        <w:t>The state of education: workload</w:t>
      </w:r>
      <w:r w:rsidRPr="00F75E7C">
        <w:rPr>
          <w:rFonts w:ascii="Arial" w:hAnsi="Arial" w:cs="Arial"/>
        </w:rPr>
        <w:t xml:space="preserve">. Available at: </w:t>
      </w:r>
      <w:hyperlink r:id="rId24" w:history="1">
        <w:r w:rsidRPr="00F75E7C">
          <w:rPr>
            <w:rStyle w:val="Hyperlink"/>
            <w:rFonts w:ascii="Arial" w:hAnsi="Arial" w:cs="Arial"/>
          </w:rPr>
          <w:t>https://neu.org.uk/press-releases/state-education-workload</w:t>
        </w:r>
      </w:hyperlink>
      <w:r w:rsidRPr="00F75E7C">
        <w:rPr>
          <w:rFonts w:ascii="Arial" w:hAnsi="Arial" w:cs="Arial"/>
        </w:rPr>
        <w:t xml:space="preserve"> (Accessed on 1st March 2020). </w:t>
      </w:r>
    </w:p>
    <w:p w14:paraId="352258A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Education Union. (2019b) </w:t>
      </w:r>
      <w:r w:rsidRPr="00F75E7C">
        <w:rPr>
          <w:rFonts w:ascii="Arial" w:hAnsi="Arial" w:cs="Arial"/>
          <w:i/>
          <w:iCs/>
        </w:rPr>
        <w:t xml:space="preserve">First aid in schools. </w:t>
      </w:r>
      <w:r w:rsidRPr="00F75E7C">
        <w:rPr>
          <w:rFonts w:ascii="Arial" w:hAnsi="Arial" w:cs="Arial"/>
        </w:rPr>
        <w:t xml:space="preserve">Available at: </w:t>
      </w:r>
      <w:hyperlink r:id="rId25" w:history="1">
        <w:r w:rsidRPr="00F75E7C">
          <w:rPr>
            <w:rStyle w:val="Hyperlink"/>
            <w:rFonts w:ascii="Arial" w:hAnsi="Arial" w:cs="Arial"/>
          </w:rPr>
          <w:t>https://neu.org.uk/advice/first-aid-schools#first-aiders-in-school</w:t>
        </w:r>
      </w:hyperlink>
      <w:r w:rsidRPr="00F75E7C">
        <w:rPr>
          <w:rFonts w:ascii="Arial" w:hAnsi="Arial" w:cs="Arial"/>
        </w:rPr>
        <w:t xml:space="preserve"> (Accessed on 2</w:t>
      </w:r>
      <w:r w:rsidRPr="00F75E7C">
        <w:rPr>
          <w:rFonts w:ascii="Arial" w:hAnsi="Arial" w:cs="Arial"/>
          <w:vertAlign w:val="superscript"/>
        </w:rPr>
        <w:t>nd</w:t>
      </w:r>
      <w:r w:rsidRPr="00F75E7C">
        <w:rPr>
          <w:rFonts w:ascii="Arial" w:hAnsi="Arial" w:cs="Arial"/>
        </w:rPr>
        <w:t xml:space="preserve"> March 2020). </w:t>
      </w:r>
    </w:p>
    <w:p w14:paraId="01AF126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Foundation for Educational Research. (2013) </w:t>
      </w:r>
      <w:r w:rsidRPr="00F75E7C">
        <w:rPr>
          <w:rFonts w:ascii="Arial" w:hAnsi="Arial" w:cs="Arial"/>
          <w:i/>
          <w:iCs/>
        </w:rPr>
        <w:t>How to run qualitative and quantitative research from definitions through to analysis</w:t>
      </w:r>
      <w:r w:rsidRPr="00F75E7C">
        <w:rPr>
          <w:rFonts w:ascii="Arial" w:hAnsi="Arial" w:cs="Arial"/>
        </w:rPr>
        <w:t xml:space="preserve">. Slough: National Foundation for Educational Research. </w:t>
      </w:r>
    </w:p>
    <w:p w14:paraId="34619AD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Foundation for Educational Research. (2019) </w:t>
      </w:r>
      <w:r w:rsidRPr="00F75E7C">
        <w:rPr>
          <w:rFonts w:ascii="Arial" w:hAnsi="Arial" w:cs="Arial"/>
          <w:i/>
          <w:iCs/>
        </w:rPr>
        <w:t>Teacher voice omnibus survey June 2019</w:t>
      </w:r>
      <w:r w:rsidRPr="00F75E7C">
        <w:rPr>
          <w:rFonts w:ascii="Arial" w:hAnsi="Arial" w:cs="Arial"/>
        </w:rPr>
        <w:t xml:space="preserve">. Available at: </w:t>
      </w:r>
      <w:hyperlink r:id="rId26" w:history="1">
        <w:r w:rsidRPr="00F75E7C">
          <w:rPr>
            <w:rStyle w:val="Hyperlink"/>
            <w:rFonts w:ascii="Arial" w:hAnsi="Arial" w:cs="Arial"/>
          </w:rPr>
          <w:t>https://www.nhs.ac.uk/media/3825/teacher_voice_omnibus_survey_june_2019.pdf</w:t>
        </w:r>
      </w:hyperlink>
      <w:r w:rsidRPr="00F75E7C">
        <w:rPr>
          <w:rFonts w:ascii="Arial" w:hAnsi="Arial" w:cs="Arial"/>
        </w:rPr>
        <w:t xml:space="preserve"> (Accessed on 15th February 2020). </w:t>
      </w:r>
    </w:p>
    <w:p w14:paraId="1F7DDE0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Health Service. (2018) </w:t>
      </w:r>
      <w:r w:rsidRPr="00F75E7C">
        <w:rPr>
          <w:rFonts w:ascii="Arial" w:hAnsi="Arial" w:cs="Arial"/>
          <w:i/>
          <w:iCs/>
        </w:rPr>
        <w:t>Mental health of children and young people in England, 2017: summary of key findings.</w:t>
      </w:r>
      <w:r w:rsidRPr="00F75E7C">
        <w:rPr>
          <w:rFonts w:ascii="Arial" w:hAnsi="Arial" w:cs="Arial"/>
        </w:rPr>
        <w:t xml:space="preserve"> Surrey: OGL. </w:t>
      </w:r>
    </w:p>
    <w:p w14:paraId="3ABBC50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Health Service. (2019) </w:t>
      </w:r>
      <w:r w:rsidRPr="00F75E7C">
        <w:rPr>
          <w:rFonts w:ascii="Arial" w:hAnsi="Arial" w:cs="Arial"/>
          <w:i/>
          <w:iCs/>
        </w:rPr>
        <w:t>Five ways to well-being</w:t>
      </w:r>
      <w:r w:rsidRPr="00F75E7C">
        <w:rPr>
          <w:rFonts w:ascii="Arial" w:hAnsi="Arial" w:cs="Arial"/>
        </w:rPr>
        <w:t xml:space="preserve">. Available at: </w:t>
      </w:r>
      <w:hyperlink r:id="rId27" w:history="1">
        <w:r w:rsidRPr="00F75E7C">
          <w:rPr>
            <w:rStyle w:val="Hyperlink"/>
            <w:rFonts w:ascii="Arial" w:hAnsi="Arial" w:cs="Arial"/>
          </w:rPr>
          <w:t>https://www.nhs.uk/conditions/stress-anxiety-depression/improve-mental-wellbeing/</w:t>
        </w:r>
      </w:hyperlink>
      <w:r w:rsidRPr="00F75E7C">
        <w:rPr>
          <w:rFonts w:ascii="Arial" w:hAnsi="Arial" w:cs="Arial"/>
        </w:rPr>
        <w:t xml:space="preserve"> (Accessed on 20</w:t>
      </w:r>
      <w:r w:rsidRPr="00F75E7C">
        <w:rPr>
          <w:rFonts w:ascii="Arial" w:hAnsi="Arial" w:cs="Arial"/>
          <w:vertAlign w:val="superscript"/>
        </w:rPr>
        <w:t>th</w:t>
      </w:r>
      <w:r w:rsidRPr="00F75E7C">
        <w:rPr>
          <w:rFonts w:ascii="Arial" w:hAnsi="Arial" w:cs="Arial"/>
        </w:rPr>
        <w:t xml:space="preserve"> February 2020). </w:t>
      </w:r>
    </w:p>
    <w:p w14:paraId="50827B8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New Economics Foundation. (2011) </w:t>
      </w:r>
      <w:r w:rsidRPr="00F75E7C">
        <w:rPr>
          <w:rFonts w:ascii="Arial" w:hAnsi="Arial" w:cs="Arial"/>
          <w:i/>
          <w:iCs/>
        </w:rPr>
        <w:t>Five ways to well-being: New applications, new ways of thinking.</w:t>
      </w:r>
      <w:r w:rsidRPr="00F75E7C">
        <w:rPr>
          <w:rFonts w:ascii="Arial" w:hAnsi="Arial" w:cs="Arial"/>
        </w:rPr>
        <w:t xml:space="preserve"> London: New Economic Foundation</w:t>
      </w:r>
    </w:p>
    <w:p w14:paraId="38C8D52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New Economics Foundation (2012) </w:t>
      </w:r>
      <w:r w:rsidRPr="00F75E7C">
        <w:rPr>
          <w:rFonts w:ascii="Arial" w:hAnsi="Arial" w:cs="Arial"/>
          <w:i/>
          <w:iCs/>
        </w:rPr>
        <w:t xml:space="preserve">Measuring Wellbeing: A guide for practitioners. </w:t>
      </w:r>
      <w:r w:rsidRPr="00F75E7C">
        <w:rPr>
          <w:rFonts w:ascii="Arial" w:hAnsi="Arial" w:cs="Arial"/>
        </w:rPr>
        <w:t>London: New Economics Foundation.</w:t>
      </w:r>
    </w:p>
    <w:p w14:paraId="0BA662C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Nottingham, J. (2018) </w:t>
      </w:r>
      <w:r w:rsidRPr="00F75E7C">
        <w:rPr>
          <w:rFonts w:ascii="Arial" w:hAnsi="Arial" w:cs="Arial"/>
          <w:i/>
          <w:iCs/>
        </w:rPr>
        <w:t>An introduction to the learning pit by its creator, James Nottingham</w:t>
      </w:r>
      <w:r w:rsidRPr="00F75E7C">
        <w:rPr>
          <w:rFonts w:ascii="Arial" w:hAnsi="Arial" w:cs="Arial"/>
        </w:rPr>
        <w:t>. London: Corwin Press.</w:t>
      </w:r>
    </w:p>
    <w:p w14:paraId="09295BAC"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Organisation for Economic Co-operation (2019) </w:t>
      </w:r>
      <w:r w:rsidRPr="00F75E7C">
        <w:rPr>
          <w:rFonts w:ascii="Arial" w:hAnsi="Arial" w:cs="Arial"/>
          <w:i/>
          <w:iCs/>
        </w:rPr>
        <w:t>OECD mental health performance framework</w:t>
      </w:r>
      <w:r w:rsidRPr="00F75E7C">
        <w:rPr>
          <w:rFonts w:ascii="Arial" w:hAnsi="Arial" w:cs="Arial"/>
        </w:rPr>
        <w:t xml:space="preserve">. Available at: </w:t>
      </w:r>
      <w:hyperlink r:id="rId28" w:history="1">
        <w:r w:rsidRPr="00F75E7C">
          <w:rPr>
            <w:rStyle w:val="Hyperlink"/>
            <w:rFonts w:ascii="Arial" w:hAnsi="Arial" w:cs="Arial"/>
          </w:rPr>
          <w:t>https://www.oecd.org/health/health-systems/OECD-Mental-Health-Performance-Framework-2019.pdf</w:t>
        </w:r>
      </w:hyperlink>
      <w:r w:rsidRPr="00F75E7C">
        <w:rPr>
          <w:rFonts w:ascii="Arial" w:hAnsi="Arial" w:cs="Arial"/>
        </w:rPr>
        <w:t xml:space="preserve"> (Accessed 15th February 2020). </w:t>
      </w:r>
    </w:p>
    <w:p w14:paraId="12AE790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Paterson, A., and Grantham, R. (2016) ‘How to Make Teachers Happy: An Exploration of Teacher Wellbeing in the Primary School Context’, </w:t>
      </w:r>
      <w:r w:rsidRPr="00F75E7C">
        <w:rPr>
          <w:rFonts w:ascii="Arial" w:hAnsi="Arial" w:cs="Arial"/>
          <w:i/>
          <w:iCs/>
        </w:rPr>
        <w:t>Educational &amp; Child Psychology</w:t>
      </w:r>
      <w:r w:rsidRPr="00F75E7C">
        <w:rPr>
          <w:rFonts w:ascii="Arial" w:hAnsi="Arial" w:cs="Arial"/>
        </w:rPr>
        <w:t>, 33.2, pp.90-105.</w:t>
      </w:r>
    </w:p>
    <w:p w14:paraId="4A64D296"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lastRenderedPageBreak/>
        <w:t>Piccoli</w:t>
      </w:r>
      <w:proofErr w:type="spellEnd"/>
      <w:r w:rsidRPr="00F75E7C">
        <w:rPr>
          <w:rFonts w:ascii="Arial" w:hAnsi="Arial" w:cs="Arial"/>
        </w:rPr>
        <w:t xml:space="preserve">, M. (2019) ‘Educational research and Mixed Methods. Research designs, application perspectives, and food for thought’, </w:t>
      </w:r>
      <w:proofErr w:type="spellStart"/>
      <w:r w:rsidRPr="00F75E7C">
        <w:rPr>
          <w:rFonts w:ascii="Arial" w:hAnsi="Arial" w:cs="Arial"/>
          <w:i/>
          <w:iCs/>
        </w:rPr>
        <w:t>Studi</w:t>
      </w:r>
      <w:proofErr w:type="spellEnd"/>
      <w:r w:rsidRPr="00F75E7C">
        <w:rPr>
          <w:rFonts w:ascii="Arial" w:hAnsi="Arial" w:cs="Arial"/>
          <w:i/>
          <w:iCs/>
        </w:rPr>
        <w:t xml:space="preserve"> Sulla </w:t>
      </w:r>
      <w:proofErr w:type="spellStart"/>
      <w:r w:rsidRPr="00F75E7C">
        <w:rPr>
          <w:rFonts w:ascii="Arial" w:hAnsi="Arial" w:cs="Arial"/>
          <w:i/>
          <w:iCs/>
        </w:rPr>
        <w:t>Formazione</w:t>
      </w:r>
      <w:proofErr w:type="spellEnd"/>
      <w:r w:rsidRPr="00F75E7C">
        <w:rPr>
          <w:rFonts w:ascii="Arial" w:hAnsi="Arial" w:cs="Arial"/>
        </w:rPr>
        <w:t xml:space="preserve">, 22(2), pp. 423–438. </w:t>
      </w:r>
    </w:p>
    <w:p w14:paraId="18EF995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Pickering, L., Lambeth, J. and Woodcock, C. (2019) ‘The Emotional Literacy Support Assistant (ELSA) Programme: Can you develop an evidence base for an adaptive intervention?’, </w:t>
      </w:r>
      <w:r w:rsidRPr="00F75E7C">
        <w:rPr>
          <w:rFonts w:ascii="Arial" w:hAnsi="Arial" w:cs="Arial"/>
          <w:i/>
          <w:iCs/>
        </w:rPr>
        <w:t>DECP Debate</w:t>
      </w:r>
      <w:r w:rsidRPr="00F75E7C">
        <w:rPr>
          <w:rFonts w:ascii="Arial" w:hAnsi="Arial" w:cs="Arial"/>
        </w:rPr>
        <w:t xml:space="preserve">, (170), pp. 17–22. </w:t>
      </w:r>
    </w:p>
    <w:p w14:paraId="3AD95D3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Public Health England. (2014) </w:t>
      </w:r>
      <w:r w:rsidRPr="00F75E7C">
        <w:rPr>
          <w:rFonts w:ascii="Arial" w:hAnsi="Arial" w:cs="Arial"/>
          <w:i/>
          <w:iCs/>
        </w:rPr>
        <w:t>The link between pupil health and wellbeing and attainment: A briefing for head teachers, governors and staff in education settings</w:t>
      </w:r>
      <w:r w:rsidRPr="00F75E7C">
        <w:rPr>
          <w:rFonts w:ascii="Arial" w:hAnsi="Arial" w:cs="Arial"/>
        </w:rPr>
        <w:t xml:space="preserve">. Available at:  </w:t>
      </w:r>
      <w:hyperlink r:id="rId29" w:history="1">
        <w:r w:rsidRPr="00F75E7C">
          <w:rPr>
            <w:rStyle w:val="Hyperlink"/>
            <w:rFonts w:ascii="Arial" w:hAnsi="Arial" w:cs="Arial"/>
          </w:rPr>
          <w:t>https://assets.publishing.service.gov.uk/government/uploads/system/uploads/attachment_data/file/370686/HT_briefing_layoutvFINALvii.pdf</w:t>
        </w:r>
      </w:hyperlink>
      <w:r w:rsidRPr="00F75E7C">
        <w:rPr>
          <w:rFonts w:ascii="Arial" w:hAnsi="Arial" w:cs="Arial"/>
        </w:rPr>
        <w:t xml:space="preserve"> (Accessed 10th February 2020). </w:t>
      </w:r>
    </w:p>
    <w:p w14:paraId="3FD9E7F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Public Health England. (2015</w:t>
      </w:r>
      <w:r w:rsidRPr="00F75E7C">
        <w:rPr>
          <w:rFonts w:ascii="Arial" w:hAnsi="Arial" w:cs="Arial"/>
          <w:i/>
          <w:iCs/>
        </w:rPr>
        <w:t>) Measuring mental well-being in children and young people</w:t>
      </w:r>
      <w:r w:rsidRPr="00F75E7C">
        <w:rPr>
          <w:rFonts w:ascii="Arial" w:hAnsi="Arial" w:cs="Arial"/>
        </w:rPr>
        <w:t>. London: OGL.</w:t>
      </w:r>
    </w:p>
    <w:p w14:paraId="25A3BD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Public Policy Institute for Wales. (2016) </w:t>
      </w:r>
      <w:r w:rsidRPr="00F75E7C">
        <w:rPr>
          <w:rFonts w:ascii="Arial" w:hAnsi="Arial" w:cs="Arial"/>
          <w:i/>
          <w:iCs/>
        </w:rPr>
        <w:t>Asymmetric school weeks</w:t>
      </w:r>
      <w:r w:rsidRPr="00F75E7C">
        <w:rPr>
          <w:rFonts w:ascii="Arial" w:hAnsi="Arial" w:cs="Arial"/>
        </w:rPr>
        <w:t xml:space="preserve">. Cardiff: OGL. </w:t>
      </w:r>
    </w:p>
    <w:p w14:paraId="15B0675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Roffey, S. (2012) ‘Pupil wellbeing - Teacher wellbeing: Two sides of the same coin?’, </w:t>
      </w:r>
      <w:r w:rsidRPr="00F75E7C">
        <w:rPr>
          <w:rFonts w:ascii="Arial" w:hAnsi="Arial" w:cs="Arial"/>
          <w:i/>
          <w:iCs/>
        </w:rPr>
        <w:t>Educational &amp; Child Psychology</w:t>
      </w:r>
      <w:r w:rsidRPr="00F75E7C">
        <w:rPr>
          <w:rFonts w:ascii="Arial" w:hAnsi="Arial" w:cs="Arial"/>
        </w:rPr>
        <w:t>, 29(4), pp.8–18.</w:t>
      </w:r>
    </w:p>
    <w:p w14:paraId="2B7A72F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Royal College of Paediatrics and Child Health. (2020) </w:t>
      </w:r>
      <w:r w:rsidRPr="00F75E7C">
        <w:rPr>
          <w:rFonts w:ascii="Arial" w:hAnsi="Arial" w:cs="Arial"/>
          <w:i/>
          <w:iCs/>
        </w:rPr>
        <w:t>The state of child health 2020: Wales</w:t>
      </w:r>
      <w:r w:rsidRPr="00F75E7C">
        <w:rPr>
          <w:rFonts w:ascii="Arial" w:hAnsi="Arial" w:cs="Arial"/>
        </w:rPr>
        <w:t xml:space="preserve">. London: Royal College of Paediatrics and Child Health. </w:t>
      </w:r>
    </w:p>
    <w:p w14:paraId="13994433"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Sahin</w:t>
      </w:r>
      <w:proofErr w:type="spellEnd"/>
      <w:r w:rsidRPr="00F75E7C">
        <w:rPr>
          <w:rFonts w:ascii="Arial" w:hAnsi="Arial" w:cs="Arial"/>
        </w:rPr>
        <w:t xml:space="preserve">, M. et al. (2018) ‘Relationship between Physical Activity Levels and Well-Being of Individuals’, </w:t>
      </w:r>
      <w:proofErr w:type="spellStart"/>
      <w:r w:rsidRPr="00F75E7C">
        <w:rPr>
          <w:rFonts w:ascii="Arial" w:hAnsi="Arial" w:cs="Arial"/>
          <w:i/>
          <w:iCs/>
        </w:rPr>
        <w:t>Ovidius</w:t>
      </w:r>
      <w:proofErr w:type="spellEnd"/>
      <w:r w:rsidRPr="00F75E7C">
        <w:rPr>
          <w:rFonts w:ascii="Arial" w:hAnsi="Arial" w:cs="Arial"/>
          <w:i/>
          <w:iCs/>
        </w:rPr>
        <w:t xml:space="preserve"> University Annals, Series Physical Education &amp; Sport/Science, Movement &amp; Health</w:t>
      </w:r>
      <w:r w:rsidRPr="00F75E7C">
        <w:rPr>
          <w:rFonts w:ascii="Arial" w:hAnsi="Arial" w:cs="Arial"/>
        </w:rPr>
        <w:t>, 18, pp. 337–342.</w:t>
      </w:r>
    </w:p>
    <w:p w14:paraId="79DA238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Seal, D. W., Bogart, L. M. and Ehrhardt, A. A. (1998) ‘Small group dynamics: The utility of focus group discussions as a research method’, </w:t>
      </w:r>
      <w:r w:rsidRPr="00F75E7C">
        <w:rPr>
          <w:rFonts w:ascii="Arial" w:hAnsi="Arial" w:cs="Arial"/>
          <w:i/>
          <w:iCs/>
        </w:rPr>
        <w:t xml:space="preserve">Group Dynamics: Theory, Research, and Practice. </w:t>
      </w:r>
      <w:r w:rsidRPr="00F75E7C">
        <w:rPr>
          <w:rFonts w:ascii="Arial" w:hAnsi="Arial" w:cs="Arial"/>
        </w:rPr>
        <w:t xml:space="preserve">2(4), pp. 253–266. </w:t>
      </w:r>
    </w:p>
    <w:p w14:paraId="4091EB6D"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Shotton</w:t>
      </w:r>
      <w:proofErr w:type="spellEnd"/>
      <w:r w:rsidRPr="00F75E7C">
        <w:rPr>
          <w:rFonts w:ascii="Arial" w:hAnsi="Arial" w:cs="Arial"/>
        </w:rPr>
        <w:t xml:space="preserve">, G. and Burton, S. (2019) </w:t>
      </w:r>
      <w:r w:rsidRPr="00F75E7C">
        <w:rPr>
          <w:rFonts w:ascii="Arial" w:hAnsi="Arial" w:cs="Arial"/>
          <w:i/>
          <w:iCs/>
        </w:rPr>
        <w:t>Emotional Wellbeing: An Introductory Handbook for Schools.</w:t>
      </w:r>
      <w:r w:rsidRPr="00F75E7C">
        <w:rPr>
          <w:rFonts w:ascii="Arial" w:hAnsi="Arial" w:cs="Arial"/>
        </w:rPr>
        <w:t xml:space="preserve"> 2</w:t>
      </w:r>
      <w:r w:rsidRPr="00F75E7C">
        <w:rPr>
          <w:rFonts w:ascii="Arial" w:hAnsi="Arial" w:cs="Arial"/>
          <w:vertAlign w:val="superscript"/>
        </w:rPr>
        <w:t>nd</w:t>
      </w:r>
      <w:r w:rsidRPr="00F75E7C">
        <w:rPr>
          <w:rFonts w:ascii="Arial" w:hAnsi="Arial" w:cs="Arial"/>
        </w:rPr>
        <w:t xml:space="preserve"> ed. London: Routledge. </w:t>
      </w:r>
    </w:p>
    <w:p w14:paraId="3901985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Syed, M. (2018) </w:t>
      </w:r>
      <w:r w:rsidRPr="00F75E7C">
        <w:rPr>
          <w:rFonts w:ascii="Arial" w:hAnsi="Arial" w:cs="Arial"/>
          <w:i/>
          <w:iCs/>
        </w:rPr>
        <w:t>You are awesome</w:t>
      </w:r>
      <w:r w:rsidRPr="00F75E7C">
        <w:rPr>
          <w:rFonts w:ascii="Arial" w:hAnsi="Arial" w:cs="Arial"/>
        </w:rPr>
        <w:t xml:space="preserve">. London: Rook and Wren. </w:t>
      </w:r>
    </w:p>
    <w:p w14:paraId="0D3D9F4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Tarrant, P. (2013) </w:t>
      </w:r>
      <w:r w:rsidRPr="00F75E7C">
        <w:rPr>
          <w:rFonts w:ascii="Arial" w:hAnsi="Arial" w:cs="Arial"/>
          <w:i/>
          <w:iCs/>
        </w:rPr>
        <w:t>Reflective Practice and Professional Development</w:t>
      </w:r>
      <w:r w:rsidRPr="00F75E7C">
        <w:rPr>
          <w:rFonts w:ascii="Arial" w:hAnsi="Arial" w:cs="Arial"/>
        </w:rPr>
        <w:t>. London: SAGE.</w:t>
      </w:r>
    </w:p>
    <w:p w14:paraId="1014AC6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The Children’s Society. (2019) </w:t>
      </w:r>
      <w:r w:rsidRPr="00F75E7C">
        <w:rPr>
          <w:rFonts w:ascii="Arial" w:hAnsi="Arial" w:cs="Arial"/>
          <w:i/>
          <w:iCs/>
        </w:rPr>
        <w:t>The good childhood report 2019</w:t>
      </w:r>
      <w:r w:rsidRPr="00F75E7C">
        <w:rPr>
          <w:rFonts w:ascii="Arial" w:hAnsi="Arial" w:cs="Arial"/>
        </w:rPr>
        <w:t>. London: The Children’s Society.</w:t>
      </w:r>
    </w:p>
    <w:p w14:paraId="0425DE8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UNICEF. (1990) </w:t>
      </w:r>
      <w:r w:rsidRPr="00F75E7C">
        <w:rPr>
          <w:rFonts w:ascii="Arial" w:hAnsi="Arial" w:cs="Arial"/>
          <w:i/>
          <w:iCs/>
        </w:rPr>
        <w:t>The United Nations Convention on the Rights of the Child</w:t>
      </w:r>
      <w:r w:rsidRPr="00F75E7C">
        <w:rPr>
          <w:rFonts w:ascii="Arial" w:hAnsi="Arial" w:cs="Arial"/>
        </w:rPr>
        <w:t xml:space="preserve">. Available at: </w:t>
      </w:r>
      <w:hyperlink r:id="rId30" w:history="1">
        <w:r w:rsidRPr="00F75E7C">
          <w:rPr>
            <w:rStyle w:val="Hyperlink"/>
            <w:rFonts w:ascii="Arial" w:hAnsi="Arial" w:cs="Arial"/>
          </w:rPr>
          <w:t>https://downloads.unicef.org.uk/wp-content/uploads/2010/05/UNCRC_united_nations_convention_on_the_rights_of_the_child.pdf?_ga=2.56056616.2074688182.1554909005-877512654.1554909005</w:t>
        </w:r>
      </w:hyperlink>
      <w:r w:rsidRPr="00F75E7C">
        <w:rPr>
          <w:rFonts w:ascii="Arial" w:hAnsi="Arial" w:cs="Arial"/>
        </w:rPr>
        <w:t xml:space="preserve">  (Accessed: 1st November 2019). </w:t>
      </w:r>
    </w:p>
    <w:p w14:paraId="3BD7B4D8"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UNICEF. (2011) </w:t>
      </w:r>
      <w:r w:rsidRPr="00F75E7C">
        <w:rPr>
          <w:rFonts w:ascii="Arial" w:hAnsi="Arial" w:cs="Arial"/>
          <w:i/>
          <w:iCs/>
        </w:rPr>
        <w:t>Children’s Well-being in UK, Sweden and Spain: The Role of Inequality and Materialism A Qualitative Study</w:t>
      </w:r>
      <w:r w:rsidRPr="00F75E7C">
        <w:rPr>
          <w:rFonts w:ascii="Arial" w:hAnsi="Arial" w:cs="Arial"/>
        </w:rPr>
        <w:t xml:space="preserve">. Available at:  </w:t>
      </w:r>
      <w:hyperlink r:id="rId31" w:history="1">
        <w:r w:rsidRPr="00F75E7C">
          <w:rPr>
            <w:rStyle w:val="Hyperlink"/>
            <w:rFonts w:ascii="Arial" w:hAnsi="Arial" w:cs="Arial"/>
          </w:rPr>
          <w:t>https://downloads.unicef.org.uk/wp-content/uploads/2011/09/IPSOS_UNICEF_ChildWellBeingreport.pdf?_ga=2.50178534.1900103982.1580909192-1644603021.1580909192</w:t>
        </w:r>
      </w:hyperlink>
      <w:r w:rsidRPr="00F75E7C">
        <w:rPr>
          <w:rFonts w:ascii="Arial" w:hAnsi="Arial" w:cs="Arial"/>
        </w:rPr>
        <w:t xml:space="preserve"> (Accessed on 2</w:t>
      </w:r>
      <w:r w:rsidRPr="00F75E7C">
        <w:rPr>
          <w:rFonts w:ascii="Arial" w:hAnsi="Arial" w:cs="Arial"/>
          <w:vertAlign w:val="superscript"/>
        </w:rPr>
        <w:t>nd</w:t>
      </w:r>
      <w:r w:rsidRPr="00F75E7C">
        <w:rPr>
          <w:rFonts w:ascii="Arial" w:hAnsi="Arial" w:cs="Arial"/>
        </w:rPr>
        <w:t xml:space="preserve"> February 2020).</w:t>
      </w:r>
    </w:p>
    <w:p w14:paraId="5D41925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University of Wales Trinity Saint David. (2017) </w:t>
      </w:r>
      <w:r w:rsidRPr="00F75E7C">
        <w:rPr>
          <w:rFonts w:ascii="Arial" w:hAnsi="Arial" w:cs="Arial"/>
          <w:i/>
          <w:iCs/>
        </w:rPr>
        <w:t>Research ethics and integrity code of practice.</w:t>
      </w:r>
      <w:r w:rsidRPr="00F75E7C">
        <w:rPr>
          <w:rFonts w:ascii="Arial" w:hAnsi="Arial" w:cs="Arial"/>
        </w:rPr>
        <w:t xml:space="preserve"> Available at: </w:t>
      </w:r>
      <w:hyperlink r:id="rId32" w:history="1">
        <w:r w:rsidRPr="00F75E7C">
          <w:rPr>
            <w:rStyle w:val="Hyperlink"/>
            <w:rFonts w:ascii="Arial" w:hAnsi="Arial" w:cs="Arial"/>
          </w:rPr>
          <w:t>https://www.uwtsd.ac.uk/media/uwtsd-website/content-</w:t>
        </w:r>
        <w:r w:rsidRPr="00F75E7C">
          <w:rPr>
            <w:rStyle w:val="Hyperlink"/>
            <w:rFonts w:ascii="Arial" w:hAnsi="Arial" w:cs="Arial"/>
          </w:rPr>
          <w:lastRenderedPageBreak/>
          <w:t>assets/documents/research/research-ethics-integrity-code-practice.pdf</w:t>
        </w:r>
      </w:hyperlink>
      <w:r w:rsidRPr="00F75E7C">
        <w:rPr>
          <w:rFonts w:ascii="Arial" w:hAnsi="Arial" w:cs="Arial"/>
        </w:rPr>
        <w:t xml:space="preserve"> (Accessed 25th January 2020). </w:t>
      </w:r>
    </w:p>
    <w:p w14:paraId="3798059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Assembly Government. (2010) </w:t>
      </w:r>
      <w:r w:rsidRPr="00F75E7C">
        <w:rPr>
          <w:rFonts w:ascii="Arial" w:hAnsi="Arial" w:cs="Arial"/>
          <w:i/>
          <w:iCs/>
        </w:rPr>
        <w:t>Thinking positively: emotional health and well-being in schools and early years settings</w:t>
      </w:r>
      <w:r w:rsidRPr="00F75E7C">
        <w:rPr>
          <w:rFonts w:ascii="Arial" w:hAnsi="Arial" w:cs="Arial"/>
        </w:rPr>
        <w:t xml:space="preserve">. Cardiff: Welsh Assembly Government. </w:t>
      </w:r>
    </w:p>
    <w:p w14:paraId="5E1A967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(2020) </w:t>
      </w:r>
      <w:r w:rsidRPr="00F75E7C">
        <w:rPr>
          <w:rFonts w:ascii="Arial" w:hAnsi="Arial" w:cs="Arial"/>
          <w:i/>
          <w:iCs/>
        </w:rPr>
        <w:t>A guide to the draft curriculum for Wales</w:t>
      </w:r>
      <w:r w:rsidRPr="00F75E7C">
        <w:rPr>
          <w:rFonts w:ascii="Arial" w:hAnsi="Arial" w:cs="Arial"/>
        </w:rPr>
        <w:t>. Cardiff: Welsh Government.</w:t>
      </w:r>
    </w:p>
    <w:p w14:paraId="3D0A562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(2019) </w:t>
      </w:r>
      <w:r w:rsidRPr="00F75E7C">
        <w:rPr>
          <w:rFonts w:ascii="Arial" w:hAnsi="Arial" w:cs="Arial"/>
          <w:i/>
          <w:iCs/>
        </w:rPr>
        <w:t>Professional standards for teaching and leadership</w:t>
      </w:r>
      <w:r w:rsidRPr="00F75E7C">
        <w:rPr>
          <w:rFonts w:ascii="Arial" w:hAnsi="Arial" w:cs="Arial"/>
        </w:rPr>
        <w:t>. Cardiff: Welsh Government.</w:t>
      </w:r>
    </w:p>
    <w:p w14:paraId="5098D01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(2015) </w:t>
      </w:r>
      <w:r w:rsidRPr="00F75E7C">
        <w:rPr>
          <w:rFonts w:ascii="Arial" w:hAnsi="Arial" w:cs="Arial"/>
          <w:i/>
          <w:iCs/>
        </w:rPr>
        <w:t>Well-being of Future Generations (Wales) Act 2015: The Essentials.</w:t>
      </w:r>
      <w:r w:rsidRPr="00F75E7C">
        <w:rPr>
          <w:rFonts w:ascii="Arial" w:hAnsi="Arial" w:cs="Arial"/>
        </w:rPr>
        <w:t xml:space="preserve"> (2nd Edition) Cardiff: Welsh Government.</w:t>
      </w:r>
    </w:p>
    <w:p w14:paraId="1174EB9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(2012) </w:t>
      </w:r>
      <w:r w:rsidRPr="00F75E7C">
        <w:rPr>
          <w:rFonts w:ascii="Arial" w:hAnsi="Arial" w:cs="Arial"/>
          <w:i/>
          <w:iCs/>
        </w:rPr>
        <w:t>Together for Mental Health: A Strategy for Mental Health and Wellbeing in Wales</w:t>
      </w:r>
      <w:r w:rsidRPr="00F75E7C">
        <w:rPr>
          <w:rFonts w:ascii="Arial" w:hAnsi="Arial" w:cs="Arial"/>
        </w:rPr>
        <w:t xml:space="preserve">. Available at: </w:t>
      </w:r>
      <w:hyperlink r:id="rId33" w:history="1">
        <w:r w:rsidRPr="00F75E7C">
          <w:rPr>
            <w:rStyle w:val="Hyperlink"/>
            <w:rFonts w:ascii="Arial" w:hAnsi="Arial" w:cs="Arial"/>
          </w:rPr>
          <w:t>https://gov.wales/sites/default/files/publications/2019-04/together-for-mental-health-summary.pdf</w:t>
        </w:r>
      </w:hyperlink>
      <w:r w:rsidRPr="00F75E7C">
        <w:rPr>
          <w:rFonts w:ascii="Arial" w:hAnsi="Arial" w:cs="Arial"/>
        </w:rPr>
        <w:t xml:space="preserve"> (Accessed on 23rd February 2020).</w:t>
      </w:r>
    </w:p>
    <w:p w14:paraId="4D7EA76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Network of Healthy School Schemes. (2010) </w:t>
      </w:r>
      <w:r w:rsidRPr="00F75E7C">
        <w:rPr>
          <w:rFonts w:ascii="Arial" w:hAnsi="Arial" w:cs="Arial"/>
          <w:i/>
          <w:iCs/>
        </w:rPr>
        <w:t>Indicators for the Welsh Network of Healthy School Schemes National Quality Award.</w:t>
      </w:r>
      <w:r w:rsidRPr="00F75E7C">
        <w:rPr>
          <w:rFonts w:ascii="Arial" w:hAnsi="Arial" w:cs="Arial"/>
        </w:rPr>
        <w:t xml:space="preserve"> Available at: </w:t>
      </w:r>
      <w:hyperlink r:id="rId34" w:history="1">
        <w:r w:rsidRPr="00F75E7C">
          <w:rPr>
            <w:rStyle w:val="Hyperlink"/>
            <w:rFonts w:ascii="Arial" w:hAnsi="Arial" w:cs="Arial"/>
          </w:rPr>
          <w:t>https://dera.ioe.ac.uk/11425/1/100730schoolawardindicen.pdf</w:t>
        </w:r>
      </w:hyperlink>
      <w:r w:rsidRPr="00F75E7C">
        <w:rPr>
          <w:rFonts w:ascii="Arial" w:hAnsi="Arial" w:cs="Arial"/>
        </w:rPr>
        <w:t xml:space="preserve"> (Accessed on 23rd February 2020).</w:t>
      </w:r>
    </w:p>
    <w:p w14:paraId="0EE98A1E"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Wigford</w:t>
      </w:r>
      <w:proofErr w:type="spellEnd"/>
      <w:r w:rsidRPr="00F75E7C">
        <w:rPr>
          <w:rFonts w:ascii="Arial" w:hAnsi="Arial" w:cs="Arial"/>
        </w:rPr>
        <w:t xml:space="preserve">, A. and Higgins, A. H. (2019) ‘Wellbeing in international schools: Teachers’ perceptions’, </w:t>
      </w:r>
      <w:r w:rsidRPr="00F75E7C">
        <w:rPr>
          <w:rFonts w:ascii="Arial" w:hAnsi="Arial" w:cs="Arial"/>
          <w:i/>
          <w:iCs/>
        </w:rPr>
        <w:t>Educational &amp; Child Psychology</w:t>
      </w:r>
      <w:r w:rsidRPr="00F75E7C">
        <w:rPr>
          <w:rFonts w:ascii="Arial" w:hAnsi="Arial" w:cs="Arial"/>
        </w:rPr>
        <w:t xml:space="preserve">, 36(4), pp. 46–64. </w:t>
      </w:r>
    </w:p>
    <w:p w14:paraId="306456F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Wilding, L. and Claridge, S. (2016) ‘The Emotional Literacy Support Assistant (ELSA) programme: parental perceptions of its impact in school and at home’, </w:t>
      </w:r>
      <w:r w:rsidRPr="00F75E7C">
        <w:rPr>
          <w:rFonts w:ascii="Arial" w:hAnsi="Arial" w:cs="Arial"/>
          <w:i/>
          <w:iCs/>
        </w:rPr>
        <w:t>Educational Psychology in Practice,</w:t>
      </w:r>
      <w:r w:rsidRPr="00F75E7C">
        <w:rPr>
          <w:rFonts w:ascii="Arial" w:hAnsi="Arial" w:cs="Arial"/>
        </w:rPr>
        <w:t xml:space="preserve"> 32(2), pp. 180–196. </w:t>
      </w:r>
    </w:p>
    <w:p w14:paraId="146A5406" w14:textId="77777777" w:rsidR="007D6FD1" w:rsidRPr="00F75E7C" w:rsidRDefault="007D6FD1" w:rsidP="007D6FD1">
      <w:pPr>
        <w:spacing w:line="240" w:lineRule="auto"/>
        <w:rPr>
          <w:rFonts w:ascii="Arial" w:hAnsi="Arial" w:cs="Arial"/>
        </w:rPr>
      </w:pPr>
    </w:p>
    <w:p w14:paraId="4E26266C" w14:textId="77777777" w:rsidR="007D6FD1" w:rsidRPr="00295723" w:rsidRDefault="007D6FD1" w:rsidP="007D6FD1">
      <w:pPr>
        <w:rPr>
          <w:rFonts w:ascii="Arial" w:hAnsi="Arial" w:cs="Arial"/>
          <w:sz w:val="24"/>
          <w:szCs w:val="24"/>
        </w:rPr>
      </w:pPr>
    </w:p>
    <w:p w14:paraId="617D4C3F" w14:textId="77777777" w:rsidR="007B6243" w:rsidRPr="007B6243" w:rsidRDefault="007B6243" w:rsidP="007B6243">
      <w:pPr>
        <w:rPr>
          <w:rFonts w:ascii="Arial" w:hAnsi="Arial" w:cs="Arial"/>
        </w:rPr>
      </w:pPr>
    </w:p>
    <w:sectPr w:rsidR="007B6243" w:rsidRPr="007B6243">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2E457" w14:textId="77777777" w:rsidR="004650A4" w:rsidRDefault="004650A4" w:rsidP="00A94E10">
      <w:pPr>
        <w:spacing w:after="0" w:line="240" w:lineRule="auto"/>
      </w:pPr>
      <w:r>
        <w:separator/>
      </w:r>
    </w:p>
  </w:endnote>
  <w:endnote w:type="continuationSeparator" w:id="0">
    <w:p w14:paraId="06C4A078" w14:textId="77777777" w:rsidR="004650A4" w:rsidRDefault="004650A4" w:rsidP="00A9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752026"/>
      <w:docPartObj>
        <w:docPartGallery w:val="Page Numbers (Bottom of Page)"/>
        <w:docPartUnique/>
      </w:docPartObj>
    </w:sdtPr>
    <w:sdtContent>
      <w:sdt>
        <w:sdtPr>
          <w:id w:val="1728636285"/>
          <w:docPartObj>
            <w:docPartGallery w:val="Page Numbers (Top of Page)"/>
            <w:docPartUnique/>
          </w:docPartObj>
        </w:sdtPr>
        <w:sdtContent>
          <w:p w14:paraId="68A7FF93" w14:textId="791BB708" w:rsidR="00CB4AFB" w:rsidRDefault="00CB4AFB">
            <w:pPr>
              <w:pStyle w:val="Footer"/>
              <w:jc w:val="center"/>
            </w:pPr>
            <w:r w:rsidRPr="00E241AB">
              <w:rPr>
                <w:rFonts w:ascii="Arial" w:hAnsi="Arial" w:cs="Arial"/>
              </w:rPr>
              <w:t xml:space="preserve">Page </w:t>
            </w:r>
            <w:r w:rsidRPr="00E241AB">
              <w:rPr>
                <w:rFonts w:ascii="Arial" w:hAnsi="Arial" w:cs="Arial"/>
              </w:rPr>
              <w:fldChar w:fldCharType="begin"/>
            </w:r>
            <w:r w:rsidRPr="00E241AB">
              <w:rPr>
                <w:rFonts w:ascii="Arial" w:hAnsi="Arial" w:cs="Arial"/>
              </w:rPr>
              <w:instrText xml:space="preserve"> PAGE </w:instrText>
            </w:r>
            <w:r w:rsidRPr="00E241AB">
              <w:rPr>
                <w:rFonts w:ascii="Arial" w:hAnsi="Arial" w:cs="Arial"/>
              </w:rPr>
              <w:fldChar w:fldCharType="separate"/>
            </w:r>
            <w:r w:rsidRPr="00E241AB">
              <w:rPr>
                <w:rFonts w:ascii="Arial" w:hAnsi="Arial" w:cs="Arial"/>
                <w:noProof/>
              </w:rPr>
              <w:t>2</w:t>
            </w:r>
            <w:r w:rsidRPr="00E241AB">
              <w:rPr>
                <w:rFonts w:ascii="Arial" w:hAnsi="Arial" w:cs="Arial"/>
              </w:rPr>
              <w:fldChar w:fldCharType="end"/>
            </w:r>
          </w:p>
        </w:sdtContent>
      </w:sdt>
    </w:sdtContent>
  </w:sdt>
  <w:p w14:paraId="36816605" w14:textId="77777777" w:rsidR="00CB4AFB" w:rsidRDefault="00CB4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AF852" w14:textId="77777777" w:rsidR="004650A4" w:rsidRDefault="004650A4" w:rsidP="00A94E10">
      <w:pPr>
        <w:spacing w:after="0" w:line="240" w:lineRule="auto"/>
      </w:pPr>
      <w:r>
        <w:separator/>
      </w:r>
    </w:p>
  </w:footnote>
  <w:footnote w:type="continuationSeparator" w:id="0">
    <w:p w14:paraId="66B26875" w14:textId="77777777" w:rsidR="004650A4" w:rsidRDefault="004650A4" w:rsidP="00A9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2631C" w14:textId="4EAEB58F" w:rsidR="00CB4AFB" w:rsidRPr="00B17742" w:rsidRDefault="00CB4AFB">
    <w:pPr>
      <w:pStyle w:val="Header"/>
      <w:rPr>
        <w:sz w:val="24"/>
        <w:szCs w:val="24"/>
      </w:rPr>
    </w:pPr>
    <w:sdt>
      <w:sdtPr>
        <w:rPr>
          <w:rFonts w:asciiTheme="majorHAnsi" w:eastAsiaTheme="majorEastAsia" w:hAnsiTheme="majorHAnsi" w:cstheme="majorBidi"/>
          <w:sz w:val="24"/>
          <w:szCs w:val="24"/>
        </w:rPr>
        <w:alias w:val="Title"/>
        <w:id w:val="78404852"/>
        <w:placeholder>
          <w:docPart w:val="3586E0751B854A9393FC3A33CFF5B901"/>
        </w:placeholder>
        <w:dataBinding w:prefixMappings="xmlns:ns0='http://schemas.openxmlformats.org/package/2006/metadata/core-properties' xmlns:ns1='http://purl.org/dc/elements/1.1/'" w:xpath="/ns0:coreProperties[1]/ns1:title[1]" w:storeItemID="{6C3C8BC8-F283-45AE-878A-BAB7291924A1}"/>
        <w:text/>
      </w:sdtPr>
      <w:sdtContent>
        <w:r w:rsidRPr="00B17742">
          <w:rPr>
            <w:rFonts w:asciiTheme="majorHAnsi" w:eastAsiaTheme="majorEastAsia" w:hAnsiTheme="majorHAnsi" w:cstheme="majorBidi"/>
            <w:sz w:val="24"/>
            <w:szCs w:val="24"/>
          </w:rPr>
          <w:t>ECAD6003</w:t>
        </w:r>
      </w:sdtContent>
    </w:sdt>
    <w:r>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sz w:val="24"/>
          <w:szCs w:val="24"/>
        </w:rPr>
        <w:alias w:val="Date"/>
        <w:id w:val="78404859"/>
        <w:placeholder>
          <w:docPart w:val="F41EEAD120F1419280EBE39E9746980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Pr="00B17742">
          <w:rPr>
            <w:rFonts w:asciiTheme="majorHAnsi" w:eastAsiaTheme="majorEastAsia" w:hAnsiTheme="majorHAnsi" w:cstheme="majorBidi"/>
            <w:sz w:val="24"/>
            <w:szCs w:val="24"/>
          </w:rPr>
          <w:t>1501392</w:t>
        </w:r>
      </w:sdtContent>
    </w:sdt>
  </w:p>
  <w:p w14:paraId="20F32ADE" w14:textId="77777777" w:rsidR="00CB4AFB" w:rsidRDefault="00CB4A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687EFB"/>
    <w:multiLevelType w:val="hybridMultilevel"/>
    <w:tmpl w:val="73D65F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D13"/>
    <w:rsid w:val="0001436E"/>
    <w:rsid w:val="000223AA"/>
    <w:rsid w:val="00024E59"/>
    <w:rsid w:val="00030523"/>
    <w:rsid w:val="0003228C"/>
    <w:rsid w:val="00032ED0"/>
    <w:rsid w:val="000370AD"/>
    <w:rsid w:val="0006125F"/>
    <w:rsid w:val="00076178"/>
    <w:rsid w:val="00081442"/>
    <w:rsid w:val="000B4720"/>
    <w:rsid w:val="000C1F75"/>
    <w:rsid w:val="000D70A5"/>
    <w:rsid w:val="00120EC6"/>
    <w:rsid w:val="00134C1A"/>
    <w:rsid w:val="0014796C"/>
    <w:rsid w:val="00147C5C"/>
    <w:rsid w:val="00154EC8"/>
    <w:rsid w:val="001652C6"/>
    <w:rsid w:val="00172AAE"/>
    <w:rsid w:val="00174868"/>
    <w:rsid w:val="00174DF8"/>
    <w:rsid w:val="001B0742"/>
    <w:rsid w:val="001C1DA1"/>
    <w:rsid w:val="001C1EA9"/>
    <w:rsid w:val="001D021B"/>
    <w:rsid w:val="001D7589"/>
    <w:rsid w:val="00202F03"/>
    <w:rsid w:val="00216768"/>
    <w:rsid w:val="00226294"/>
    <w:rsid w:val="00233A93"/>
    <w:rsid w:val="002342E8"/>
    <w:rsid w:val="002655BD"/>
    <w:rsid w:val="00277AD5"/>
    <w:rsid w:val="002972F8"/>
    <w:rsid w:val="002B497D"/>
    <w:rsid w:val="002C5847"/>
    <w:rsid w:val="002D099D"/>
    <w:rsid w:val="002D0B3F"/>
    <w:rsid w:val="002E2D4B"/>
    <w:rsid w:val="003175BF"/>
    <w:rsid w:val="00341371"/>
    <w:rsid w:val="00356A9D"/>
    <w:rsid w:val="00367776"/>
    <w:rsid w:val="00374C7C"/>
    <w:rsid w:val="00374C8D"/>
    <w:rsid w:val="00397C16"/>
    <w:rsid w:val="003A7A4A"/>
    <w:rsid w:val="003B22C5"/>
    <w:rsid w:val="003B6876"/>
    <w:rsid w:val="003C535C"/>
    <w:rsid w:val="003C5672"/>
    <w:rsid w:val="003D264B"/>
    <w:rsid w:val="003D3105"/>
    <w:rsid w:val="003E5714"/>
    <w:rsid w:val="003F34AD"/>
    <w:rsid w:val="003F3CBF"/>
    <w:rsid w:val="004124B4"/>
    <w:rsid w:val="00420AA2"/>
    <w:rsid w:val="00426875"/>
    <w:rsid w:val="00427E20"/>
    <w:rsid w:val="00433B08"/>
    <w:rsid w:val="0043481D"/>
    <w:rsid w:val="00442562"/>
    <w:rsid w:val="004432C4"/>
    <w:rsid w:val="00450FDC"/>
    <w:rsid w:val="004622F0"/>
    <w:rsid w:val="004624A6"/>
    <w:rsid w:val="004650A4"/>
    <w:rsid w:val="004A3F41"/>
    <w:rsid w:val="004A649C"/>
    <w:rsid w:val="004D0561"/>
    <w:rsid w:val="004E1587"/>
    <w:rsid w:val="004E438B"/>
    <w:rsid w:val="00506119"/>
    <w:rsid w:val="00510D13"/>
    <w:rsid w:val="0051258C"/>
    <w:rsid w:val="00532FEA"/>
    <w:rsid w:val="005330AD"/>
    <w:rsid w:val="00534174"/>
    <w:rsid w:val="0054048B"/>
    <w:rsid w:val="00546BA7"/>
    <w:rsid w:val="005538F8"/>
    <w:rsid w:val="00556E17"/>
    <w:rsid w:val="0056582C"/>
    <w:rsid w:val="00565DD5"/>
    <w:rsid w:val="00566985"/>
    <w:rsid w:val="00582EB1"/>
    <w:rsid w:val="005B046A"/>
    <w:rsid w:val="005B38FC"/>
    <w:rsid w:val="005C3D3B"/>
    <w:rsid w:val="005E0227"/>
    <w:rsid w:val="005E0D4C"/>
    <w:rsid w:val="00600F6C"/>
    <w:rsid w:val="0061237D"/>
    <w:rsid w:val="0061601E"/>
    <w:rsid w:val="00623FD5"/>
    <w:rsid w:val="00650EDE"/>
    <w:rsid w:val="00657AEB"/>
    <w:rsid w:val="006619E5"/>
    <w:rsid w:val="00662222"/>
    <w:rsid w:val="0067487B"/>
    <w:rsid w:val="00677E8C"/>
    <w:rsid w:val="00677E8D"/>
    <w:rsid w:val="00680810"/>
    <w:rsid w:val="00685F23"/>
    <w:rsid w:val="006B714C"/>
    <w:rsid w:val="006C2E2E"/>
    <w:rsid w:val="006D0EFB"/>
    <w:rsid w:val="006D6F12"/>
    <w:rsid w:val="006E5359"/>
    <w:rsid w:val="006E765D"/>
    <w:rsid w:val="006F0F71"/>
    <w:rsid w:val="006F148E"/>
    <w:rsid w:val="00714F39"/>
    <w:rsid w:val="00715241"/>
    <w:rsid w:val="007211B5"/>
    <w:rsid w:val="00723296"/>
    <w:rsid w:val="00724B71"/>
    <w:rsid w:val="00735BAE"/>
    <w:rsid w:val="00754C36"/>
    <w:rsid w:val="00771A29"/>
    <w:rsid w:val="00776B84"/>
    <w:rsid w:val="007822A4"/>
    <w:rsid w:val="00786CEE"/>
    <w:rsid w:val="00792CD1"/>
    <w:rsid w:val="007A207E"/>
    <w:rsid w:val="007A27F5"/>
    <w:rsid w:val="007B1EB2"/>
    <w:rsid w:val="007B3352"/>
    <w:rsid w:val="007B6243"/>
    <w:rsid w:val="007B6E38"/>
    <w:rsid w:val="007C6EE8"/>
    <w:rsid w:val="007D6307"/>
    <w:rsid w:val="007D6FD1"/>
    <w:rsid w:val="007E0FFA"/>
    <w:rsid w:val="007F0B44"/>
    <w:rsid w:val="007F0EDC"/>
    <w:rsid w:val="007F2298"/>
    <w:rsid w:val="00803C49"/>
    <w:rsid w:val="00806C61"/>
    <w:rsid w:val="00811C23"/>
    <w:rsid w:val="00816995"/>
    <w:rsid w:val="008170A0"/>
    <w:rsid w:val="008202E2"/>
    <w:rsid w:val="00826BB4"/>
    <w:rsid w:val="00841F6A"/>
    <w:rsid w:val="00851595"/>
    <w:rsid w:val="00886F3C"/>
    <w:rsid w:val="00890B02"/>
    <w:rsid w:val="008A3904"/>
    <w:rsid w:val="008B1630"/>
    <w:rsid w:val="008C3E41"/>
    <w:rsid w:val="008D0F09"/>
    <w:rsid w:val="008D1060"/>
    <w:rsid w:val="008F7A3A"/>
    <w:rsid w:val="00900268"/>
    <w:rsid w:val="0090122B"/>
    <w:rsid w:val="00910385"/>
    <w:rsid w:val="00910BA2"/>
    <w:rsid w:val="00914C62"/>
    <w:rsid w:val="009212EC"/>
    <w:rsid w:val="00962DF8"/>
    <w:rsid w:val="009655AB"/>
    <w:rsid w:val="00972EB4"/>
    <w:rsid w:val="00976B09"/>
    <w:rsid w:val="00983A5E"/>
    <w:rsid w:val="00990780"/>
    <w:rsid w:val="009B2161"/>
    <w:rsid w:val="009B5C0B"/>
    <w:rsid w:val="009C42F7"/>
    <w:rsid w:val="009C50FD"/>
    <w:rsid w:val="009C75C4"/>
    <w:rsid w:val="009E048C"/>
    <w:rsid w:val="009E4D7F"/>
    <w:rsid w:val="009E50A5"/>
    <w:rsid w:val="009E5323"/>
    <w:rsid w:val="009F3489"/>
    <w:rsid w:val="009F5BBA"/>
    <w:rsid w:val="009F7E6D"/>
    <w:rsid w:val="00A02488"/>
    <w:rsid w:val="00A07579"/>
    <w:rsid w:val="00A10AE7"/>
    <w:rsid w:val="00A10B5F"/>
    <w:rsid w:val="00A12573"/>
    <w:rsid w:val="00A23243"/>
    <w:rsid w:val="00A303E8"/>
    <w:rsid w:val="00A306FB"/>
    <w:rsid w:val="00A37644"/>
    <w:rsid w:val="00A43916"/>
    <w:rsid w:val="00A47B5B"/>
    <w:rsid w:val="00A521CB"/>
    <w:rsid w:val="00A6748D"/>
    <w:rsid w:val="00A71F7E"/>
    <w:rsid w:val="00A94E10"/>
    <w:rsid w:val="00AA4E02"/>
    <w:rsid w:val="00AB1994"/>
    <w:rsid w:val="00AB31A3"/>
    <w:rsid w:val="00AE1305"/>
    <w:rsid w:val="00AE2E13"/>
    <w:rsid w:val="00AE3CF7"/>
    <w:rsid w:val="00B01376"/>
    <w:rsid w:val="00B17742"/>
    <w:rsid w:val="00B21F1A"/>
    <w:rsid w:val="00B404BA"/>
    <w:rsid w:val="00B4568C"/>
    <w:rsid w:val="00B474EC"/>
    <w:rsid w:val="00B708B6"/>
    <w:rsid w:val="00B775B1"/>
    <w:rsid w:val="00BB5AFC"/>
    <w:rsid w:val="00BB60D5"/>
    <w:rsid w:val="00BC1741"/>
    <w:rsid w:val="00BF2859"/>
    <w:rsid w:val="00C03641"/>
    <w:rsid w:val="00C1120C"/>
    <w:rsid w:val="00C16F17"/>
    <w:rsid w:val="00C307AD"/>
    <w:rsid w:val="00C36855"/>
    <w:rsid w:val="00C43180"/>
    <w:rsid w:val="00C44055"/>
    <w:rsid w:val="00C516E5"/>
    <w:rsid w:val="00C61E12"/>
    <w:rsid w:val="00C66D2B"/>
    <w:rsid w:val="00C8201A"/>
    <w:rsid w:val="00C84467"/>
    <w:rsid w:val="00CA3013"/>
    <w:rsid w:val="00CB1A11"/>
    <w:rsid w:val="00CB4AFB"/>
    <w:rsid w:val="00CB68DE"/>
    <w:rsid w:val="00CD108E"/>
    <w:rsid w:val="00CD1FBE"/>
    <w:rsid w:val="00CF5A78"/>
    <w:rsid w:val="00D02D06"/>
    <w:rsid w:val="00D1777C"/>
    <w:rsid w:val="00D23C36"/>
    <w:rsid w:val="00D36014"/>
    <w:rsid w:val="00D37EE0"/>
    <w:rsid w:val="00D415B1"/>
    <w:rsid w:val="00D44589"/>
    <w:rsid w:val="00D457F1"/>
    <w:rsid w:val="00D50027"/>
    <w:rsid w:val="00D72233"/>
    <w:rsid w:val="00D81A21"/>
    <w:rsid w:val="00D85D76"/>
    <w:rsid w:val="00D86F21"/>
    <w:rsid w:val="00DA1C0D"/>
    <w:rsid w:val="00DC02B2"/>
    <w:rsid w:val="00DC5DBB"/>
    <w:rsid w:val="00DE5C0B"/>
    <w:rsid w:val="00DE7661"/>
    <w:rsid w:val="00DF334A"/>
    <w:rsid w:val="00DF5FCF"/>
    <w:rsid w:val="00E10E55"/>
    <w:rsid w:val="00E13A51"/>
    <w:rsid w:val="00E163A7"/>
    <w:rsid w:val="00E241AB"/>
    <w:rsid w:val="00E34BE0"/>
    <w:rsid w:val="00E41741"/>
    <w:rsid w:val="00E46EB3"/>
    <w:rsid w:val="00E56A4F"/>
    <w:rsid w:val="00E57663"/>
    <w:rsid w:val="00E6667C"/>
    <w:rsid w:val="00E67B9E"/>
    <w:rsid w:val="00E71E7E"/>
    <w:rsid w:val="00E74560"/>
    <w:rsid w:val="00E9152E"/>
    <w:rsid w:val="00E931D1"/>
    <w:rsid w:val="00E93CB1"/>
    <w:rsid w:val="00EB2388"/>
    <w:rsid w:val="00EB591E"/>
    <w:rsid w:val="00EC1B93"/>
    <w:rsid w:val="00ED2D4A"/>
    <w:rsid w:val="00ED3DAA"/>
    <w:rsid w:val="00EE31BE"/>
    <w:rsid w:val="00EF16D7"/>
    <w:rsid w:val="00EF4B77"/>
    <w:rsid w:val="00F00692"/>
    <w:rsid w:val="00F04DFE"/>
    <w:rsid w:val="00F06B25"/>
    <w:rsid w:val="00F1177B"/>
    <w:rsid w:val="00F177DE"/>
    <w:rsid w:val="00F21884"/>
    <w:rsid w:val="00F26405"/>
    <w:rsid w:val="00F32B2F"/>
    <w:rsid w:val="00F36290"/>
    <w:rsid w:val="00F40BBE"/>
    <w:rsid w:val="00F415BB"/>
    <w:rsid w:val="00F42466"/>
    <w:rsid w:val="00F43E42"/>
    <w:rsid w:val="00F4700C"/>
    <w:rsid w:val="00F534F2"/>
    <w:rsid w:val="00F7597D"/>
    <w:rsid w:val="00F76309"/>
    <w:rsid w:val="00F835B6"/>
    <w:rsid w:val="00F93820"/>
    <w:rsid w:val="00F94D4B"/>
    <w:rsid w:val="00F96346"/>
    <w:rsid w:val="00F97EC8"/>
    <w:rsid w:val="00FB6A7D"/>
    <w:rsid w:val="00FC62F7"/>
    <w:rsid w:val="00FE0811"/>
    <w:rsid w:val="00FF0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D6EDB"/>
  <w15:chartTrackingRefBased/>
  <w15:docId w15:val="{08935089-F0DC-48CD-862C-3D998B71D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466"/>
  </w:style>
  <w:style w:type="paragraph" w:styleId="Heading1">
    <w:name w:val="heading 1"/>
    <w:basedOn w:val="Normal"/>
    <w:next w:val="Normal"/>
    <w:link w:val="Heading1Char"/>
    <w:uiPriority w:val="9"/>
    <w:qFormat/>
    <w:rsid w:val="00F4246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4246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42466"/>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42466"/>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42466"/>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42466"/>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4246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42466"/>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4246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466"/>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42466"/>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42466"/>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4246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4246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4246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4246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42466"/>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4246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42466"/>
    <w:pPr>
      <w:spacing w:line="240" w:lineRule="auto"/>
    </w:pPr>
    <w:rPr>
      <w:b/>
      <w:bCs/>
      <w:color w:val="4472C4" w:themeColor="accent1"/>
      <w:sz w:val="18"/>
      <w:szCs w:val="18"/>
    </w:rPr>
  </w:style>
  <w:style w:type="paragraph" w:styleId="Title">
    <w:name w:val="Title"/>
    <w:basedOn w:val="Normal"/>
    <w:next w:val="Normal"/>
    <w:link w:val="TitleChar"/>
    <w:uiPriority w:val="10"/>
    <w:qFormat/>
    <w:rsid w:val="00F4246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42466"/>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F4246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42466"/>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F42466"/>
    <w:rPr>
      <w:b/>
      <w:bCs/>
    </w:rPr>
  </w:style>
  <w:style w:type="character" w:styleId="Emphasis">
    <w:name w:val="Emphasis"/>
    <w:basedOn w:val="DefaultParagraphFont"/>
    <w:uiPriority w:val="20"/>
    <w:qFormat/>
    <w:rsid w:val="00F42466"/>
    <w:rPr>
      <w:i/>
      <w:iCs/>
    </w:rPr>
  </w:style>
  <w:style w:type="paragraph" w:styleId="NoSpacing">
    <w:name w:val="No Spacing"/>
    <w:uiPriority w:val="1"/>
    <w:qFormat/>
    <w:rsid w:val="00F42466"/>
    <w:pPr>
      <w:spacing w:after="0" w:line="240" w:lineRule="auto"/>
    </w:pPr>
  </w:style>
  <w:style w:type="paragraph" w:styleId="Quote">
    <w:name w:val="Quote"/>
    <w:basedOn w:val="Normal"/>
    <w:next w:val="Normal"/>
    <w:link w:val="QuoteChar"/>
    <w:uiPriority w:val="29"/>
    <w:qFormat/>
    <w:rsid w:val="00F42466"/>
    <w:rPr>
      <w:i/>
      <w:iCs/>
      <w:color w:val="000000" w:themeColor="text1"/>
    </w:rPr>
  </w:style>
  <w:style w:type="character" w:customStyle="1" w:styleId="QuoteChar">
    <w:name w:val="Quote Char"/>
    <w:basedOn w:val="DefaultParagraphFont"/>
    <w:link w:val="Quote"/>
    <w:uiPriority w:val="29"/>
    <w:rsid w:val="00F42466"/>
    <w:rPr>
      <w:i/>
      <w:iCs/>
      <w:color w:val="000000" w:themeColor="text1"/>
    </w:rPr>
  </w:style>
  <w:style w:type="paragraph" w:styleId="IntenseQuote">
    <w:name w:val="Intense Quote"/>
    <w:basedOn w:val="Normal"/>
    <w:next w:val="Normal"/>
    <w:link w:val="IntenseQuoteChar"/>
    <w:uiPriority w:val="30"/>
    <w:qFormat/>
    <w:rsid w:val="00F42466"/>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42466"/>
    <w:rPr>
      <w:b/>
      <w:bCs/>
      <w:i/>
      <w:iCs/>
      <w:color w:val="4472C4" w:themeColor="accent1"/>
    </w:rPr>
  </w:style>
  <w:style w:type="character" w:styleId="SubtleEmphasis">
    <w:name w:val="Subtle Emphasis"/>
    <w:basedOn w:val="DefaultParagraphFont"/>
    <w:uiPriority w:val="19"/>
    <w:qFormat/>
    <w:rsid w:val="00F42466"/>
    <w:rPr>
      <w:i/>
      <w:iCs/>
      <w:color w:val="808080" w:themeColor="text1" w:themeTint="7F"/>
    </w:rPr>
  </w:style>
  <w:style w:type="character" w:styleId="IntenseEmphasis">
    <w:name w:val="Intense Emphasis"/>
    <w:basedOn w:val="DefaultParagraphFont"/>
    <w:uiPriority w:val="21"/>
    <w:qFormat/>
    <w:rsid w:val="00F42466"/>
    <w:rPr>
      <w:b/>
      <w:bCs/>
      <w:i/>
      <w:iCs/>
      <w:color w:val="4472C4" w:themeColor="accent1"/>
    </w:rPr>
  </w:style>
  <w:style w:type="character" w:styleId="SubtleReference">
    <w:name w:val="Subtle Reference"/>
    <w:basedOn w:val="DefaultParagraphFont"/>
    <w:uiPriority w:val="31"/>
    <w:qFormat/>
    <w:rsid w:val="00F42466"/>
    <w:rPr>
      <w:smallCaps/>
      <w:color w:val="ED7D31" w:themeColor="accent2"/>
      <w:u w:val="single"/>
    </w:rPr>
  </w:style>
  <w:style w:type="character" w:styleId="IntenseReference">
    <w:name w:val="Intense Reference"/>
    <w:basedOn w:val="DefaultParagraphFont"/>
    <w:uiPriority w:val="32"/>
    <w:qFormat/>
    <w:rsid w:val="00F42466"/>
    <w:rPr>
      <w:b/>
      <w:bCs/>
      <w:smallCaps/>
      <w:color w:val="ED7D31" w:themeColor="accent2"/>
      <w:spacing w:val="5"/>
      <w:u w:val="single"/>
    </w:rPr>
  </w:style>
  <w:style w:type="character" w:styleId="BookTitle">
    <w:name w:val="Book Title"/>
    <w:basedOn w:val="DefaultParagraphFont"/>
    <w:uiPriority w:val="33"/>
    <w:qFormat/>
    <w:rsid w:val="00F42466"/>
    <w:rPr>
      <w:b/>
      <w:bCs/>
      <w:smallCaps/>
      <w:spacing w:val="5"/>
    </w:rPr>
  </w:style>
  <w:style w:type="paragraph" w:styleId="TOCHeading">
    <w:name w:val="TOC Heading"/>
    <w:basedOn w:val="Heading1"/>
    <w:next w:val="Normal"/>
    <w:uiPriority w:val="39"/>
    <w:semiHidden/>
    <w:unhideWhenUsed/>
    <w:qFormat/>
    <w:rsid w:val="00F42466"/>
    <w:pPr>
      <w:outlineLvl w:val="9"/>
    </w:pPr>
  </w:style>
  <w:style w:type="paragraph" w:styleId="ListParagraph">
    <w:name w:val="List Paragraph"/>
    <w:basedOn w:val="Normal"/>
    <w:uiPriority w:val="34"/>
    <w:qFormat/>
    <w:rsid w:val="009F7E6D"/>
    <w:pPr>
      <w:spacing w:after="160" w:line="259" w:lineRule="auto"/>
      <w:ind w:left="720"/>
      <w:contextualSpacing/>
    </w:pPr>
    <w:rPr>
      <w:rFonts w:eastAsiaTheme="minorHAnsi"/>
    </w:rPr>
  </w:style>
  <w:style w:type="paragraph" w:customStyle="1" w:styleId="AssignBody">
    <w:name w:val="AssignBody"/>
    <w:basedOn w:val="Normal"/>
    <w:link w:val="AssignBodyChar"/>
    <w:qFormat/>
    <w:rsid w:val="00C516E5"/>
    <w:pPr>
      <w:spacing w:after="0" w:line="360" w:lineRule="auto"/>
    </w:pPr>
    <w:rPr>
      <w:rFonts w:ascii="Arial" w:eastAsiaTheme="minorHAnsi" w:hAnsi="Arial"/>
    </w:rPr>
  </w:style>
  <w:style w:type="character" w:customStyle="1" w:styleId="AssignBodyChar">
    <w:name w:val="AssignBody Char"/>
    <w:basedOn w:val="DefaultParagraphFont"/>
    <w:link w:val="AssignBody"/>
    <w:rsid w:val="00C516E5"/>
    <w:rPr>
      <w:rFonts w:ascii="Arial" w:eastAsiaTheme="minorHAnsi" w:hAnsi="Arial"/>
    </w:rPr>
  </w:style>
  <w:style w:type="table" w:styleId="TableGrid">
    <w:name w:val="Table Grid"/>
    <w:basedOn w:val="TableNormal"/>
    <w:uiPriority w:val="39"/>
    <w:rsid w:val="00C516E5"/>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E10"/>
  </w:style>
  <w:style w:type="paragraph" w:styleId="Footer">
    <w:name w:val="footer"/>
    <w:basedOn w:val="Normal"/>
    <w:link w:val="FooterChar"/>
    <w:uiPriority w:val="99"/>
    <w:unhideWhenUsed/>
    <w:rsid w:val="00A9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E10"/>
  </w:style>
  <w:style w:type="paragraph" w:styleId="BalloonText">
    <w:name w:val="Balloon Text"/>
    <w:basedOn w:val="Normal"/>
    <w:link w:val="BalloonTextChar"/>
    <w:uiPriority w:val="99"/>
    <w:semiHidden/>
    <w:unhideWhenUsed/>
    <w:rsid w:val="003B22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2C5"/>
    <w:rPr>
      <w:rFonts w:ascii="Segoe UI" w:hAnsi="Segoe UI" w:cs="Segoe UI"/>
      <w:sz w:val="18"/>
      <w:szCs w:val="18"/>
    </w:rPr>
  </w:style>
  <w:style w:type="character" w:styleId="Hyperlink">
    <w:name w:val="Hyperlink"/>
    <w:basedOn w:val="DefaultParagraphFont"/>
    <w:uiPriority w:val="99"/>
    <w:unhideWhenUsed/>
    <w:rsid w:val="007D6F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9181">
      <w:bodyDiv w:val="1"/>
      <w:marLeft w:val="0"/>
      <w:marRight w:val="0"/>
      <w:marTop w:val="0"/>
      <w:marBottom w:val="0"/>
      <w:divBdr>
        <w:top w:val="none" w:sz="0" w:space="0" w:color="auto"/>
        <w:left w:val="none" w:sz="0" w:space="0" w:color="auto"/>
        <w:bottom w:val="none" w:sz="0" w:space="0" w:color="auto"/>
        <w:right w:val="none" w:sz="0" w:space="0" w:color="auto"/>
      </w:divBdr>
    </w:div>
    <w:div w:id="405497102">
      <w:bodyDiv w:val="1"/>
      <w:marLeft w:val="0"/>
      <w:marRight w:val="0"/>
      <w:marTop w:val="0"/>
      <w:marBottom w:val="0"/>
      <w:divBdr>
        <w:top w:val="none" w:sz="0" w:space="0" w:color="auto"/>
        <w:left w:val="none" w:sz="0" w:space="0" w:color="auto"/>
        <w:bottom w:val="none" w:sz="0" w:space="0" w:color="auto"/>
        <w:right w:val="none" w:sz="0" w:space="0" w:color="auto"/>
      </w:divBdr>
    </w:div>
    <w:div w:id="651757609">
      <w:bodyDiv w:val="1"/>
      <w:marLeft w:val="0"/>
      <w:marRight w:val="0"/>
      <w:marTop w:val="0"/>
      <w:marBottom w:val="0"/>
      <w:divBdr>
        <w:top w:val="none" w:sz="0" w:space="0" w:color="auto"/>
        <w:left w:val="none" w:sz="0" w:space="0" w:color="auto"/>
        <w:bottom w:val="none" w:sz="0" w:space="0" w:color="auto"/>
        <w:right w:val="none" w:sz="0" w:space="0" w:color="auto"/>
      </w:divBdr>
    </w:div>
    <w:div w:id="788360419">
      <w:bodyDiv w:val="1"/>
      <w:marLeft w:val="0"/>
      <w:marRight w:val="0"/>
      <w:marTop w:val="0"/>
      <w:marBottom w:val="0"/>
      <w:divBdr>
        <w:top w:val="none" w:sz="0" w:space="0" w:color="auto"/>
        <w:left w:val="none" w:sz="0" w:space="0" w:color="auto"/>
        <w:bottom w:val="none" w:sz="0" w:space="0" w:color="auto"/>
        <w:right w:val="none" w:sz="0" w:space="0" w:color="auto"/>
      </w:divBdr>
    </w:div>
    <w:div w:id="1046489404">
      <w:bodyDiv w:val="1"/>
      <w:marLeft w:val="0"/>
      <w:marRight w:val="0"/>
      <w:marTop w:val="0"/>
      <w:marBottom w:val="0"/>
      <w:divBdr>
        <w:top w:val="none" w:sz="0" w:space="0" w:color="auto"/>
        <w:left w:val="none" w:sz="0" w:space="0" w:color="auto"/>
        <w:bottom w:val="none" w:sz="0" w:space="0" w:color="auto"/>
        <w:right w:val="none" w:sz="0" w:space="0" w:color="auto"/>
      </w:divBdr>
    </w:div>
    <w:div w:id="1154953546">
      <w:bodyDiv w:val="1"/>
      <w:marLeft w:val="0"/>
      <w:marRight w:val="0"/>
      <w:marTop w:val="0"/>
      <w:marBottom w:val="0"/>
      <w:divBdr>
        <w:top w:val="none" w:sz="0" w:space="0" w:color="auto"/>
        <w:left w:val="none" w:sz="0" w:space="0" w:color="auto"/>
        <w:bottom w:val="none" w:sz="0" w:space="0" w:color="auto"/>
        <w:right w:val="none" w:sz="0" w:space="0" w:color="auto"/>
      </w:divBdr>
    </w:div>
    <w:div w:id="1222868256">
      <w:bodyDiv w:val="1"/>
      <w:marLeft w:val="0"/>
      <w:marRight w:val="0"/>
      <w:marTop w:val="0"/>
      <w:marBottom w:val="0"/>
      <w:divBdr>
        <w:top w:val="none" w:sz="0" w:space="0" w:color="auto"/>
        <w:left w:val="none" w:sz="0" w:space="0" w:color="auto"/>
        <w:bottom w:val="none" w:sz="0" w:space="0" w:color="auto"/>
        <w:right w:val="none" w:sz="0" w:space="0" w:color="auto"/>
      </w:divBdr>
    </w:div>
    <w:div w:id="1340622096">
      <w:bodyDiv w:val="1"/>
      <w:marLeft w:val="0"/>
      <w:marRight w:val="0"/>
      <w:marTop w:val="0"/>
      <w:marBottom w:val="0"/>
      <w:divBdr>
        <w:top w:val="none" w:sz="0" w:space="0" w:color="auto"/>
        <w:left w:val="none" w:sz="0" w:space="0" w:color="auto"/>
        <w:bottom w:val="none" w:sz="0" w:space="0" w:color="auto"/>
        <w:right w:val="none" w:sz="0" w:space="0" w:color="auto"/>
      </w:divBdr>
    </w:div>
    <w:div w:id="1345286273">
      <w:bodyDiv w:val="1"/>
      <w:marLeft w:val="0"/>
      <w:marRight w:val="0"/>
      <w:marTop w:val="0"/>
      <w:marBottom w:val="0"/>
      <w:divBdr>
        <w:top w:val="none" w:sz="0" w:space="0" w:color="auto"/>
        <w:left w:val="none" w:sz="0" w:space="0" w:color="auto"/>
        <w:bottom w:val="none" w:sz="0" w:space="0" w:color="auto"/>
        <w:right w:val="none" w:sz="0" w:space="0" w:color="auto"/>
      </w:divBdr>
    </w:div>
    <w:div w:id="1691489313">
      <w:bodyDiv w:val="1"/>
      <w:marLeft w:val="0"/>
      <w:marRight w:val="0"/>
      <w:marTop w:val="0"/>
      <w:marBottom w:val="0"/>
      <w:divBdr>
        <w:top w:val="none" w:sz="0" w:space="0" w:color="auto"/>
        <w:left w:val="none" w:sz="0" w:space="0" w:color="auto"/>
        <w:bottom w:val="none" w:sz="0" w:space="0" w:color="auto"/>
        <w:right w:val="none" w:sz="0" w:space="0" w:color="auto"/>
      </w:divBdr>
    </w:div>
    <w:div w:id="1833107690">
      <w:bodyDiv w:val="1"/>
      <w:marLeft w:val="0"/>
      <w:marRight w:val="0"/>
      <w:marTop w:val="0"/>
      <w:marBottom w:val="0"/>
      <w:divBdr>
        <w:top w:val="none" w:sz="0" w:space="0" w:color="auto"/>
        <w:left w:val="none" w:sz="0" w:space="0" w:color="auto"/>
        <w:bottom w:val="none" w:sz="0" w:space="0" w:color="auto"/>
        <w:right w:val="none" w:sz="0" w:space="0" w:color="auto"/>
      </w:divBdr>
    </w:div>
    <w:div w:id="187165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effective-practice/happy-teachers-happy-pupils" TargetMode="External"/><Relationship Id="rId18" Type="http://schemas.openxmlformats.org/officeDocument/2006/relationships/hyperlink" Target="https://www.estyn.gov.wales/effective-practice/connecting-generations" TargetMode="External"/><Relationship Id="rId26" Type="http://schemas.openxmlformats.org/officeDocument/2006/relationships/hyperlink" Target="https://www.nfer.ac.uk/media/3825/teacher_voice_omnibus_survey_june_2019.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entallyhealthyschools.org.uk/whole-school-approach/supporting-staff-wellbeing/" TargetMode="External"/><Relationship Id="rId34" Type="http://schemas.openxmlformats.org/officeDocument/2006/relationships/hyperlink" Target="https://dera.ioe.ac.uk/11425/1/100730schoolawardindicen.pdf" TargetMode="External"/><Relationship Id="rId7" Type="http://schemas.openxmlformats.org/officeDocument/2006/relationships/endnotes" Target="endnotes.xml"/><Relationship Id="rId12" Type="http://schemas.openxmlformats.org/officeDocument/2006/relationships/hyperlink" Target="file:///C:/Users/Laptop/Downloads/1%20National%20education%20workforce%20survey%20(April%202017)%20E.PDF" TargetMode="External"/><Relationship Id="rId17" Type="http://schemas.openxmlformats.org/officeDocument/2006/relationships/hyperlink" Target="https://www.estyn.gov.wales/effective-practice/using-wellbeing-activities-nurture-pupils" TargetMode="External"/><Relationship Id="rId25" Type="http://schemas.openxmlformats.org/officeDocument/2006/relationships/hyperlink" Target="https://neu.org.uk/advice/first-aid-schools#first-aiders-in-school" TargetMode="External"/><Relationship Id="rId33" Type="http://schemas.openxmlformats.org/officeDocument/2006/relationships/hyperlink" Target="https://gov.wales/sites/default/files/publications/2019-04/together-for-mental-health-summary.pdf"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estyn.gov.wales/effective-practice/effective-strategies-support-social-and-emotional-wellbeing-pupils" TargetMode="External"/><Relationship Id="rId20" Type="http://schemas.openxmlformats.org/officeDocument/2006/relationships/hyperlink" Target="https://www.simplypsychology.org/maslow.html" TargetMode="External"/><Relationship Id="rId29"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sa.org.uk/key-uk-education-statistics/" TargetMode="External"/><Relationship Id="rId24" Type="http://schemas.openxmlformats.org/officeDocument/2006/relationships/hyperlink" Target="https://neu.org.uk/press-releases/state-education-workload" TargetMode="External"/><Relationship Id="rId32" Type="http://schemas.openxmlformats.org/officeDocument/2006/relationships/hyperlink" Target="https://www.uwtsd.ac.uk/media/uwtsd-website/content-assets/documents/research/research-ethics-integrity-code-practice.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styn.gov.wales/effective-practice/preventative-approach-support-wellbeing" TargetMode="External"/><Relationship Id="rId23" Type="http://schemas.openxmlformats.org/officeDocument/2006/relationships/hyperlink" Target="https://www.nasuwt.org.uk/uploads/assets/uploaded/30c31a30-b070-44f1-8e9f009b650bb350.pdf" TargetMode="External"/><Relationship Id="rId28" Type="http://schemas.openxmlformats.org/officeDocument/2006/relationships/hyperlink" Target="https://www.oecd.org/health/health-systems/OECD-Mental-Health-Performance-Framework-2019.pdf" TargetMode="External"/><Relationship Id="rId36" Type="http://schemas.openxmlformats.org/officeDocument/2006/relationships/footer" Target="footer1.xm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happen-wales.co.uk/eveswell-somerton-primary-school/" TargetMode="External"/><Relationship Id="rId31" Type="http://schemas.openxmlformats.org/officeDocument/2006/relationships/hyperlink" Target="https://downloads.unicef.org.uk/wp-content/uploads/2011/09/IPSOS_UNICEF_ChildWellBeingreport.pdf?_ga=2.50178534.1900103982.1580909192-1644603021.158090919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styn.gov.wales/effective-practice/improving-wellbeing-and-standards-attainment" TargetMode="External"/><Relationship Id="rId22" Type="http://schemas.openxmlformats.org/officeDocument/2006/relationships/hyperlink" Target="https://www.nasuwt.org.uk/uploads/assets/uploaded/efb57dc6-4890-4f4c-8fa1c6d0609d652b.pdf" TargetMode="External"/><Relationship Id="rId27" Type="http://schemas.openxmlformats.org/officeDocument/2006/relationships/hyperlink" Target="https://www.nhs.uk/conditions/stress-anxiety-depression/improve-mental-wellbeing/" TargetMode="External"/><Relationship Id="rId30" Type="http://schemas.openxmlformats.org/officeDocument/2006/relationships/hyperlink" Target="https://downloads.unicef.org.uk/wp-content/uploads/2010/05/UNCRC_united_nations_convention_on_the_rights_of_the_child.pdf?_ga=2.56056616.2074688182.1554909005-877512654.1554909005" TargetMode="External"/><Relationship Id="rId35"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586E0751B854A9393FC3A33CFF5B901"/>
        <w:category>
          <w:name w:val="General"/>
          <w:gallery w:val="placeholder"/>
        </w:category>
        <w:types>
          <w:type w:val="bbPlcHdr"/>
        </w:types>
        <w:behaviors>
          <w:behavior w:val="content"/>
        </w:behaviors>
        <w:guid w:val="{A4F00E4E-4C2E-48F8-A963-BF10370406C2}"/>
      </w:docPartPr>
      <w:docPartBody>
        <w:p w:rsidR="008F02B2" w:rsidRDefault="008F02B2" w:rsidP="008F02B2">
          <w:pPr>
            <w:pStyle w:val="3586E0751B854A9393FC3A33CFF5B901"/>
          </w:pPr>
          <w:r>
            <w:rPr>
              <w:rFonts w:asciiTheme="majorHAnsi" w:eastAsiaTheme="majorEastAsia" w:hAnsiTheme="majorHAnsi" w:cstheme="majorBidi"/>
              <w:color w:val="4472C4" w:themeColor="accent1"/>
              <w:sz w:val="27"/>
              <w:szCs w:val="27"/>
            </w:rPr>
            <w:t>[Document title]</w:t>
          </w:r>
        </w:p>
      </w:docPartBody>
    </w:docPart>
    <w:docPart>
      <w:docPartPr>
        <w:name w:val="F41EEAD120F1419280EBE39E97469801"/>
        <w:category>
          <w:name w:val="General"/>
          <w:gallery w:val="placeholder"/>
        </w:category>
        <w:types>
          <w:type w:val="bbPlcHdr"/>
        </w:types>
        <w:behaviors>
          <w:behavior w:val="content"/>
        </w:behaviors>
        <w:guid w:val="{52CBF29F-35E9-44F2-9E81-6ADC859E71F2}"/>
      </w:docPartPr>
      <w:docPartBody>
        <w:p w:rsidR="008F02B2" w:rsidRDefault="008F02B2" w:rsidP="008F02B2">
          <w:pPr>
            <w:pStyle w:val="F41EEAD120F1419280EBE39E97469801"/>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B2"/>
    <w:rsid w:val="008F0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496C33B72F46BE839D64C71D67425C">
    <w:name w:val="19496C33B72F46BE839D64C71D67425C"/>
    <w:rsid w:val="008F02B2"/>
  </w:style>
  <w:style w:type="paragraph" w:customStyle="1" w:styleId="3586E0751B854A9393FC3A33CFF5B901">
    <w:name w:val="3586E0751B854A9393FC3A33CFF5B901"/>
    <w:rsid w:val="008F02B2"/>
  </w:style>
  <w:style w:type="paragraph" w:customStyle="1" w:styleId="F41EEAD120F1419280EBE39E97469801">
    <w:name w:val="F41EEAD120F1419280EBE39E97469801"/>
    <w:rsid w:val="008F0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1501392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8814</Words>
  <Characters>50240</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ECAD6003</vt:lpstr>
    </vt:vector>
  </TitlesOfParts>
  <Company/>
  <LinksUpToDate>false</LinksUpToDate>
  <CharactersWithSpaces>58937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ECAD6003</dc:title>
  <dc:subject/>
  <dc:creator>Chloe Taylor</dc:creator>
  <cp:keywords/>
  <dc:description/>
  <cp:lastModifiedBy>Chloe Taylor</cp:lastModifiedBy>
  <cp:revision>3</cp:revision>
  <cp:lastPrinted>2020-03-24T11:46:00Z</cp:lastPrinted>
  <dcterms:created xsi:type="dcterms:W3CDTF">2020-03-25T14:01:00Z</dcterms:created>
  <dcterms:modified xsi:type="dcterms:W3CDTF">2020-03-25T14:03:00Z</dcterms:modified>
</cp:coreProperties>
</file>