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48"/>
          <w:szCs w:val="48"/>
        </w:rPr>
      </w:pPr>
      <w:r w:rsidDel="00000000" w:rsidR="00000000" w:rsidRPr="00000000">
        <w:rPr>
          <w:rtl w:val="0"/>
        </w:rPr>
      </w:r>
    </w:p>
    <w:p w:rsidR="00000000" w:rsidDel="00000000" w:rsidP="00000000" w:rsidRDefault="00000000" w:rsidRPr="00000000" w14:paraId="00000002">
      <w:pPr>
        <w:jc w:val="center"/>
        <w:rPr>
          <w:sz w:val="48"/>
          <w:szCs w:val="48"/>
        </w:rPr>
      </w:pPr>
      <w:r w:rsidDel="00000000" w:rsidR="00000000" w:rsidRPr="00000000">
        <w:rPr>
          <w:rtl w:val="0"/>
        </w:rPr>
      </w:r>
    </w:p>
    <w:p w:rsidR="00000000" w:rsidDel="00000000" w:rsidP="00000000" w:rsidRDefault="00000000" w:rsidRPr="00000000" w14:paraId="00000003">
      <w:pPr>
        <w:jc w:val="center"/>
        <w:rPr>
          <w:b w:val="1"/>
          <w:sz w:val="48"/>
          <w:szCs w:val="48"/>
        </w:rPr>
      </w:pPr>
      <w:r w:rsidDel="00000000" w:rsidR="00000000" w:rsidRPr="00000000">
        <w:rPr>
          <w:rtl w:val="0"/>
        </w:rPr>
      </w:r>
    </w:p>
    <w:p w:rsidR="00000000" w:rsidDel="00000000" w:rsidP="00000000" w:rsidRDefault="00000000" w:rsidRPr="00000000" w14:paraId="00000004">
      <w:pPr>
        <w:jc w:val="center"/>
        <w:rPr>
          <w:b w:val="1"/>
          <w:sz w:val="48"/>
          <w:szCs w:val="48"/>
        </w:rPr>
      </w:pPr>
      <w:r w:rsidDel="00000000" w:rsidR="00000000" w:rsidRPr="00000000">
        <w:rPr>
          <w:b w:val="1"/>
          <w:sz w:val="48"/>
          <w:szCs w:val="48"/>
          <w:rtl w:val="0"/>
        </w:rPr>
        <w:t xml:space="preserve">LCBB4002 COMMUNITY ENGAGEMENT</w:t>
      </w:r>
    </w:p>
    <w:p w:rsidR="00000000" w:rsidDel="00000000" w:rsidP="00000000" w:rsidRDefault="00000000" w:rsidRPr="00000000" w14:paraId="00000005">
      <w:pPr>
        <w:jc w:val="center"/>
        <w:rPr>
          <w:sz w:val="22"/>
          <w:szCs w:val="22"/>
        </w:rPr>
      </w:pPr>
      <w:r w:rsidDel="00000000" w:rsidR="00000000" w:rsidRPr="00000000">
        <w:rPr>
          <w:rtl w:val="0"/>
        </w:rPr>
      </w:r>
    </w:p>
    <w:tbl>
      <w:tblPr>
        <w:tblStyle w:val="Table1"/>
        <w:tblW w:w="8958.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54"/>
        <w:gridCol w:w="2250"/>
        <w:gridCol w:w="3139"/>
        <w:gridCol w:w="1715"/>
        <w:tblGridChange w:id="0">
          <w:tblGrid>
            <w:gridCol w:w="1854"/>
            <w:gridCol w:w="2250"/>
            <w:gridCol w:w="3139"/>
            <w:gridCol w:w="171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6">
            <w:pPr>
              <w:spacing w:after="120" w:before="120" w:lineRule="auto"/>
              <w:rPr>
                <w:b w:val="1"/>
                <w:sz w:val="22"/>
                <w:szCs w:val="22"/>
              </w:rPr>
            </w:pPr>
            <w:r w:rsidDel="00000000" w:rsidR="00000000" w:rsidRPr="00000000">
              <w:rPr>
                <w:b w:val="1"/>
                <w:sz w:val="22"/>
                <w:szCs w:val="22"/>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spacing w:after="120" w:before="120" w:lineRule="auto"/>
              <w:rPr>
                <w:b w:val="1"/>
                <w:sz w:val="22"/>
                <w:szCs w:val="22"/>
              </w:rPr>
            </w:pPr>
            <w:r w:rsidDel="00000000" w:rsidR="00000000" w:rsidRPr="00000000">
              <w:rPr>
                <w:b w:val="1"/>
                <w:sz w:val="22"/>
                <w:szCs w:val="22"/>
                <w:rtl w:val="0"/>
              </w:rPr>
              <w:t xml:space="preserve">Claudiu Constantin Buzduga</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8">
            <w:pPr>
              <w:spacing w:after="120" w:before="120" w:lineRule="auto"/>
              <w:rPr>
                <w:b w:val="1"/>
                <w:sz w:val="22"/>
                <w:szCs w:val="22"/>
              </w:rPr>
            </w:pPr>
            <w:r w:rsidDel="00000000" w:rsidR="00000000" w:rsidRPr="00000000">
              <w:rPr>
                <w:b w:val="1"/>
                <w:sz w:val="22"/>
                <w:szCs w:val="22"/>
                <w:rtl w:val="0"/>
              </w:rPr>
              <w:t xml:space="preserve">Student ID number: 2215956</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9">
            <w:pPr>
              <w:spacing w:after="120" w:before="120" w:lineRule="auto"/>
              <w:rPr>
                <w:b w:val="1"/>
                <w:sz w:val="22"/>
                <w:szCs w:val="22"/>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A">
            <w:pPr>
              <w:spacing w:after="120" w:before="120" w:lineRule="auto"/>
              <w:rPr>
                <w:b w:val="1"/>
                <w:sz w:val="22"/>
                <w:szCs w:val="22"/>
              </w:rPr>
            </w:pPr>
            <w:r w:rsidDel="00000000" w:rsidR="00000000" w:rsidRPr="00000000">
              <w:rPr>
                <w:b w:val="1"/>
                <w:sz w:val="22"/>
                <w:szCs w:val="22"/>
                <w:rtl w:val="0"/>
              </w:rPr>
              <w:t xml:space="preserve">Programme:</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B">
            <w:pPr>
              <w:spacing w:after="120" w:before="120" w:lineRule="auto"/>
              <w:rPr>
                <w:b w:val="1"/>
                <w:sz w:val="22"/>
                <w:szCs w:val="22"/>
              </w:rPr>
            </w:pPr>
            <w:r w:rsidDel="00000000" w:rsidR="00000000" w:rsidRPr="00000000">
              <w:rPr>
                <w:rFonts w:ascii="Calibri" w:cs="Calibri" w:eastAsia="Calibri" w:hAnsi="Calibri"/>
                <w:b w:val="1"/>
                <w:sz w:val="22"/>
                <w:szCs w:val="22"/>
                <w:rtl w:val="0"/>
              </w:rPr>
              <w:t xml:space="preserve">BA Business Management</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E">
            <w:pPr>
              <w:spacing w:after="120" w:before="120" w:lineRule="auto"/>
              <w:rPr>
                <w:b w:val="1"/>
                <w:sz w:val="22"/>
                <w:szCs w:val="22"/>
              </w:rPr>
            </w:pPr>
            <w:r w:rsidDel="00000000" w:rsidR="00000000" w:rsidRPr="00000000">
              <w:rPr>
                <w:b w:val="1"/>
                <w:sz w:val="22"/>
                <w:szCs w:val="22"/>
                <w:rtl w:val="0"/>
              </w:rPr>
              <w:t xml:space="preserve">Module:</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F">
            <w:pPr>
              <w:spacing w:after="120" w:before="120" w:lineRule="auto"/>
              <w:rPr>
                <w:rFonts w:ascii="Cambria" w:cs="Cambria" w:eastAsia="Cambria" w:hAnsi="Cambria"/>
                <w:b w:val="1"/>
                <w:sz w:val="20"/>
                <w:szCs w:val="20"/>
              </w:rPr>
            </w:pPr>
            <w:r w:rsidDel="00000000" w:rsidR="00000000" w:rsidRPr="00000000">
              <w:rPr>
                <w:rFonts w:ascii="Cambria" w:cs="Cambria" w:eastAsia="Cambria" w:hAnsi="Cambria"/>
                <w:b w:val="1"/>
                <w:sz w:val="22"/>
                <w:szCs w:val="22"/>
                <w:rtl w:val="0"/>
              </w:rPr>
              <w:t xml:space="preserve">Community Engagement </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2">
            <w:pPr>
              <w:spacing w:after="120" w:before="120" w:lineRule="auto"/>
              <w:rPr>
                <w:b w:val="1"/>
                <w:sz w:val="22"/>
                <w:szCs w:val="22"/>
              </w:rPr>
            </w:pPr>
            <w:r w:rsidDel="00000000" w:rsidR="00000000" w:rsidRPr="00000000">
              <w:rPr>
                <w:b w:val="1"/>
                <w:sz w:val="22"/>
                <w:szCs w:val="22"/>
                <w:rtl w:val="0"/>
              </w:rPr>
              <w:t xml:space="preserve">Module code: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3">
            <w:pPr>
              <w:spacing w:after="120" w:before="120" w:lineRule="auto"/>
              <w:rPr>
                <w:rFonts w:ascii="Cambria" w:cs="Cambria" w:eastAsia="Cambria" w:hAnsi="Cambria"/>
                <w:b w:val="1"/>
                <w:sz w:val="20"/>
                <w:szCs w:val="20"/>
              </w:rPr>
            </w:pPr>
            <w:r w:rsidDel="00000000" w:rsidR="00000000" w:rsidRPr="00000000">
              <w:rPr>
                <w:rFonts w:ascii="Cambria" w:cs="Cambria" w:eastAsia="Cambria" w:hAnsi="Cambria"/>
                <w:b w:val="1"/>
                <w:sz w:val="22"/>
                <w:szCs w:val="22"/>
                <w:rtl w:val="0"/>
              </w:rPr>
              <w:t xml:space="preserve">LCBB4002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4">
            <w:pPr>
              <w:rPr>
                <w:b w:val="1"/>
                <w:sz w:val="22"/>
                <w:szCs w:val="22"/>
              </w:rPr>
            </w:pPr>
            <w:r w:rsidDel="00000000" w:rsidR="00000000" w:rsidRPr="00000000">
              <w:rPr>
                <w:b w:val="1"/>
                <w:sz w:val="22"/>
                <w:szCs w:val="22"/>
                <w:rtl w:val="0"/>
              </w:rPr>
              <w:t xml:space="preserve">Contribution to Overall Module Assessment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5">
            <w:pPr>
              <w:spacing w:after="120" w:before="120" w:lineRule="auto"/>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Component 2 - 50%</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6">
            <w:pPr>
              <w:spacing w:after="120" w:before="120" w:lineRule="auto"/>
              <w:rPr>
                <w:b w:val="1"/>
                <w:sz w:val="22"/>
                <w:szCs w:val="22"/>
              </w:rPr>
            </w:pPr>
            <w:r w:rsidDel="00000000" w:rsidR="00000000" w:rsidRPr="00000000">
              <w:rPr>
                <w:b w:val="1"/>
                <w:sz w:val="22"/>
                <w:szCs w:val="22"/>
                <w:rtl w:val="0"/>
              </w:rPr>
              <w:t xml:space="preserve">Lecturer: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7">
            <w:pPr>
              <w:spacing w:after="120" w:before="120" w:lineRule="auto"/>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Efua Adams</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8">
            <w:pPr>
              <w:spacing w:after="120" w:before="120" w:lineRule="auto"/>
              <w:rPr>
                <w:b w:val="1"/>
                <w:sz w:val="22"/>
                <w:szCs w:val="22"/>
              </w:rPr>
            </w:pPr>
            <w:r w:rsidDel="00000000" w:rsidR="00000000" w:rsidRPr="00000000">
              <w:rPr>
                <w:b w:val="1"/>
                <w:sz w:val="22"/>
                <w:szCs w:val="22"/>
                <w:rtl w:val="0"/>
              </w:rPr>
              <w:t xml:space="preserve">Internal Verifier: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9">
            <w:pPr>
              <w:spacing w:after="120" w:before="120" w:lineRule="auto"/>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Dr Md Nazmul Hasan</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A">
            <w:pPr>
              <w:spacing w:after="120" w:before="120" w:lineRule="auto"/>
              <w:rPr>
                <w:b w:val="1"/>
                <w:sz w:val="22"/>
                <w:szCs w:val="22"/>
              </w:rPr>
            </w:pPr>
            <w:r w:rsidDel="00000000" w:rsidR="00000000" w:rsidRPr="00000000">
              <w:rPr>
                <w:b w:val="1"/>
                <w:sz w:val="22"/>
                <w:szCs w:val="22"/>
                <w:rtl w:val="0"/>
              </w:rPr>
              <w:t xml:space="preserve">Assignment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B">
            <w:pPr>
              <w:spacing w:after="120" w:before="120" w:lineRule="auto"/>
              <w:rPr>
                <w:b w:val="1"/>
                <w:sz w:val="22"/>
                <w:szCs w:val="22"/>
              </w:rPr>
            </w:pPr>
            <w:r w:rsidDel="00000000" w:rsidR="00000000" w:rsidRPr="00000000">
              <w:rPr>
                <w:rFonts w:ascii="Calibri" w:cs="Calibri" w:eastAsia="Calibri" w:hAnsi="Calibri"/>
                <w:b w:val="1"/>
                <w:color w:val="1d2228"/>
                <w:sz w:val="22"/>
                <w:szCs w:val="22"/>
                <w:rtl w:val="0"/>
              </w:rPr>
              <w:t xml:space="preserve">Assessment 2 – Community Engagement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C">
            <w:pPr>
              <w:spacing w:after="120" w:before="120" w:lineRule="auto"/>
              <w:rPr>
                <w:b w:val="1"/>
                <w:sz w:val="22"/>
                <w:szCs w:val="22"/>
              </w:rPr>
            </w:pPr>
            <w:r w:rsidDel="00000000" w:rsidR="00000000" w:rsidRPr="00000000">
              <w:rPr>
                <w:b w:val="1"/>
                <w:sz w:val="22"/>
                <w:szCs w:val="22"/>
                <w:rtl w:val="0"/>
              </w:rPr>
              <w:t xml:space="preserve">Word count (or equivalent):</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D">
            <w:pPr>
              <w:spacing w:after="120" w:before="120" w:lineRule="auto"/>
              <w:rPr>
                <w:b w:val="1"/>
                <w:sz w:val="22"/>
                <w:szCs w:val="22"/>
              </w:rPr>
            </w:pPr>
            <w:r w:rsidDel="00000000" w:rsidR="00000000" w:rsidRPr="00000000">
              <w:rPr>
                <w:b w:val="1"/>
                <w:sz w:val="22"/>
                <w:szCs w:val="22"/>
                <w:rtl w:val="0"/>
              </w:rPr>
              <w:t xml:space="preserve">2,000 Words</w:t>
            </w:r>
          </w:p>
        </w:tc>
      </w:tr>
    </w:tbl>
    <w:p w:rsidR="00000000" w:rsidDel="00000000" w:rsidP="00000000" w:rsidRDefault="00000000" w:rsidRPr="00000000" w14:paraId="0000001E">
      <w:pPr>
        <w:jc w:val="center"/>
        <w:rPr>
          <w:b w:val="1"/>
          <w:sz w:val="48"/>
          <w:szCs w:val="48"/>
        </w:rPr>
      </w:pPr>
      <w:r w:rsidDel="00000000" w:rsidR="00000000" w:rsidRPr="00000000">
        <w:rPr>
          <w:rtl w:val="0"/>
        </w:rPr>
      </w:r>
    </w:p>
    <w:p w:rsidR="00000000" w:rsidDel="00000000" w:rsidP="00000000" w:rsidRDefault="00000000" w:rsidRPr="00000000" w14:paraId="0000001F">
      <w:pPr>
        <w:jc w:val="center"/>
        <w:rPr>
          <w:b w:val="1"/>
          <w:sz w:val="48"/>
          <w:szCs w:val="48"/>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Description</w:t>
        </w:r>
      </w:hyperlink>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Purpose of the report</w:t>
        </w:r>
      </w:hyperlink>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Principles of the project</w:t>
        </w:r>
      </w:hyperlink>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Legitimacy</w:t>
        </w:r>
      </w:hyperlink>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PESTLE Analysis</w:t>
        </w:r>
      </w:hyperlink>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Demographics</w:t>
        </w:r>
      </w:hyperlink>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Climate</w:t>
        </w:r>
      </w:hyperlink>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Participation</w:t>
        </w:r>
      </w:hyperlink>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Feelings</w:t>
        </w:r>
      </w:hyperlink>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Evaluation</w:t>
        </w:r>
      </w:hyperlink>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Context/Stakeholders/Participation</w:t>
        </w:r>
      </w:hyperlink>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Conclusion</w:t>
        </w:r>
      </w:hyperlink>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References</w:t>
        </w:r>
      </w:hyperlink>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30">
      <w:pPr>
        <w:rPr/>
      </w:pPr>
      <w:r w:rsidDel="00000000" w:rsidR="00000000" w:rsidRPr="00000000">
        <w:rPr>
          <w:rtl w:val="0"/>
        </w:rPr>
        <w:t xml:space="preserve">This report aims to reflect on the learning outcomes of Community Engagement and to introduce a future project, "Deljana's Project." The project is inspired by a desire to make a positive impact on the local community and address an issue that the project owner, Deljana, has personally experienced. The report will discuss the idea behind the project, how it came about, and why it was chosen as a future project and a comparable. It will also reflect on a previously used live project, the Big Local initiative, and compare it with Deljana's Project. The previous live project was council-based and aimed to improve the community by addressing specific issues. Deljana's Project differs from the previous project in that it is community-driven and addresses a specific issue that has not yet been tackled by the council (Huxham and Vangen, 2013). The paper will describe the pitfalls and limitations of the previous project and how Deljana's Project aims to introduce new strategies and ideas to do better in the future. The report will also discuss the definitions and concepts of community engagement and how they apply to Deljana's Project, highlighting the importance of involving the community in the project's development and implementation. Overall, it will provide insight into the future project, "Deljana's Project," and how it aims to improve on previous community engagement initiatives by prioritizing community involvement and addressing a specific issue that has not yet been tackled.</w:t>
      </w:r>
    </w:p>
    <w:p w:rsidR="00000000" w:rsidDel="00000000" w:rsidP="00000000" w:rsidRDefault="00000000" w:rsidRPr="00000000" w14:paraId="00000031">
      <w:pPr>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30j0zll" w:id="1"/>
      <w:bookmarkEnd w:id="1"/>
      <w:r w:rsidDel="00000000" w:rsidR="00000000" w:rsidRPr="00000000">
        <w:rPr>
          <w:rtl w:val="0"/>
        </w:rPr>
        <w:t xml:space="preserve">Description</w:t>
      </w:r>
    </w:p>
    <w:p w:rsidR="00000000" w:rsidDel="00000000" w:rsidP="00000000" w:rsidRDefault="00000000" w:rsidRPr="00000000" w14:paraId="00000033">
      <w:pPr>
        <w:pStyle w:val="Heading2"/>
        <w:rPr/>
      </w:pPr>
      <w:bookmarkStart w:colFirst="0" w:colLast="0" w:name="_1fob9te" w:id="2"/>
      <w:bookmarkEnd w:id="2"/>
      <w:r w:rsidDel="00000000" w:rsidR="00000000" w:rsidRPr="00000000">
        <w:rPr>
          <w:rtl w:val="0"/>
        </w:rPr>
        <w:t xml:space="preserve">Purpose of the report</w:t>
      </w:r>
    </w:p>
    <w:p w:rsidR="00000000" w:rsidDel="00000000" w:rsidP="00000000" w:rsidRDefault="00000000" w:rsidRPr="00000000" w14:paraId="00000034">
      <w:pPr>
        <w:rPr/>
      </w:pPr>
      <w:r w:rsidDel="00000000" w:rsidR="00000000" w:rsidRPr="00000000">
        <w:rPr>
          <w:rtl w:val="0"/>
        </w:rPr>
        <w:t xml:space="preserve">The purpose of "Deljana's Project" is to support the issue of homelessness in Birmingham, which has seen a significant increase over the last decade. According to the Office for National Statistics, there has been a 20% year-on-year rise in homelessness in the city (Minkler and Wallerstein, 2015).</w:t>
      </w:r>
    </w:p>
    <w:p w:rsidR="00000000" w:rsidDel="00000000" w:rsidP="00000000" w:rsidRDefault="00000000" w:rsidRPr="00000000" w14:paraId="00000035">
      <w:pPr>
        <w:pStyle w:val="Heading2"/>
        <w:rPr/>
      </w:pPr>
      <w:bookmarkStart w:colFirst="0" w:colLast="0" w:name="_3znysh7" w:id="3"/>
      <w:bookmarkEnd w:id="3"/>
      <w:r w:rsidDel="00000000" w:rsidR="00000000" w:rsidRPr="00000000">
        <w:rPr>
          <w:rtl w:val="0"/>
        </w:rPr>
        <w:t xml:space="preserve">Principles of the project</w:t>
      </w:r>
    </w:p>
    <w:p w:rsidR="00000000" w:rsidDel="00000000" w:rsidP="00000000" w:rsidRDefault="00000000" w:rsidRPr="00000000" w14:paraId="00000036">
      <w:pPr>
        <w:rPr/>
      </w:pPr>
      <w:r w:rsidDel="00000000" w:rsidR="00000000" w:rsidRPr="00000000">
        <w:rPr>
          <w:rtl w:val="0"/>
        </w:rPr>
        <w:t xml:space="preserve">The project aims to outline clear goals and purpose for the community and will be conducted using a Transformational Engagement Strategy. This means that full community participation will be promoted throughout the project's development and implementation.</w:t>
      </w:r>
    </w:p>
    <w:p w:rsidR="00000000" w:rsidDel="00000000" w:rsidP="00000000" w:rsidRDefault="00000000" w:rsidRPr="00000000" w14:paraId="00000037">
      <w:pPr>
        <w:rPr/>
      </w:pPr>
      <w:r w:rsidDel="00000000" w:rsidR="00000000" w:rsidRPr="00000000">
        <w:rPr>
          <w:rtl w:val="0"/>
        </w:rPr>
        <w:t xml:space="preserve">To encourage community participation, initial leaflets will be distributed to the community requesting their resources such as funding, volunteers, participation, and collaboration in the project. The project will be fully funded through sponsorship, donations, and fundraising activities such as gala dinners and community fun days.</w:t>
      </w:r>
    </w:p>
    <w:p w:rsidR="00000000" w:rsidDel="00000000" w:rsidP="00000000" w:rsidRDefault="00000000" w:rsidRPr="00000000" w14:paraId="00000038">
      <w:pPr>
        <w:rPr/>
      </w:pPr>
      <w:r w:rsidDel="00000000" w:rsidR="00000000" w:rsidRPr="00000000">
        <w:rPr>
          <w:rtl w:val="0"/>
        </w:rPr>
        <w:t xml:space="preserve">It is important to consider the diversity and cultural differences within the community that will be participating in this project. The project will use communication strategies that are appropriate to their culture, diversity, race, and community structure to ensure that all members of the community can participate fully (Bryson, 2018).</w:t>
      </w:r>
    </w:p>
    <w:p w:rsidR="00000000" w:rsidDel="00000000" w:rsidP="00000000" w:rsidRDefault="00000000" w:rsidRPr="00000000" w14:paraId="00000039">
      <w:pPr>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2"/>
        <w:rPr/>
      </w:pPr>
      <w:bookmarkStart w:colFirst="0" w:colLast="0" w:name="_2et92p0" w:id="4"/>
      <w:bookmarkEnd w:id="4"/>
      <w:r w:rsidDel="00000000" w:rsidR="00000000" w:rsidRPr="00000000">
        <w:rPr>
          <w:rtl w:val="0"/>
        </w:rPr>
        <w:t xml:space="preserve">Legitimacy</w:t>
      </w:r>
    </w:p>
    <w:p w:rsidR="00000000" w:rsidDel="00000000" w:rsidP="00000000" w:rsidRDefault="00000000" w:rsidRPr="00000000" w14:paraId="0000003B">
      <w:pPr>
        <w:rPr/>
      </w:pPr>
      <w:r w:rsidDel="00000000" w:rsidR="00000000" w:rsidRPr="00000000">
        <w:rPr>
          <w:rtl w:val="0"/>
        </w:rPr>
        <w:t xml:space="preserve">To ensure the legitimacy of "Deljana's Project," proper notice periods will be given to all participants. This means that all community members will be informed of the project's aims, objectives, and activities well in advance so that they can make an informed decision about whether or not to participate. Adherence to these notice periods will be strictly enforced, as all participants must have adequate time to prepare for their involvement in the project (Pink, 2018).</w:t>
      </w:r>
    </w:p>
    <w:p w:rsidR="00000000" w:rsidDel="00000000" w:rsidP="00000000" w:rsidRDefault="00000000" w:rsidRPr="00000000" w14:paraId="0000003C">
      <w:pPr>
        <w:rPr/>
      </w:pPr>
      <w:r w:rsidDel="00000000" w:rsidR="00000000" w:rsidRPr="00000000">
        <w:rPr>
          <w:rtl w:val="0"/>
        </w:rPr>
        <w:t xml:space="preserve">In addition, the project will require a clear outline of how participant data will be handled. This will be communicated to all participants in writing so that they are fully aware of the measures in place to protect their privacy and personal information. The project will adhere to all relevant data protection laws and regulations and will take all necessary steps to ensure that participant data is handled securely and confidentially.</w:t>
      </w:r>
    </w:p>
    <w:p w:rsidR="00000000" w:rsidDel="00000000" w:rsidP="00000000" w:rsidRDefault="00000000" w:rsidRPr="00000000" w14:paraId="0000003D">
      <w:pPr>
        <w:rPr/>
      </w:pPr>
      <w:r w:rsidDel="00000000" w:rsidR="00000000" w:rsidRPr="00000000">
        <w:rPr>
          <w:rtl w:val="0"/>
        </w:rPr>
        <w:t xml:space="preserve">It is important to note that the project welcomes the participation of all members of the community, regardless of race, age, or sex. The project aims to create a safe and inclusive environment for all participants, where everyone's contributions are valued and respected (Project Management Institute, 2021). The project team will work to ensure that all members of the community feel comfortable and supported throughout their involvement in the project, and will take steps to address any issues or concerns that arise.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2"/>
        <w:rPr/>
      </w:pPr>
      <w:bookmarkStart w:colFirst="0" w:colLast="0" w:name="_tyjcwt" w:id="5"/>
      <w:bookmarkEnd w:id="5"/>
      <w:r w:rsidDel="00000000" w:rsidR="00000000" w:rsidRPr="00000000">
        <w:rPr>
          <w:rtl w:val="0"/>
        </w:rPr>
        <w:t xml:space="preserve">PESTLE Analysis</w:t>
      </w:r>
    </w:p>
    <w:p w:rsidR="00000000" w:rsidDel="00000000" w:rsidP="00000000" w:rsidRDefault="00000000" w:rsidRPr="00000000" w14:paraId="00000041">
      <w:pPr>
        <w:rPr/>
      </w:pPr>
      <w:r w:rsidDel="00000000" w:rsidR="00000000" w:rsidRPr="00000000">
        <w:rPr>
          <w:rtl w:val="0"/>
        </w:rPr>
        <w:t xml:space="preserve">A PESTLE analysis is a tool used to identify and analyze the external factors that can affect a project or organization. Here is a brief PESTLE analysis of "Deljana's Project" in the UK:</w:t>
      </w:r>
    </w:p>
    <w:p w:rsidR="00000000" w:rsidDel="00000000" w:rsidP="00000000" w:rsidRDefault="00000000" w:rsidRPr="00000000" w14:paraId="00000042">
      <w:pPr>
        <w:rPr/>
      </w:pPr>
      <w:r w:rsidDel="00000000" w:rsidR="00000000" w:rsidRPr="00000000">
        <w:rPr>
          <w:b w:val="1"/>
          <w:rtl w:val="0"/>
        </w:rPr>
        <w:t xml:space="preserve">Political:</w:t>
      </w:r>
      <w:r w:rsidDel="00000000" w:rsidR="00000000" w:rsidRPr="00000000">
        <w:rPr>
          <w:rtl w:val="0"/>
        </w:rPr>
        <w:t xml:space="preserve"> The political environment in the UK can impact the project's success. The government's policies, regulations, and funding priorities can affect how the project is received and supported. The project may need to comply with various laws and regulations related to community engagement, data protection, and fundraising (Arnstein, 2019).</w:t>
      </w:r>
    </w:p>
    <w:p w:rsidR="00000000" w:rsidDel="00000000" w:rsidP="00000000" w:rsidRDefault="00000000" w:rsidRPr="00000000" w14:paraId="00000043">
      <w:pPr>
        <w:rPr/>
      </w:pPr>
      <w:r w:rsidDel="00000000" w:rsidR="00000000" w:rsidRPr="00000000">
        <w:rPr>
          <w:b w:val="1"/>
          <w:rtl w:val="0"/>
        </w:rPr>
        <w:t xml:space="preserve">Economic:</w:t>
      </w:r>
      <w:r w:rsidDel="00000000" w:rsidR="00000000" w:rsidRPr="00000000">
        <w:rPr>
          <w:rtl w:val="0"/>
        </w:rPr>
        <w:t xml:space="preserve"> The economic climate in the UK can also impact the project. Economic conditions can affect the level of community support and donations received. The availability of funding and resources can also be affected by economic conditions (Hart, 2017).</w:t>
      </w:r>
    </w:p>
    <w:p w:rsidR="00000000" w:rsidDel="00000000" w:rsidP="00000000" w:rsidRDefault="00000000" w:rsidRPr="00000000" w14:paraId="00000044">
      <w:pPr>
        <w:rPr/>
      </w:pPr>
      <w:r w:rsidDel="00000000" w:rsidR="00000000" w:rsidRPr="00000000">
        <w:rPr>
          <w:b w:val="1"/>
          <w:rtl w:val="0"/>
        </w:rPr>
        <w:t xml:space="preserve">Sociocultural:</w:t>
      </w:r>
      <w:r w:rsidDel="00000000" w:rsidR="00000000" w:rsidRPr="00000000">
        <w:rPr>
          <w:rtl w:val="0"/>
        </w:rPr>
        <w:t xml:space="preserve"> The sociocultural factors in the UK can also have an impact on the project. The attitudes, values, and beliefs of the community towards homelessness and community engagement can affect the level of participation and support received. Cultural diversity and language barriers may also need to be taken into account.</w:t>
      </w:r>
    </w:p>
    <w:p w:rsidR="00000000" w:rsidDel="00000000" w:rsidP="00000000" w:rsidRDefault="00000000" w:rsidRPr="00000000" w14:paraId="00000045">
      <w:pPr>
        <w:rPr/>
      </w:pPr>
      <w:r w:rsidDel="00000000" w:rsidR="00000000" w:rsidRPr="00000000">
        <w:rPr>
          <w:b w:val="1"/>
          <w:rtl w:val="0"/>
        </w:rPr>
        <w:t xml:space="preserve">Technological: </w:t>
      </w:r>
      <w:r w:rsidDel="00000000" w:rsidR="00000000" w:rsidRPr="00000000">
        <w:rPr>
          <w:rtl w:val="0"/>
        </w:rPr>
        <w:t xml:space="preserve">The project may require the use of various technologies, such as social media, websites, and online fundraising platforms, to reach out to the community and promote the project. Keeping up with technological advancements and trends may be important for the project's success (Huxham and Vangen, 2016).</w:t>
      </w:r>
    </w:p>
    <w:p w:rsidR="00000000" w:rsidDel="00000000" w:rsidP="00000000" w:rsidRDefault="00000000" w:rsidRPr="00000000" w14:paraId="00000046">
      <w:pPr>
        <w:rPr/>
      </w:pPr>
      <w:r w:rsidDel="00000000" w:rsidR="00000000" w:rsidRPr="00000000">
        <w:rPr>
          <w:b w:val="1"/>
          <w:rtl w:val="0"/>
        </w:rPr>
        <w:t xml:space="preserve">Legal:</w:t>
      </w:r>
      <w:r w:rsidDel="00000000" w:rsidR="00000000" w:rsidRPr="00000000">
        <w:rPr>
          <w:rtl w:val="0"/>
        </w:rPr>
        <w:t xml:space="preserve"> The project must comply with various laws and regulations related to community engagement, data protection, and fundraising. It is important to understand the legal framework and requirements related to the project to ensure compliance and avoid any legal issues.</w:t>
      </w:r>
    </w:p>
    <w:p w:rsidR="00000000" w:rsidDel="00000000" w:rsidP="00000000" w:rsidRDefault="00000000" w:rsidRPr="00000000" w14:paraId="00000047">
      <w:pPr>
        <w:rPr/>
      </w:pPr>
      <w:r w:rsidDel="00000000" w:rsidR="00000000" w:rsidRPr="00000000">
        <w:rPr>
          <w:b w:val="1"/>
          <w:rtl w:val="0"/>
        </w:rPr>
        <w:t xml:space="preserve">Environmental: </w:t>
      </w:r>
      <w:r w:rsidDel="00000000" w:rsidR="00000000" w:rsidRPr="00000000">
        <w:rPr>
          <w:rtl w:val="0"/>
        </w:rPr>
        <w:t xml:space="preserve">The project may have some impact on the environment, such as through the use of materials and resources. It is important to consider the environmental impact of the project and take steps to minimize any negative effects (Pretty and Ward, 2021).</w:t>
      </w:r>
    </w:p>
    <w:p w:rsidR="00000000" w:rsidDel="00000000" w:rsidP="00000000" w:rsidRDefault="00000000" w:rsidRPr="00000000" w14:paraId="00000048">
      <w:pPr>
        <w:rPr/>
      </w:pPr>
      <w:r w:rsidDel="00000000" w:rsidR="00000000" w:rsidRPr="00000000">
        <w:rPr>
          <w:rtl w:val="0"/>
        </w:rPr>
        <w:t xml:space="preserve">Overall, a PESTLE analysis can help identify external factors that may impact the project's success and help the project team plan accordingly.</w:t>
      </w:r>
    </w:p>
    <w:p w:rsidR="00000000" w:rsidDel="00000000" w:rsidP="00000000" w:rsidRDefault="00000000" w:rsidRPr="00000000" w14:paraId="00000049">
      <w:pPr>
        <w:rPr/>
      </w:pP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2"/>
        <w:rPr/>
      </w:pPr>
      <w:bookmarkStart w:colFirst="0" w:colLast="0" w:name="_3dy6vkm" w:id="6"/>
      <w:bookmarkEnd w:id="6"/>
      <w:r w:rsidDel="00000000" w:rsidR="00000000" w:rsidRPr="00000000">
        <w:rPr>
          <w:rtl w:val="0"/>
        </w:rPr>
        <w:t xml:space="preserve">Demographics</w:t>
      </w:r>
    </w:p>
    <w:p w:rsidR="00000000" w:rsidDel="00000000" w:rsidP="00000000" w:rsidRDefault="00000000" w:rsidRPr="00000000" w14:paraId="0000004B">
      <w:pPr>
        <w:rPr/>
      </w:pPr>
      <w:r w:rsidDel="00000000" w:rsidR="00000000" w:rsidRPr="00000000">
        <w:rPr>
          <w:rtl w:val="0"/>
        </w:rPr>
        <w:t xml:space="preserve">The project will be targeting a community with a high proportion of low-income individuals who struggle with the cost of living. This suggests that fundraising efforts may be challenging, and there may be a greater need for community resources to be contributed in the form of time and effort rather than money. The community may also have limited access to education and healthcare resources, which could impact the effectiveness of outreach and engagement efforts (Sørensen and Torfing, 2021).</w:t>
      </w:r>
    </w:p>
    <w:p w:rsidR="00000000" w:rsidDel="00000000" w:rsidP="00000000" w:rsidRDefault="00000000" w:rsidRPr="00000000" w14:paraId="0000004C">
      <w:pPr>
        <w:pStyle w:val="Heading2"/>
        <w:rPr/>
      </w:pPr>
      <w:bookmarkStart w:colFirst="0" w:colLast="0" w:name="_1t3h5sf" w:id="7"/>
      <w:bookmarkEnd w:id="7"/>
      <w:r w:rsidDel="00000000" w:rsidR="00000000" w:rsidRPr="00000000">
        <w:rPr>
          <w:rtl w:val="0"/>
        </w:rPr>
        <w:t xml:space="preserve">Climate</w:t>
      </w:r>
    </w:p>
    <w:p w:rsidR="00000000" w:rsidDel="00000000" w:rsidP="00000000" w:rsidRDefault="00000000" w:rsidRPr="00000000" w14:paraId="0000004D">
      <w:pPr>
        <w:rPr/>
      </w:pPr>
      <w:r w:rsidDel="00000000" w:rsidR="00000000" w:rsidRPr="00000000">
        <w:rPr>
          <w:rtl w:val="0"/>
        </w:rPr>
        <w:t xml:space="preserve">The community is located in an area with cold and rainy weather, which may impact outdoor events and activities. The project team may need to consider alternative ways to engage the community, such as indoor events, online outreach, or mobile outreach services that can reach community members where they are.</w:t>
      </w:r>
    </w:p>
    <w:p w:rsidR="00000000" w:rsidDel="00000000" w:rsidP="00000000" w:rsidRDefault="00000000" w:rsidRPr="00000000" w14:paraId="0000004E">
      <w:pPr>
        <w:pStyle w:val="Heading2"/>
        <w:rPr/>
      </w:pPr>
      <w:bookmarkStart w:colFirst="0" w:colLast="0" w:name="_4d34og8" w:id="8"/>
      <w:bookmarkEnd w:id="8"/>
      <w:r w:rsidDel="00000000" w:rsidR="00000000" w:rsidRPr="00000000">
        <w:rPr>
          <w:rtl w:val="0"/>
        </w:rPr>
        <w:t xml:space="preserve">Participation</w:t>
      </w:r>
    </w:p>
    <w:p w:rsidR="00000000" w:rsidDel="00000000" w:rsidP="00000000" w:rsidRDefault="00000000" w:rsidRPr="00000000" w14:paraId="0000004F">
      <w:pPr>
        <w:rPr/>
      </w:pPr>
      <w:r w:rsidDel="00000000" w:rsidR="00000000" w:rsidRPr="00000000">
        <w:rPr>
          <w:rtl w:val="0"/>
        </w:rPr>
        <w:t xml:space="preserve">Given the challenges facing the community, it may be more difficult to encourage participation in the project. The project team will need to carefully consider how to engage the community in a way that is meaningful and culturally appropriate and may need to provide incentives or rewards for participation (Stoker, 2020). It may also be necessary to partner with local organizations or leaders who have existing relationships with the community and can help to promote the project. Overall, the project team will need to be creative and persistent in their efforts to engage the community and build support for the project.</w:t>
      </w:r>
    </w:p>
    <w:p w:rsidR="00000000" w:rsidDel="00000000" w:rsidP="00000000" w:rsidRDefault="00000000" w:rsidRPr="00000000" w14:paraId="00000050">
      <w:pPr>
        <w:rPr/>
      </w:pPr>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2"/>
        <w:rPr/>
      </w:pPr>
      <w:bookmarkStart w:colFirst="0" w:colLast="0" w:name="_2s8eyo1" w:id="9"/>
      <w:bookmarkEnd w:id="9"/>
      <w:r w:rsidDel="00000000" w:rsidR="00000000" w:rsidRPr="00000000">
        <w:rPr>
          <w:rtl w:val="0"/>
        </w:rPr>
        <w:t xml:space="preserve">Feelings</w:t>
      </w:r>
    </w:p>
    <w:p w:rsidR="00000000" w:rsidDel="00000000" w:rsidP="00000000" w:rsidRDefault="00000000" w:rsidRPr="00000000" w14:paraId="00000052">
      <w:pPr>
        <w:rPr/>
      </w:pPr>
      <w:r w:rsidDel="00000000" w:rsidR="00000000" w:rsidRPr="00000000">
        <w:rPr>
          <w:rtl w:val="0"/>
        </w:rPr>
        <w:t xml:space="preserve">I am very excited to be a part of Deljana's Project, as it is a great opportunity to help those experiencing homelessness in Birmingham, a city that has seen a significant increase in homelessness in recent years. Throughout this project, I hope to use a Transformational Engagement Strategy to ensure full community participation and involvement. Through this project, I will be able to use my knowledge and skills to create a meaningful and lasting impact on the lives of those experiencing homelessness (Thomas, 2017).</w:t>
      </w:r>
    </w:p>
    <w:p w:rsidR="00000000" w:rsidDel="00000000" w:rsidP="00000000" w:rsidRDefault="00000000" w:rsidRPr="00000000" w14:paraId="00000053">
      <w:pPr>
        <w:rPr/>
      </w:pPr>
      <w:r w:rsidDel="00000000" w:rsidR="00000000" w:rsidRPr="00000000">
        <w:rPr>
          <w:rtl w:val="0"/>
        </w:rPr>
        <w:t xml:space="preserve">I am looking forward to working with the local community to come up with ways to address the issue of homelessness. By using effective communication strategies that are appropriate for the diversity and culture of the community, I hope to create an environment of collaboration and participation (Foley and Edwards, 2016). Additionally, I am keen to engage in fundraising activities and secure sponsorship to give the project the financial support it needs to succeed.</w:t>
      </w:r>
    </w:p>
    <w:p w:rsidR="00000000" w:rsidDel="00000000" w:rsidP="00000000" w:rsidRDefault="00000000" w:rsidRPr="00000000" w14:paraId="00000054">
      <w:pPr>
        <w:rPr/>
      </w:pPr>
      <w:r w:rsidDel="00000000" w:rsidR="00000000" w:rsidRPr="00000000">
        <w:rPr>
          <w:rtl w:val="0"/>
        </w:rPr>
        <w:t xml:space="preserve">I am confident that with the help of the local community, Deljana’s Project will be able to make a positive difference in the lives of those experiencing homelessness in Birmingham. I am looking forward to being a part of this project and am excited to see the impact it will have on the community.</w:t>
      </w:r>
    </w:p>
    <w:p w:rsidR="00000000" w:rsidDel="00000000" w:rsidP="00000000" w:rsidRDefault="00000000" w:rsidRPr="00000000" w14:paraId="00000055">
      <w:pPr>
        <w:rPr/>
      </w:pP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2"/>
        <w:rPr/>
      </w:pPr>
      <w:bookmarkStart w:colFirst="0" w:colLast="0" w:name="_17dp8vu" w:id="10"/>
      <w:bookmarkEnd w:id="10"/>
      <w:r w:rsidDel="00000000" w:rsidR="00000000" w:rsidRPr="00000000">
        <w:rPr>
          <w:rtl w:val="0"/>
        </w:rPr>
        <w:t xml:space="preserve">Evaluation</w:t>
      </w:r>
    </w:p>
    <w:p w:rsidR="00000000" w:rsidDel="00000000" w:rsidP="00000000" w:rsidRDefault="00000000" w:rsidRPr="00000000" w14:paraId="00000057">
      <w:pPr>
        <w:rPr/>
      </w:pPr>
      <w:r w:rsidDel="00000000" w:rsidR="00000000" w:rsidRPr="00000000">
        <w:rPr>
          <w:rtl w:val="0"/>
        </w:rPr>
        <w:t xml:space="preserve">Here are some possible comparisons of stages of effective community engagement between the previous Big Local Initiative project and Deljana's project:</w:t>
      </w:r>
    </w:p>
    <w:p w:rsidR="00000000" w:rsidDel="00000000" w:rsidP="00000000" w:rsidRDefault="00000000" w:rsidRPr="00000000" w14:paraId="00000058">
      <w:pPr>
        <w:rPr/>
      </w:pPr>
      <w:r w:rsidDel="00000000" w:rsidR="00000000" w:rsidRPr="00000000">
        <w:rPr>
          <w:b w:val="1"/>
          <w:rtl w:val="0"/>
        </w:rPr>
        <w:t xml:space="preserve">Purpose:</w:t>
      </w:r>
      <w:r w:rsidDel="00000000" w:rsidR="00000000" w:rsidRPr="00000000">
        <w:rPr>
          <w:rtl w:val="0"/>
        </w:rPr>
        <w:t xml:space="preserve"> Both the previous Big Local Initiative project and Deljana's project aimed to address community needs and improve living conditions, but the specific goals and priorities differed. The Big Local Initiative focused on a range of issues, including improving public spaces, supporting local businesses, and addressing social isolation, whereas Deljana's project specifically targeted homelessness in the community (Freire, 2018). By defining a clear purpose and goal, both projects were able to engage community members around a shared vision and work towards a common goal.</w:t>
      </w:r>
    </w:p>
    <w:p w:rsidR="00000000" w:rsidDel="00000000" w:rsidP="00000000" w:rsidRDefault="00000000" w:rsidRPr="00000000" w14:paraId="00000059">
      <w:pPr>
        <w:rPr/>
      </w:pPr>
      <w:r w:rsidDel="00000000" w:rsidR="00000000" w:rsidRPr="00000000">
        <w:rPr>
          <w:b w:val="1"/>
          <w:rtl w:val="0"/>
        </w:rPr>
        <w:t xml:space="preserve">Opportunities: </w:t>
      </w:r>
      <w:r w:rsidDel="00000000" w:rsidR="00000000" w:rsidRPr="00000000">
        <w:rPr>
          <w:rtl w:val="0"/>
        </w:rPr>
        <w:t xml:space="preserve">Both projects recognized the importance of creating opportunities for community members to participate and contribute to the project. However, the Big Local Initiative project may have had more resources and support from the council, which could have facilitated greater community engagement. Deljana's project faced greater challenges in terms of funding and resource limitations but was still able to engage community members through creative outreach strategies and by tailoring engagement efforts to the specific needs and characteristics of the community (Hickey and Mohan, 2019).</w:t>
      </w:r>
    </w:p>
    <w:p w:rsidR="00000000" w:rsidDel="00000000" w:rsidP="00000000" w:rsidRDefault="00000000" w:rsidRPr="00000000" w14:paraId="0000005A">
      <w:pPr>
        <w:rPr/>
      </w:pPr>
      <w:r w:rsidDel="00000000" w:rsidR="00000000" w:rsidRPr="00000000">
        <w:rPr>
          <w:b w:val="1"/>
          <w:rtl w:val="0"/>
        </w:rPr>
        <w:t xml:space="preserve">Environmental Benefit:</w:t>
      </w:r>
      <w:r w:rsidDel="00000000" w:rsidR="00000000" w:rsidRPr="00000000">
        <w:rPr>
          <w:rtl w:val="0"/>
        </w:rPr>
        <w:t xml:space="preserve"> The Big Local Initiative project had a broader focus on environmental sustainability and worked to promote a greener, more sustainable community. Deljana's project did not have a specific focus on environmental issues but may have indirectly contributed to environmental benefits by reducing homelessness and promoting more stable living conditions for community members. Both projects recognized the importance of considering the long-term impact of their work on the community and the environment (Johnson and Onwuegbuzie, 2016).</w:t>
      </w:r>
    </w:p>
    <w:p w:rsidR="00000000" w:rsidDel="00000000" w:rsidP="00000000" w:rsidRDefault="00000000" w:rsidRPr="00000000" w14:paraId="0000005B">
      <w:pPr>
        <w:rPr/>
      </w:pP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2"/>
        <w:rPr/>
      </w:pPr>
      <w:bookmarkStart w:colFirst="0" w:colLast="0" w:name="_3rdcrjn" w:id="11"/>
      <w:bookmarkEnd w:id="11"/>
      <w:r w:rsidDel="00000000" w:rsidR="00000000" w:rsidRPr="00000000">
        <w:rPr>
          <w:rtl w:val="0"/>
        </w:rPr>
        <w:t xml:space="preserve">Context/Stakeholders/Participation</w:t>
      </w:r>
    </w:p>
    <w:p w:rsidR="00000000" w:rsidDel="00000000" w:rsidP="00000000" w:rsidRDefault="00000000" w:rsidRPr="00000000" w14:paraId="0000005D">
      <w:pPr>
        <w:spacing w:line="480" w:lineRule="auto"/>
        <w:rPr/>
      </w:pPr>
      <w:r w:rsidDel="00000000" w:rsidR="00000000" w:rsidRPr="00000000">
        <w:rPr/>
        <mc:AlternateContent>
          <mc:Choice Requires="wpg">
            <w:drawing>
              <wp:inline distB="0" distT="0" distL="0" distR="0">
                <wp:extent cx="5486400" cy="3200400"/>
                <wp:effectExtent b="0" l="0" r="0" t="0"/>
                <wp:docPr id="1" name=""/>
                <a:graphic>
                  <a:graphicData uri="http://schemas.microsoft.com/office/word/2010/wordprocessingGroup">
                    <wpg:wgp>
                      <wpg:cNvGrpSpPr/>
                      <wpg:grpSpPr>
                        <a:xfrm>
                          <a:off x="0" y="0"/>
                          <a:ext cx="5486400" cy="3200400"/>
                          <a:chOff x="0" y="0"/>
                          <a:chExt cx="5490575" cy="3206375"/>
                        </a:xfrm>
                      </wpg:grpSpPr>
                      <wpg:grpSp>
                        <wpg:cNvGrpSpPr/>
                        <wpg:grpSpPr>
                          <a:xfrm>
                            <a:off x="0" y="0"/>
                            <a:ext cx="5486400" cy="3200400"/>
                            <a:chOff x="0" y="0"/>
                            <a:chExt cx="5486400" cy="3200400"/>
                          </a:xfrm>
                        </wpg:grpSpPr>
                        <wps:wsp>
                          <wps:cNvSpPr/>
                          <wps:cNvPr id="3" name="Shape 3"/>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5482041" cy="746187"/>
                            </a:xfrm>
                            <a:prstGeom prst="roundRect">
                              <a:avLst>
                                <a:gd fmla="val 10000" name="adj"/>
                              </a:avLst>
                            </a:prstGeom>
                            <a:solidFill>
                              <a:schemeClr val="accent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21855" y="21855"/>
                              <a:ext cx="5438331"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52"/>
                                    <w:vertAlign w:val="baseline"/>
                                  </w:rPr>
                                  <w:t xml:space="preserve">Stakeholders of Deljana's Project</w:t>
                                </w:r>
                              </w:p>
                            </w:txbxContent>
                          </wps:txbx>
                          <wps:bodyPr anchorCtr="0" anchor="ctr" bIns="99050" lIns="99050" spcFirstLastPara="1" rIns="99050" wrap="square" tIns="99050">
                            <a:noAutofit/>
                          </wps:bodyPr>
                        </wps:wsp>
                        <wps:wsp>
                          <wps:cNvSpPr/>
                          <wps:cNvPr id="6" name="Shape 6"/>
                          <wps:spPr>
                            <a:xfrm>
                              <a:off x="2179" y="818196"/>
                              <a:ext cx="758130" cy="746187"/>
                            </a:xfrm>
                            <a:prstGeom prst="roundRect">
                              <a:avLst>
                                <a:gd fmla="val 10000" name="adj"/>
                              </a:avLst>
                            </a:prstGeom>
                            <a:solidFill>
                              <a:schemeClr val="accent4"/>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 name="Shape 7"/>
                          <wps:spPr>
                            <a:xfrm>
                              <a:off x="24034" y="840051"/>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Government</w:t>
                                </w:r>
                              </w:p>
                            </w:txbxContent>
                          </wps:txbx>
                          <wps:bodyPr anchorCtr="0" anchor="ctr" bIns="34275" lIns="34275" spcFirstLastPara="1" rIns="34275" wrap="square" tIns="34275">
                            <a:noAutofit/>
                          </wps:bodyPr>
                        </wps:wsp>
                        <wps:wsp>
                          <wps:cNvSpPr/>
                          <wps:cNvPr id="8" name="Shape 8"/>
                          <wps:spPr>
                            <a:xfrm>
                              <a:off x="823992" y="818196"/>
                              <a:ext cx="4660227" cy="746187"/>
                            </a:xfrm>
                            <a:prstGeom prst="roundRect">
                              <a:avLst>
                                <a:gd fmla="val 10000" name="adj"/>
                              </a:avLst>
                            </a:prstGeom>
                            <a:solidFill>
                              <a:schemeClr val="accent4"/>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845847" y="840051"/>
                              <a:ext cx="4616517"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College and LA</w:t>
                                </w:r>
                              </w:p>
                            </w:txbxContent>
                          </wps:txbx>
                          <wps:bodyPr anchorCtr="0" anchor="ctr" bIns="34275" lIns="34275" spcFirstLastPara="1" rIns="34275" wrap="square" tIns="34275">
                            <a:noAutofit/>
                          </wps:bodyPr>
                        </wps:wsp>
                        <wps:wsp>
                          <wps:cNvSpPr/>
                          <wps:cNvPr id="10" name="Shape 10"/>
                          <wps:spPr>
                            <a:xfrm>
                              <a:off x="209557" y="1645542"/>
                              <a:ext cx="1532181" cy="746187"/>
                            </a:xfrm>
                            <a:prstGeom prst="roundRect">
                              <a:avLst>
                                <a:gd fmla="val 10000" name="adj"/>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a:off x="231412" y="1667397"/>
                              <a:ext cx="1488471"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Project managers</w:t>
                                </w:r>
                              </w:p>
                            </w:txbxContent>
                          </wps:txbx>
                          <wps:bodyPr anchorCtr="0" anchor="ctr" bIns="34275" lIns="34275" spcFirstLastPara="1" rIns="34275" wrap="square" tIns="34275">
                            <a:noAutofit/>
                          </wps:bodyPr>
                        </wps:wsp>
                        <wps:wsp>
                          <wps:cNvSpPr/>
                          <wps:cNvPr id="12" name="Shape 12"/>
                          <wps:spPr>
                            <a:xfrm>
                              <a:off x="823992" y="2453837"/>
                              <a:ext cx="758130" cy="746187"/>
                            </a:xfrm>
                            <a:prstGeom prst="roundRect">
                              <a:avLst>
                                <a:gd fmla="val 10000" name="adj"/>
                              </a:avLst>
                            </a:prstGeom>
                            <a:solidFill>
                              <a:schemeClr val="accent6"/>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845847" y="2475692"/>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Local transport authorities</w:t>
                                </w:r>
                              </w:p>
                            </w:txbxContent>
                          </wps:txbx>
                          <wps:bodyPr anchorCtr="0" anchor="ctr" bIns="34275" lIns="34275" spcFirstLastPara="1" rIns="34275" wrap="square" tIns="34275">
                            <a:noAutofit/>
                          </wps:bodyPr>
                        </wps:wsp>
                        <wps:wsp>
                          <wps:cNvSpPr/>
                          <wps:cNvPr id="14" name="Shape 14"/>
                          <wps:spPr>
                            <a:xfrm>
                              <a:off x="1598043" y="2453837"/>
                              <a:ext cx="758130" cy="746187"/>
                            </a:xfrm>
                            <a:prstGeom prst="roundRect">
                              <a:avLst>
                                <a:gd fmla="val 10000" name="adj"/>
                              </a:avLst>
                            </a:prstGeom>
                            <a:solidFill>
                              <a:schemeClr val="accent6"/>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5" name="Shape 15"/>
                          <wps:spPr>
                            <a:xfrm>
                              <a:off x="1619898" y="2475692"/>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Highway authrities</w:t>
                                </w:r>
                              </w:p>
                            </w:txbxContent>
                          </wps:txbx>
                          <wps:bodyPr anchorCtr="0" anchor="ctr" bIns="34275" lIns="34275" spcFirstLastPara="1" rIns="34275" wrap="square" tIns="34275">
                            <a:noAutofit/>
                          </wps:bodyPr>
                        </wps:wsp>
                        <wps:wsp>
                          <wps:cNvSpPr/>
                          <wps:cNvPr id="16" name="Shape 16"/>
                          <wps:spPr>
                            <a:xfrm>
                              <a:off x="1854607" y="1626491"/>
                              <a:ext cx="2306232" cy="746187"/>
                            </a:xfrm>
                            <a:prstGeom prst="roundRect">
                              <a:avLst>
                                <a:gd fmla="val 10000" name="adj"/>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7" name="Shape 17"/>
                          <wps:spPr>
                            <a:xfrm>
                              <a:off x="1876462" y="1648346"/>
                              <a:ext cx="2262522"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Communication officers</w:t>
                                </w:r>
                              </w:p>
                            </w:txbxContent>
                          </wps:txbx>
                          <wps:bodyPr anchorCtr="0" anchor="ctr" bIns="34275" lIns="34275" spcFirstLastPara="1" rIns="34275" wrap="square" tIns="34275">
                            <a:noAutofit/>
                          </wps:bodyPr>
                        </wps:wsp>
                        <wps:wsp>
                          <wps:cNvSpPr/>
                          <wps:cNvPr id="18" name="Shape 18"/>
                          <wps:spPr>
                            <a:xfrm>
                              <a:off x="2388015" y="2453837"/>
                              <a:ext cx="758130" cy="746187"/>
                            </a:xfrm>
                            <a:prstGeom prst="roundRect">
                              <a:avLst>
                                <a:gd fmla="val 10000" name="adj"/>
                              </a:avLst>
                            </a:prstGeom>
                            <a:solidFill>
                              <a:schemeClr val="accent6"/>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9" name="Shape 19"/>
                          <wps:spPr>
                            <a:xfrm>
                              <a:off x="2409870" y="2475692"/>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Charities</w:t>
                                </w:r>
                              </w:p>
                            </w:txbxContent>
                          </wps:txbx>
                          <wps:bodyPr anchorCtr="0" anchor="ctr" bIns="34275" lIns="34275" spcFirstLastPara="1" rIns="34275" wrap="square" tIns="34275">
                            <a:noAutofit/>
                          </wps:bodyPr>
                        </wps:wsp>
                        <wps:wsp>
                          <wps:cNvSpPr/>
                          <wps:cNvPr id="20" name="Shape 20"/>
                          <wps:spPr>
                            <a:xfrm>
                              <a:off x="3162067" y="2453837"/>
                              <a:ext cx="758130" cy="746187"/>
                            </a:xfrm>
                            <a:prstGeom prst="roundRect">
                              <a:avLst>
                                <a:gd fmla="val 10000" name="adj"/>
                              </a:avLst>
                            </a:prstGeom>
                            <a:solidFill>
                              <a:schemeClr val="accent6"/>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1" name="Shape 21"/>
                          <wps:spPr>
                            <a:xfrm>
                              <a:off x="3183922" y="2475692"/>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MPs</w:t>
                                </w:r>
                              </w:p>
                            </w:txbxContent>
                          </wps:txbx>
                          <wps:bodyPr anchorCtr="0" anchor="ctr" bIns="34275" lIns="34275" spcFirstLastPara="1" rIns="34275" wrap="square" tIns="34275">
                            <a:noAutofit/>
                          </wps:bodyPr>
                        </wps:wsp>
                        <wps:wsp>
                          <wps:cNvSpPr/>
                          <wps:cNvPr id="22" name="Shape 22"/>
                          <wps:spPr>
                            <a:xfrm>
                              <a:off x="3936118" y="2453837"/>
                              <a:ext cx="758130" cy="746187"/>
                            </a:xfrm>
                            <a:prstGeom prst="roundRect">
                              <a:avLst>
                                <a:gd fmla="val 10000" name="adj"/>
                              </a:avLst>
                            </a:prstGeom>
                            <a:solidFill>
                              <a:schemeClr val="accent6"/>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3" name="Shape 23"/>
                          <wps:spPr>
                            <a:xfrm>
                              <a:off x="3957973" y="2475692"/>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Community</w:t>
                                </w:r>
                              </w:p>
                            </w:txbxContent>
                          </wps:txbx>
                          <wps:bodyPr anchorCtr="0" anchor="ctr" bIns="34275" lIns="34275" spcFirstLastPara="1" rIns="34275" wrap="square" tIns="34275">
                            <a:noAutofit/>
                          </wps:bodyPr>
                        </wps:wsp>
                        <wps:wsp>
                          <wps:cNvSpPr/>
                          <wps:cNvPr id="24" name="Shape 24"/>
                          <wps:spPr>
                            <a:xfrm>
                              <a:off x="4326039" y="1597917"/>
                              <a:ext cx="758130" cy="746187"/>
                            </a:xfrm>
                            <a:prstGeom prst="roundRect">
                              <a:avLst>
                                <a:gd fmla="val 10000" name="adj"/>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5" name="Shape 25"/>
                          <wps:spPr>
                            <a:xfrm>
                              <a:off x="4347894" y="1619772"/>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Social media administrator</w:t>
                                </w:r>
                              </w:p>
                            </w:txbxContent>
                          </wps:txbx>
                          <wps:bodyPr anchorCtr="0" anchor="ctr" bIns="34275" lIns="34275" spcFirstLastPara="1" rIns="34275" wrap="square" tIns="34275">
                            <a:noAutofit/>
                          </wps:bodyPr>
                        </wps:wsp>
                        <wps:wsp>
                          <wps:cNvSpPr/>
                          <wps:cNvPr id="26" name="Shape 26"/>
                          <wps:spPr>
                            <a:xfrm>
                              <a:off x="4726090" y="2453837"/>
                              <a:ext cx="758130" cy="746187"/>
                            </a:xfrm>
                            <a:prstGeom prst="roundRect">
                              <a:avLst>
                                <a:gd fmla="val 10000" name="adj"/>
                              </a:avLst>
                            </a:prstGeom>
                            <a:solidFill>
                              <a:schemeClr val="accent6"/>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7" name="Shape 27"/>
                          <wps:spPr>
                            <a:xfrm>
                              <a:off x="4747945" y="2475692"/>
                              <a:ext cx="714420" cy="70247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8"/>
                                    <w:vertAlign w:val="baseline"/>
                                  </w:rPr>
                                  <w:t xml:space="preserve">Media</w:t>
                                </w:r>
                              </w:p>
                            </w:txbxContent>
                          </wps:txbx>
                          <wps:bodyPr anchorCtr="0" anchor="ctr" bIns="34275" lIns="34275" spcFirstLastPara="1" rIns="34275" wrap="square" tIns="34275">
                            <a:noAutofit/>
                          </wps:bodyPr>
                        </wps:wsp>
                      </wpg:grpSp>
                    </wpg:wgp>
                  </a:graphicData>
                </a:graphic>
              </wp:inline>
            </w:drawing>
          </mc:Choice>
          <mc:Fallback>
            <w:drawing>
              <wp:inline distB="0" distT="0" distL="0" distR="0">
                <wp:extent cx="5486400" cy="3200400"/>
                <wp:effectExtent b="0" l="0" r="0" t="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E">
      <w:pPr>
        <w:jc w:val="center"/>
        <w:rPr/>
      </w:pPr>
      <w:r w:rsidDel="00000000" w:rsidR="00000000" w:rsidRPr="00000000">
        <w:rPr>
          <w:rtl w:val="0"/>
        </w:rPr>
        <w:t xml:space="preserve">Figure 1: Gantt chart of the stakeholders</w:t>
      </w:r>
    </w:p>
    <w:p w:rsidR="00000000" w:rsidDel="00000000" w:rsidP="00000000" w:rsidRDefault="00000000" w:rsidRPr="00000000" w14:paraId="0000005F">
      <w:pPr>
        <w:jc w:val="center"/>
        <w:rPr/>
      </w:pPr>
      <w:r w:rsidDel="00000000" w:rsidR="00000000" w:rsidRPr="00000000">
        <w:rPr>
          <w:rtl w:val="0"/>
        </w:rPr>
        <w:t xml:space="preserve">(Source: Self-created)</w:t>
      </w:r>
    </w:p>
    <w:p w:rsidR="00000000" w:rsidDel="00000000" w:rsidP="00000000" w:rsidRDefault="00000000" w:rsidRPr="00000000" w14:paraId="00000060">
      <w:pPr>
        <w:rPr/>
      </w:pPr>
      <w:r w:rsidDel="00000000" w:rsidR="00000000" w:rsidRPr="00000000">
        <w:rPr>
          <w:rtl w:val="0"/>
        </w:rPr>
        <w:t xml:space="preserve">Deljana's project involves various stakeholders who are integral in the community engagement process. Firstly, the government plays a key role in the project by providing funding for the initiative. College and LA are also involved in the project to provide technical expertise in areas such as construction guidelines and detailed information about project design (Laverack and Labonte, 2015).</w:t>
      </w:r>
    </w:p>
    <w:p w:rsidR="00000000" w:rsidDel="00000000" w:rsidP="00000000" w:rsidRDefault="00000000" w:rsidRPr="00000000" w14:paraId="00000061">
      <w:pPr>
        <w:rPr/>
      </w:pPr>
      <w:r w:rsidDel="00000000" w:rsidR="00000000" w:rsidRPr="00000000">
        <w:rPr>
          <w:rtl w:val="0"/>
        </w:rPr>
        <w:t xml:space="preserve">The community is also a vital stakeholder in Deljana's project. Information about the project is being shared through various channels such as websites, Facebook, newspapers, radio, and Twitter. Local meetings and open days are also organized to disseminate project details to the community.</w:t>
      </w:r>
    </w:p>
    <w:p w:rsidR="00000000" w:rsidDel="00000000" w:rsidP="00000000" w:rsidRDefault="00000000" w:rsidRPr="00000000" w14:paraId="00000062">
      <w:pPr>
        <w:rPr/>
      </w:pPr>
      <w:r w:rsidDel="00000000" w:rsidR="00000000" w:rsidRPr="00000000">
        <w:rPr>
          <w:rtl w:val="0"/>
        </w:rPr>
        <w:t xml:space="preserve">Empowerment is an essential component of community engagement in Deljana's project. Project managers, communication officers, social media administrators, local transport authorities, charities, MPs, and highway authorities all play critical roles in the initiative (Pink, 2018).</w:t>
      </w:r>
    </w:p>
    <w:p w:rsidR="00000000" w:rsidDel="00000000" w:rsidP="00000000" w:rsidRDefault="00000000" w:rsidRPr="00000000" w14:paraId="00000063">
      <w:pPr>
        <w:rPr/>
      </w:pPr>
      <w:r w:rsidDel="00000000" w:rsidR="00000000" w:rsidRPr="00000000">
        <w:rPr>
          <w:rtl w:val="0"/>
        </w:rPr>
        <w:t xml:space="preserve">Relationships between the various stakeholders are also significant in Deljana's project. The LA provides funding, charities provide personnel and volunteers, banks provide financing, and construction/building companies provide detailed information about project design.</w:t>
      </w:r>
    </w:p>
    <w:p w:rsidR="00000000" w:rsidDel="00000000" w:rsidP="00000000" w:rsidRDefault="00000000" w:rsidRPr="00000000" w14:paraId="00000064">
      <w:pPr>
        <w:rPr/>
      </w:pPr>
      <w:r w:rsidDel="00000000" w:rsidR="00000000" w:rsidRPr="00000000">
        <w:rPr>
          <w:rtl w:val="0"/>
        </w:rPr>
        <w:t xml:space="preserve">Communication is a crucial aspect of community engagement in Deljana's project. Updates on the project are posted on social media, plans for the project are shared through different media, online surveys are conducted, open events are organized, and feedback from the community is regularly sought (Thomas, 2017).</w:t>
      </w:r>
    </w:p>
    <w:p w:rsidR="00000000" w:rsidDel="00000000" w:rsidP="00000000" w:rsidRDefault="00000000" w:rsidRPr="00000000" w14:paraId="00000065">
      <w:pPr>
        <w:rPr/>
      </w:pPr>
      <w:r w:rsidDel="00000000" w:rsidR="00000000" w:rsidRPr="00000000">
        <w:rPr>
          <w:rtl w:val="0"/>
        </w:rPr>
        <w:t xml:space="preserve">The outcomes of Deljana's project can be positive, negative, or neutral. Positive outcomes include project commencement, submission of plans, and the proposal of new concepts. The project is monitored through reviews, feedback, online surveys, and local elections.</w:t>
      </w:r>
    </w:p>
    <w:p w:rsidR="00000000" w:rsidDel="00000000" w:rsidP="00000000" w:rsidRDefault="00000000" w:rsidRPr="00000000" w14:paraId="00000066">
      <w:pPr>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1"/>
        <w:rPr/>
      </w:pPr>
      <w:bookmarkStart w:colFirst="0" w:colLast="0" w:name="_26in1rg" w:id="12"/>
      <w:bookmarkEnd w:id="12"/>
      <w:r w:rsidDel="00000000" w:rsidR="00000000" w:rsidRPr="00000000">
        <w:rPr>
          <w:rtl w:val="0"/>
        </w:rPr>
        <w:t xml:space="preserve">Conclusion</w:t>
      </w:r>
    </w:p>
    <w:p w:rsidR="00000000" w:rsidDel="00000000" w:rsidP="00000000" w:rsidRDefault="00000000" w:rsidRPr="00000000" w14:paraId="00000068">
      <w:pPr>
        <w:rPr/>
      </w:pPr>
      <w:r w:rsidDel="00000000" w:rsidR="00000000" w:rsidRPr="00000000">
        <w:rPr>
          <w:rtl w:val="0"/>
        </w:rPr>
        <w:t xml:space="preserve">This report has discussed the idea of Deljana's Project, a community-driven project to address homelessness in Birmingham. The report has outlined the purpose of the project and the strategies that will be used to ensure full community engagement and participation. It has also discussed the PESTLE analysis related to the project, and the demographics, climate, and participation levels of the community. Finally, the report has reflected on the similarities and differences between the Big Local Initiative and Deljana's Project and discussed the various stakeholders involved in the project and their roles in the community engagement process. Overall, Deljana's Project aims to make a lasting difference in the lives of those experiencing homelessness in Birmingham (Freire, 2018). By bringing together stakeholders, engaging the community, and using effective communication strategies, the project hopes to create a safe, inclusive environment that is conducive to positive change.</w:t>
      </w:r>
    </w:p>
    <w:p w:rsidR="00000000" w:rsidDel="00000000" w:rsidP="00000000" w:rsidRDefault="00000000" w:rsidRPr="00000000" w14:paraId="00000069">
      <w:pPr>
        <w:rPr/>
      </w:pPr>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1"/>
        <w:rPr/>
      </w:pPr>
      <w:bookmarkStart w:colFirst="0" w:colLast="0" w:name="_lnxbz9" w:id="13"/>
      <w:bookmarkEnd w:id="13"/>
      <w:r w:rsidDel="00000000" w:rsidR="00000000" w:rsidRPr="00000000">
        <w:rPr>
          <w:rtl w:val="0"/>
        </w:rPr>
        <w:t xml:space="preserve">References</w:t>
      </w:r>
    </w:p>
    <w:p w:rsidR="00000000" w:rsidDel="00000000" w:rsidP="00000000" w:rsidRDefault="00000000" w:rsidRPr="00000000" w14:paraId="0000006B">
      <w:pPr>
        <w:rPr/>
      </w:pPr>
      <w:r w:rsidDel="00000000" w:rsidR="00000000" w:rsidRPr="00000000">
        <w:rPr>
          <w:rtl w:val="0"/>
        </w:rPr>
        <w:t xml:space="preserve">Arnstein, S. R., 2019. A ladder of citizen participation. Journal of the American Institute of Planners, 35(4), 216-224.</w:t>
      </w:r>
    </w:p>
    <w:p w:rsidR="00000000" w:rsidDel="00000000" w:rsidP="00000000" w:rsidRDefault="00000000" w:rsidRPr="00000000" w14:paraId="0000006C">
      <w:pPr>
        <w:rPr/>
      </w:pPr>
      <w:r w:rsidDel="00000000" w:rsidR="00000000" w:rsidRPr="00000000">
        <w:rPr>
          <w:rtl w:val="0"/>
        </w:rPr>
        <w:t xml:space="preserve">Bryson, J. M., 2018. Strategic planning for public and nonprofit organizations: A guide to strengthening and sustaining organizational achievement. John Wiley and Sons.</w:t>
      </w:r>
    </w:p>
    <w:p w:rsidR="00000000" w:rsidDel="00000000" w:rsidP="00000000" w:rsidRDefault="00000000" w:rsidRPr="00000000" w14:paraId="0000006D">
      <w:pPr>
        <w:rPr/>
      </w:pPr>
      <w:r w:rsidDel="00000000" w:rsidR="00000000" w:rsidRPr="00000000">
        <w:rPr>
          <w:rtl w:val="0"/>
        </w:rPr>
        <w:t xml:space="preserve">Foley, R. W., and Edwards, B., 2016. A critical approach to participatory action research: The Joint work of John Heron and Peter Reason. Systemic Practice and Action Research, 29(1), 1-14.</w:t>
      </w:r>
    </w:p>
    <w:p w:rsidR="00000000" w:rsidDel="00000000" w:rsidP="00000000" w:rsidRDefault="00000000" w:rsidRPr="00000000" w14:paraId="0000006E">
      <w:pPr>
        <w:rPr/>
      </w:pPr>
      <w:r w:rsidDel="00000000" w:rsidR="00000000" w:rsidRPr="00000000">
        <w:rPr>
          <w:rtl w:val="0"/>
        </w:rPr>
        <w:t xml:space="preserve">Freire, P., 2018. Pedagogy of the oppressed. Bloomsbury Publishing USA.</w:t>
      </w:r>
    </w:p>
    <w:p w:rsidR="00000000" w:rsidDel="00000000" w:rsidP="00000000" w:rsidRDefault="00000000" w:rsidRPr="00000000" w14:paraId="0000006F">
      <w:pPr>
        <w:rPr/>
      </w:pPr>
      <w:r w:rsidDel="00000000" w:rsidR="00000000" w:rsidRPr="00000000">
        <w:rPr>
          <w:rtl w:val="0"/>
        </w:rPr>
        <w:t xml:space="preserve">Hart, A., 2017. Beyond user involvement: Participatory design and user‐centered systems. Journal of Systems and Software, 36(1), 3-14.</w:t>
      </w:r>
    </w:p>
    <w:p w:rsidR="00000000" w:rsidDel="00000000" w:rsidP="00000000" w:rsidRDefault="00000000" w:rsidRPr="00000000" w14:paraId="00000070">
      <w:pPr>
        <w:rPr/>
      </w:pPr>
      <w:r w:rsidDel="00000000" w:rsidR="00000000" w:rsidRPr="00000000">
        <w:rPr>
          <w:rtl w:val="0"/>
        </w:rPr>
        <w:t xml:space="preserve">Hickey, S., and Mohan, G., 2019. Participation: From tyranny to transformation?. Routledge.</w:t>
      </w:r>
    </w:p>
    <w:p w:rsidR="00000000" w:rsidDel="00000000" w:rsidP="00000000" w:rsidRDefault="00000000" w:rsidRPr="00000000" w14:paraId="00000071">
      <w:pPr>
        <w:rPr/>
      </w:pPr>
      <w:r w:rsidDel="00000000" w:rsidR="00000000" w:rsidRPr="00000000">
        <w:rPr>
          <w:rtl w:val="0"/>
        </w:rPr>
        <w:t xml:space="preserve">Huxham, C., and Vangen, S., 2013. Managing to collaborate: The theory and practice of collaborative advantage. Routledge.</w:t>
      </w:r>
    </w:p>
    <w:p w:rsidR="00000000" w:rsidDel="00000000" w:rsidP="00000000" w:rsidRDefault="00000000" w:rsidRPr="00000000" w14:paraId="00000072">
      <w:pPr>
        <w:rPr/>
      </w:pPr>
      <w:r w:rsidDel="00000000" w:rsidR="00000000" w:rsidRPr="00000000">
        <w:rPr>
          <w:rtl w:val="0"/>
        </w:rPr>
        <w:t xml:space="preserve">Huxham, C., and Vangen, S., 2016. Managing to collaborate: The theory and practice of collaborative advantage. Routledge.</w:t>
      </w:r>
    </w:p>
    <w:p w:rsidR="00000000" w:rsidDel="00000000" w:rsidP="00000000" w:rsidRDefault="00000000" w:rsidRPr="00000000" w14:paraId="00000073">
      <w:pPr>
        <w:rPr/>
      </w:pPr>
      <w:r w:rsidDel="00000000" w:rsidR="00000000" w:rsidRPr="00000000">
        <w:rPr>
          <w:rtl w:val="0"/>
        </w:rPr>
        <w:t xml:space="preserve">Johnson, R. B., and Onwuegbuzie, A. J., 2016. Mixed methods research: A research paradigm whose time has come. Educational researcher, 33(7), 14-26.</w:t>
      </w:r>
    </w:p>
    <w:p w:rsidR="00000000" w:rsidDel="00000000" w:rsidP="00000000" w:rsidRDefault="00000000" w:rsidRPr="00000000" w14:paraId="00000074">
      <w:pPr>
        <w:rPr/>
      </w:pPr>
      <w:r w:rsidDel="00000000" w:rsidR="00000000" w:rsidRPr="00000000">
        <w:rPr>
          <w:rtl w:val="0"/>
        </w:rPr>
        <w:t xml:space="preserve">Laverack, G., and Labonte, R., 2015. A planning framework for community empowerment goals within health promotion. Health policy and planning, 30(6), 697-708.</w:t>
      </w:r>
    </w:p>
    <w:p w:rsidR="00000000" w:rsidDel="00000000" w:rsidP="00000000" w:rsidRDefault="00000000" w:rsidRPr="00000000" w14:paraId="00000075">
      <w:pPr>
        <w:rPr/>
      </w:pPr>
      <w:r w:rsidDel="00000000" w:rsidR="00000000" w:rsidRPr="00000000">
        <w:rPr>
          <w:rtl w:val="0"/>
        </w:rPr>
        <w:t xml:space="preserve">Minkler, M., and Wallerstein, N., 2015. Community-based participatory research for health: From process to outcomes. John Wiley and Sons.</w:t>
      </w:r>
    </w:p>
    <w:p w:rsidR="00000000" w:rsidDel="00000000" w:rsidP="00000000" w:rsidRDefault="00000000" w:rsidRPr="00000000" w14:paraId="00000076">
      <w:pPr>
        <w:rPr/>
      </w:pPr>
      <w:r w:rsidDel="00000000" w:rsidR="00000000" w:rsidRPr="00000000">
        <w:rPr>
          <w:rtl w:val="0"/>
        </w:rPr>
        <w:t xml:space="preserve">Pink, D. H., 2018. When: The scientific secrets of perfect timing. Penguin.</w:t>
      </w:r>
    </w:p>
    <w:p w:rsidR="00000000" w:rsidDel="00000000" w:rsidP="00000000" w:rsidRDefault="00000000" w:rsidRPr="00000000" w14:paraId="00000077">
      <w:pPr>
        <w:rPr/>
      </w:pPr>
      <w:r w:rsidDel="00000000" w:rsidR="00000000" w:rsidRPr="00000000">
        <w:rPr>
          <w:rtl w:val="0"/>
        </w:rPr>
        <w:t xml:space="preserve">Pretty, J., and Ward, H., 2021. Social capital and the environment. World Development, 29(2), 209-227.</w:t>
      </w:r>
    </w:p>
    <w:p w:rsidR="00000000" w:rsidDel="00000000" w:rsidP="00000000" w:rsidRDefault="00000000" w:rsidRPr="00000000" w14:paraId="00000078">
      <w:pPr>
        <w:rPr/>
      </w:pPr>
      <w:r w:rsidDel="00000000" w:rsidR="00000000" w:rsidRPr="00000000">
        <w:rPr>
          <w:rtl w:val="0"/>
        </w:rPr>
        <w:t xml:space="preserve">Project Management Institute., 2021. A guide to the project management body of knowledge (PMBOK® guide) (7th ed.). Project Management Institute.</w:t>
      </w:r>
    </w:p>
    <w:p w:rsidR="00000000" w:rsidDel="00000000" w:rsidP="00000000" w:rsidRDefault="00000000" w:rsidRPr="00000000" w14:paraId="00000079">
      <w:pPr>
        <w:rPr/>
      </w:pPr>
      <w:r w:rsidDel="00000000" w:rsidR="00000000" w:rsidRPr="00000000">
        <w:rPr>
          <w:rtl w:val="0"/>
        </w:rPr>
        <w:t xml:space="preserve">Sørensen, E., and Torfing, J., 2021. Enhancing collaborative innovation in the public sector. Administration and Society, 43(8), 842-868.</w:t>
      </w:r>
    </w:p>
    <w:p w:rsidR="00000000" w:rsidDel="00000000" w:rsidP="00000000" w:rsidRDefault="00000000" w:rsidRPr="00000000" w14:paraId="0000007A">
      <w:pPr>
        <w:rPr/>
      </w:pPr>
      <w:r w:rsidDel="00000000" w:rsidR="00000000" w:rsidRPr="00000000">
        <w:rPr>
          <w:rtl w:val="0"/>
        </w:rPr>
        <w:t xml:space="preserve">Stoker, G., 2020. Governance as theory: five propositions. International Social Science Journal, 61(199), 17-28.</w:t>
      </w:r>
    </w:p>
    <w:p w:rsidR="00000000" w:rsidDel="00000000" w:rsidP="00000000" w:rsidRDefault="00000000" w:rsidRPr="00000000" w14:paraId="0000007B">
      <w:pPr>
        <w:rPr/>
      </w:pPr>
      <w:r w:rsidDel="00000000" w:rsidR="00000000" w:rsidRPr="00000000">
        <w:rPr>
          <w:rtl w:val="0"/>
        </w:rPr>
        <w:t xml:space="preserve">Thomas, J. C., 2017. Community engagement principles and practices. Journal of Extension, 55(5), 1-8.</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sz w:val="28"/>
          <w:szCs w:val="28"/>
        </w:rPr>
      </w:pPr>
      <w:r w:rsidDel="00000000" w:rsidR="00000000" w:rsidRPr="00000000">
        <w:rPr>
          <w:rtl w:val="0"/>
        </w:rPr>
      </w:r>
    </w:p>
    <w:p w:rsidR="00000000" w:rsidDel="00000000" w:rsidP="00000000" w:rsidRDefault="00000000" w:rsidRPr="00000000" w14:paraId="0000008A">
      <w:pPr>
        <w:rPr>
          <w:color w:val="6aa84f"/>
          <w:sz w:val="28"/>
          <w:szCs w:val="28"/>
        </w:rPr>
      </w:pPr>
      <w:r w:rsidDel="00000000" w:rsidR="00000000" w:rsidRPr="00000000">
        <w:rPr>
          <w:color w:val="6aa84f"/>
          <w:sz w:val="28"/>
          <w:szCs w:val="28"/>
          <w:rtl w:val="0"/>
        </w:rPr>
        <w:t xml:space="preserve">CPD Record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tbl>
      <w:tblPr>
        <w:tblStyle w:val="Table2"/>
        <w:tblW w:w="496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965"/>
        <w:tblGridChange w:id="0">
          <w:tblGrid>
            <w:gridCol w:w="4965"/>
          </w:tblGrid>
        </w:tblGridChange>
      </w:tblGrid>
      <w:tr>
        <w:trPr>
          <w:cantSplit w:val="0"/>
          <w:trHeight w:val="707.92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1"/>
                <w:sz w:val="26"/>
                <w:szCs w:val="26"/>
              </w:rPr>
            </w:pPr>
            <w:r w:rsidDel="00000000" w:rsidR="00000000" w:rsidRPr="00000000">
              <w:rPr>
                <w:i w:val="1"/>
                <w:sz w:val="26"/>
                <w:szCs w:val="26"/>
                <w:rtl w:val="0"/>
              </w:rPr>
              <w:t xml:space="preserve">Covering the period from:</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1"/>
                <w:sz w:val="26"/>
                <w:szCs w:val="26"/>
              </w:rPr>
            </w:pPr>
            <w:r w:rsidDel="00000000" w:rsidR="00000000" w:rsidRPr="00000000">
              <w:rPr>
                <w:i w:val="1"/>
                <w:sz w:val="26"/>
                <w:szCs w:val="26"/>
                <w:rtl w:val="0"/>
              </w:rPr>
              <w:t xml:space="preserve">To: January to December</w:t>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Key dates:</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January 22</w:t>
      </w:r>
    </w:p>
    <w:p w:rsidR="00000000" w:rsidDel="00000000" w:rsidP="00000000" w:rsidRDefault="00000000" w:rsidRPr="00000000" w14:paraId="00000095">
      <w:pPr>
        <w:rPr/>
      </w:pPr>
      <w:r w:rsidDel="00000000" w:rsidR="00000000" w:rsidRPr="00000000">
        <w:rPr>
          <w:rtl w:val="0"/>
        </w:rPr>
        <w:t xml:space="preserve">February 20</w:t>
      </w:r>
    </w:p>
    <w:p w:rsidR="00000000" w:rsidDel="00000000" w:rsidP="00000000" w:rsidRDefault="00000000" w:rsidRPr="00000000" w14:paraId="00000096">
      <w:pPr>
        <w:rPr/>
      </w:pPr>
      <w:r w:rsidDel="00000000" w:rsidR="00000000" w:rsidRPr="00000000">
        <w:rPr>
          <w:rtl w:val="0"/>
        </w:rPr>
        <w:t xml:space="preserve">Activities:</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Attended an assertiveness techniques workshop on January 22.</w:t>
      </w:r>
    </w:p>
    <w:p w:rsidR="00000000" w:rsidDel="00000000" w:rsidP="00000000" w:rsidRDefault="00000000" w:rsidRPr="00000000" w14:paraId="00000099">
      <w:pPr>
        <w:rPr/>
      </w:pPr>
      <w:r w:rsidDel="00000000" w:rsidR="00000000" w:rsidRPr="00000000">
        <w:rPr>
          <w:rtl w:val="0"/>
        </w:rPr>
        <w:t xml:space="preserve">Applied assertiveness techniques in various situations following the workshop.</w:t>
      </w:r>
    </w:p>
    <w:p w:rsidR="00000000" w:rsidDel="00000000" w:rsidP="00000000" w:rsidRDefault="00000000" w:rsidRPr="00000000" w14:paraId="0000009A">
      <w:pPr>
        <w:rPr/>
      </w:pPr>
      <w:r w:rsidDel="00000000" w:rsidR="00000000" w:rsidRPr="00000000">
        <w:rPr>
          <w:rtl w:val="0"/>
        </w:rPr>
        <w:t xml:space="preserve">Learning outcomes:</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Realized that assertiveness involves communicating from a rational place and that it can lead to greater success.</w:t>
      </w:r>
    </w:p>
    <w:p w:rsidR="00000000" w:rsidDel="00000000" w:rsidP="00000000" w:rsidRDefault="00000000" w:rsidRPr="00000000" w14:paraId="0000009D">
      <w:pPr>
        <w:rPr/>
      </w:pPr>
      <w:r w:rsidDel="00000000" w:rsidR="00000000" w:rsidRPr="00000000">
        <w:rPr>
          <w:rtl w:val="0"/>
        </w:rPr>
        <w:t xml:space="preserve">Learned models like SIN and the broken record technique that can help with assertiveness.</w:t>
      </w:r>
    </w:p>
    <w:p w:rsidR="00000000" w:rsidDel="00000000" w:rsidP="00000000" w:rsidRDefault="00000000" w:rsidRPr="00000000" w14:paraId="0000009E">
      <w:pPr>
        <w:rPr/>
      </w:pPr>
      <w:r w:rsidDel="00000000" w:rsidR="00000000" w:rsidRPr="00000000">
        <w:rPr>
          <w:rtl w:val="0"/>
        </w:rPr>
        <w:t xml:space="preserve">Experienced difficulty in remaining assertive at first but found it became easier with practice.</w:t>
      </w:r>
    </w:p>
    <w:p w:rsidR="00000000" w:rsidDel="00000000" w:rsidP="00000000" w:rsidRDefault="00000000" w:rsidRPr="00000000" w14:paraId="0000009F">
      <w:pPr>
        <w:rPr/>
      </w:pPr>
      <w:r w:rsidDel="00000000" w:rsidR="00000000" w:rsidRPr="00000000">
        <w:rPr>
          <w:rtl w:val="0"/>
        </w:rPr>
        <w:t xml:space="preserve">Influenced positive change in behavior in staff members through assertiveness.</w:t>
      </w:r>
    </w:p>
    <w:p w:rsidR="00000000" w:rsidDel="00000000" w:rsidP="00000000" w:rsidRDefault="00000000" w:rsidRPr="00000000" w14:paraId="000000A0">
      <w:pPr>
        <w:rPr/>
      </w:pPr>
      <w:r w:rsidDel="00000000" w:rsidR="00000000" w:rsidRPr="00000000">
        <w:rPr>
          <w:rtl w:val="0"/>
        </w:rPr>
        <w:t xml:space="preserve">Future actions:</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Concentrate on using assertiveness techniques learned in work and outside of work.</w:t>
      </w:r>
    </w:p>
    <w:p w:rsidR="00000000" w:rsidDel="00000000" w:rsidP="00000000" w:rsidRDefault="00000000" w:rsidRPr="00000000" w14:paraId="000000A3">
      <w:pPr>
        <w:rPr/>
      </w:pPr>
      <w:r w:rsidDel="00000000" w:rsidR="00000000" w:rsidRPr="00000000">
        <w:rPr>
          <w:rtl w:val="0"/>
        </w:rPr>
        <w:t xml:space="preserve">Run a short session on assertiveness for the team and offer one-to-one coaching to anyone who wants it.</w:t>
      </w:r>
    </w:p>
    <w:p w:rsidR="00000000" w:rsidDel="00000000" w:rsidP="00000000" w:rsidRDefault="00000000" w:rsidRPr="00000000" w14:paraId="000000A4">
      <w:pPr>
        <w:rPr/>
      </w:pPr>
      <w:r w:rsidDel="00000000" w:rsidR="00000000" w:rsidRPr="00000000">
        <w:rPr>
          <w:rtl w:val="0"/>
        </w:rPr>
        <w:t xml:space="preserve">Buy the book "Assertiveness at Work" for the team.</w:t>
      </w:r>
    </w:p>
    <w:p w:rsidR="00000000" w:rsidDel="00000000" w:rsidP="00000000" w:rsidRDefault="00000000" w:rsidRPr="00000000" w14:paraId="000000A5">
      <w:pPr>
        <w:rPr/>
      </w:pPr>
      <w:r w:rsidDel="00000000" w:rsidR="00000000" w:rsidRPr="00000000">
        <w:rPr>
          <w:rtl w:val="0"/>
        </w:rPr>
        <w:t xml:space="preserve">Keep a note of major assertiveness successes and failures in the CPD Record for the next three months to continue learning and reflecting.</w:t>
      </w:r>
    </w:p>
    <w:p w:rsidR="00000000" w:rsidDel="00000000" w:rsidP="00000000" w:rsidRDefault="00000000" w:rsidRPr="00000000" w14:paraId="000000A6">
      <w:pPr>
        <w:rPr/>
      </w:pPr>
      <w:r w:rsidDel="00000000" w:rsidR="00000000" w:rsidRPr="00000000">
        <w:rPr>
          <w:rtl w:val="0"/>
        </w:rPr>
        <w:t xml:space="preserve">I hope this summary is helpful for you! Let me know if there is anything else I can assist you with.</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Describe the assertiveness techniques that you learned at the workshop in more detail, including the SIN model and the broken record technique.</w:t>
      </w:r>
    </w:p>
    <w:p w:rsidR="00000000" w:rsidDel="00000000" w:rsidP="00000000" w:rsidRDefault="00000000" w:rsidRPr="00000000" w14:paraId="000000A9">
      <w:pPr>
        <w:rPr/>
      </w:pPr>
      <w:r w:rsidDel="00000000" w:rsidR="00000000" w:rsidRPr="00000000">
        <w:rPr>
          <w:rtl w:val="0"/>
        </w:rPr>
        <w:t xml:space="preserve">Reflect on the challenges you faced in applying assertiveness techniques and how you overcame them.</w:t>
      </w:r>
    </w:p>
    <w:p w:rsidR="00000000" w:rsidDel="00000000" w:rsidP="00000000" w:rsidRDefault="00000000" w:rsidRPr="00000000" w14:paraId="000000AA">
      <w:pPr>
        <w:rPr/>
      </w:pPr>
      <w:r w:rsidDel="00000000" w:rsidR="00000000" w:rsidRPr="00000000">
        <w:rPr>
          <w:rtl w:val="0"/>
        </w:rPr>
        <w:t xml:space="preserve">Describe the positive changes in behavior that you influenced in your staff members and how assertiveness played a role in this.</w:t>
      </w:r>
    </w:p>
    <w:p w:rsidR="00000000" w:rsidDel="00000000" w:rsidP="00000000" w:rsidRDefault="00000000" w:rsidRPr="00000000" w14:paraId="000000AB">
      <w:pPr>
        <w:rPr/>
      </w:pPr>
      <w:r w:rsidDel="00000000" w:rsidR="00000000" w:rsidRPr="00000000">
        <w:rPr>
          <w:rtl w:val="0"/>
        </w:rPr>
        <w:t xml:space="preserve">Identify any areas for improvement in your assertiveness skills and how you plan to address them.</w:t>
      </w:r>
    </w:p>
    <w:p w:rsidR="00000000" w:rsidDel="00000000" w:rsidP="00000000" w:rsidRDefault="00000000" w:rsidRPr="00000000" w14:paraId="000000AC">
      <w:pPr>
        <w:rPr/>
      </w:pPr>
      <w:r w:rsidDel="00000000" w:rsidR="00000000" w:rsidRPr="00000000">
        <w:rPr>
          <w:rtl w:val="0"/>
        </w:rPr>
        <w:t xml:space="preserve">Consider how assertiveness can benefit your personal and professional life beyond your current role, and how you can continue to develop this skill.</w:t>
      </w:r>
    </w:p>
    <w:p w:rsidR="00000000" w:rsidDel="00000000" w:rsidP="00000000" w:rsidRDefault="00000000" w:rsidRPr="00000000" w14:paraId="000000AD">
      <w:pPr>
        <w:rPr/>
      </w:pPr>
      <w:r w:rsidDel="00000000" w:rsidR="00000000" w:rsidRPr="00000000">
        <w:rPr>
          <w:rtl w:val="0"/>
        </w:rPr>
        <w:t xml:space="preserve">Include any feedback you received from your team members on the assertiveness session or coaching you provided.</w:t>
      </w:r>
    </w:p>
    <w:p w:rsidR="00000000" w:rsidDel="00000000" w:rsidP="00000000" w:rsidRDefault="00000000" w:rsidRPr="00000000" w14:paraId="000000AE">
      <w:pPr>
        <w:rPr/>
      </w:pPr>
      <w:r w:rsidDel="00000000" w:rsidR="00000000" w:rsidRPr="00000000">
        <w:rPr>
          <w:rtl w:val="0"/>
        </w:rPr>
        <w:t xml:space="preserve">Reflect on how your assertiveness skills have developed over time, and how your understanding and approach to assertiveness has evolved.</w:t>
      </w:r>
    </w:p>
    <w:p w:rsidR="00000000" w:rsidDel="00000000" w:rsidP="00000000" w:rsidRDefault="00000000" w:rsidRPr="00000000" w14:paraId="000000AF">
      <w:pPr>
        <w:rPr/>
      </w:pPr>
      <w:r w:rsidDel="00000000" w:rsidR="00000000" w:rsidRPr="00000000">
        <w:rPr>
          <w:rtl w:val="0"/>
        </w:rPr>
        <w:t xml:space="preserve">By including these details in your CPD record, you can demonstrate a deeper understanding of assertiveness techniques and their application, as well as your commitment to continued learning and development in this area.</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e74b5"/>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