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4D43998" w:rsidR="00986B43" w:rsidRPr="00432C34" w:rsidRDefault="00986B43" w:rsidP="005D3F07">
            <w:pPr>
              <w:overflowPunct/>
              <w:autoSpaceDE/>
              <w:autoSpaceDN/>
              <w:adjustRightInd/>
              <w:ind w:right="-957"/>
              <w:textAlignment w:val="auto"/>
              <w:rPr>
                <w:rFonts w:ascii="Times New Roman" w:hAnsi="Times New Roman" w:cs="Times New Roman"/>
                <w:b/>
                <w:color w:val="auto"/>
                <w:sz w:val="40"/>
                <w:szCs w:val="40"/>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32C34">
              <w:rPr>
                <w:rFonts w:ascii="Times New Roman" w:hAnsi="Times New Roman" w:cs="Times New Roman"/>
                <w:b/>
                <w:color w:val="auto"/>
                <w:sz w:val="40"/>
                <w:szCs w:val="40"/>
              </w:rPr>
              <w:t>Michelle Workman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73BD054" w:rsidR="009C337F" w:rsidRPr="00432C34" w:rsidRDefault="009C337F" w:rsidP="005D3F07">
            <w:pPr>
              <w:overflowPunct/>
              <w:autoSpaceDE/>
              <w:autoSpaceDN/>
              <w:adjustRightInd/>
              <w:ind w:right="-957"/>
              <w:textAlignment w:val="auto"/>
              <w:rPr>
                <w:rFonts w:ascii="Times New Roman" w:hAnsi="Times New Roman" w:cs="Times New Roman"/>
                <w:b/>
                <w:color w:val="auto"/>
                <w:sz w:val="40"/>
                <w:szCs w:val="40"/>
              </w:rPr>
            </w:pPr>
            <w:r>
              <w:rPr>
                <w:rFonts w:ascii="Times New Roman" w:hAnsi="Times New Roman" w:cs="Times New Roman"/>
                <w:b/>
                <w:color w:val="auto"/>
                <w:sz w:val="48"/>
              </w:rPr>
              <w:t>Email address:</w:t>
            </w:r>
            <w:r w:rsidR="00432C34">
              <w:rPr>
                <w:rFonts w:ascii="Times New Roman" w:hAnsi="Times New Roman" w:cs="Times New Roman"/>
                <w:b/>
                <w:color w:val="auto"/>
                <w:sz w:val="48"/>
              </w:rPr>
              <w:t xml:space="preserve"> </w:t>
            </w:r>
            <w:r w:rsidR="00432C34">
              <w:rPr>
                <w:rFonts w:ascii="Times New Roman" w:hAnsi="Times New Roman" w:cs="Times New Roman"/>
                <w:b/>
                <w:color w:val="auto"/>
                <w:sz w:val="40"/>
                <w:szCs w:val="40"/>
              </w:rPr>
              <w:t>workman132@gmail.com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2B4BB42" w14:textId="7290C1FA" w:rsidR="00432C34" w:rsidRPr="005D3F07" w:rsidRDefault="00432C3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1451804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9880F11" w14:textId="77777777" w:rsidR="00432C34" w:rsidRDefault="00432C34" w:rsidP="00FF7EBB">
            <w:pPr>
              <w:jc w:val="both"/>
              <w:rPr>
                <w:i/>
                <w:sz w:val="24"/>
                <w:szCs w:val="24"/>
              </w:rPr>
            </w:pPr>
          </w:p>
          <w:p w14:paraId="2843A25A" w14:textId="77777777" w:rsidR="00432C34" w:rsidRDefault="00432C34" w:rsidP="00432C34">
            <w:pPr>
              <w:spacing w:line="360" w:lineRule="auto"/>
              <w:rPr>
                <w:b/>
                <w:bCs/>
                <w:color w:val="auto"/>
                <w:sz w:val="24"/>
                <w:szCs w:val="24"/>
                <w:u w:val="single"/>
              </w:rPr>
            </w:pPr>
            <w:r w:rsidRPr="00432C34">
              <w:rPr>
                <w:b/>
                <w:bCs/>
                <w:color w:val="auto"/>
                <w:sz w:val="24"/>
                <w:szCs w:val="24"/>
                <w:u w:val="single"/>
              </w:rPr>
              <w:t>Introduction</w:t>
            </w:r>
          </w:p>
          <w:p w14:paraId="383DAA9C" w14:textId="77777777" w:rsidR="00ED67A2" w:rsidRPr="006B0A73" w:rsidRDefault="00ED67A2" w:rsidP="00ED67A2">
            <w:pPr>
              <w:spacing w:line="360" w:lineRule="auto"/>
              <w:rPr>
                <w:color w:val="auto"/>
                <w:sz w:val="24"/>
                <w:szCs w:val="24"/>
              </w:rPr>
            </w:pPr>
            <w:r w:rsidRPr="006B0A73">
              <w:rPr>
                <w:color w:val="auto"/>
                <w:sz w:val="24"/>
                <w:szCs w:val="24"/>
              </w:rPr>
              <w:t xml:space="preserve">This essay presents a critically reflective case study based on safeguarding work undertaken within my role as a Social Worker in an Integrated Adult Safeguarding Team in Wales. The purpose of this assignment is to analyse a complex safeguarding assessment, demonstrating how legislative frameworks, theoretical perspectives, collaborative working, and professional judgement informed my practice (Thompson, 2020; Welsh Government, 2016). The case focuses on Individual 2 (Ind2), an adult with a learning disability and autism who resides with his mother, who has historically held a significant caregiving role. Safeguarding concerns were raised in relation to potential financial abuse, coercive and controlling behaviours, emotional harm, and restriction of autonomy. Ind2 reported limited access to his finances, lack of understanding of his income, and reliance on small amounts of money provided by his mother. There were also indications of anxiety when discussing food and spending, suggesting possible fear of repercussions within the home environment. Concerns were further compounded by his mother’s involvement in decision-making, </w:t>
            </w:r>
            <w:r w:rsidRPr="006B0A73">
              <w:rPr>
                <w:color w:val="auto"/>
                <w:sz w:val="24"/>
                <w:szCs w:val="24"/>
              </w:rPr>
              <w:lastRenderedPageBreak/>
              <w:t>including managing finances and influencing daily activities, which raised questions regarding the balance between care and control. The case presented significant complexity. Ind2’s capacity appeared to fluctuate within different contexts, with greater confidence and independence demonstrated when away from his mother. In addition, there was extensive historical involvement from services spanning over two decades, highlighting persistent concerns relating to overprotection and barriers to independence. Conflicting narratives between Individual 2 and his mother further complicated the assessment process, alongside ethical tensions inherent in safeguarding practice, particularly the need to balance protection with the promotion of autonomy (Munro, 2011; Taylor, 2017). This essay will critically explore how the case was informed by legislative frameworks and safeguarding guidance, alongside social work theory. It will analyse the assessment process and the integration of information to inform professional judgement, examine the role of collaborative working in managing complexity, and reflect on the interventions implemented. Finally, it will provide critical reflection on learning and development.</w:t>
            </w:r>
          </w:p>
          <w:p w14:paraId="30C6F252" w14:textId="77777777" w:rsidR="00ED67A2" w:rsidRPr="006B0A73" w:rsidRDefault="00ED67A2" w:rsidP="00ED67A2">
            <w:pPr>
              <w:spacing w:line="360" w:lineRule="auto"/>
              <w:rPr>
                <w:color w:val="auto"/>
                <w:sz w:val="24"/>
                <w:szCs w:val="24"/>
              </w:rPr>
            </w:pPr>
          </w:p>
          <w:p w14:paraId="5B4B10D9" w14:textId="77777777" w:rsidR="00ED67A2" w:rsidRPr="006B0A73" w:rsidRDefault="00ED67A2" w:rsidP="00ED67A2">
            <w:pPr>
              <w:spacing w:line="360" w:lineRule="auto"/>
              <w:rPr>
                <w:b/>
                <w:bCs/>
                <w:color w:val="auto"/>
                <w:sz w:val="24"/>
                <w:szCs w:val="24"/>
                <w:u w:val="single"/>
              </w:rPr>
            </w:pPr>
            <w:r w:rsidRPr="006B0A73">
              <w:rPr>
                <w:b/>
                <w:bCs/>
                <w:color w:val="auto"/>
                <w:sz w:val="24"/>
                <w:szCs w:val="24"/>
                <w:u w:val="single"/>
              </w:rPr>
              <w:t>Legislation and policy frameworks</w:t>
            </w:r>
          </w:p>
          <w:p w14:paraId="69D24599" w14:textId="77777777" w:rsidR="00ED67A2" w:rsidRPr="006B0A73" w:rsidRDefault="00ED67A2" w:rsidP="00ED67A2">
            <w:pPr>
              <w:spacing w:line="360" w:lineRule="auto"/>
              <w:rPr>
                <w:color w:val="auto"/>
                <w:sz w:val="24"/>
                <w:szCs w:val="24"/>
              </w:rPr>
            </w:pPr>
            <w:r w:rsidRPr="006B0A73">
              <w:rPr>
                <w:color w:val="auto"/>
                <w:sz w:val="24"/>
                <w:szCs w:val="24"/>
              </w:rPr>
              <w:t>The safeguarding intervention in this case was guided by key legislative and policy frameworks, which shaped both the assessment and decision-making process. Central to practice was the Social Services and Well-being (Wales) Act 2014 (SSWBA14), which places a duty on local authorities to promote well-being and to respond where an adult is at risk of abuse or neglect. Ind2 met the definition of an “adult at risk” due to concerns regarding financial control, restricted autonomy, and emotional distress.</w:t>
            </w:r>
          </w:p>
          <w:p w14:paraId="42C4E695" w14:textId="77777777" w:rsidR="00ED67A2" w:rsidRPr="006B0A73" w:rsidRDefault="00ED67A2" w:rsidP="00ED67A2">
            <w:pPr>
              <w:spacing w:line="360" w:lineRule="auto"/>
              <w:rPr>
                <w:color w:val="auto"/>
                <w:sz w:val="24"/>
                <w:szCs w:val="24"/>
              </w:rPr>
            </w:pPr>
            <w:r w:rsidRPr="006B0A73">
              <w:rPr>
                <w:color w:val="auto"/>
                <w:sz w:val="24"/>
                <w:szCs w:val="24"/>
              </w:rPr>
              <w:t>While the SSWBA14 emphasises voice, choice and control, these principles were not fully realised in practice. It was identified that Ind2 had limited involvement in decisions about his finances and daily life, highlighting an imbalance between protection and autonomy. Reflecting on this, it is evident that well-meaning familial support can inadvertently become restrictive, reinforcing the importance of practitioners actively promoting an individual’s rights alongside their safety.</w:t>
            </w:r>
          </w:p>
          <w:p w14:paraId="16CEC077" w14:textId="77777777" w:rsidR="00ED67A2" w:rsidRPr="006B0A73" w:rsidRDefault="00ED67A2" w:rsidP="00ED67A2">
            <w:pPr>
              <w:spacing w:line="360" w:lineRule="auto"/>
              <w:rPr>
                <w:color w:val="auto"/>
                <w:sz w:val="24"/>
                <w:szCs w:val="24"/>
              </w:rPr>
            </w:pPr>
            <w:r w:rsidRPr="006B0A73">
              <w:rPr>
                <w:color w:val="auto"/>
                <w:sz w:val="24"/>
                <w:szCs w:val="24"/>
              </w:rPr>
              <w:t xml:space="preserve">The Well-being of Future Generations (Wales) Act 2015 further influenced the intervention by encouraging a preventative, person-centred approach. Rather than focusing solely on immediate risk, the safeguarding response aimed to support Ind2 in developing financial and </w:t>
            </w:r>
            <w:r w:rsidRPr="006B0A73">
              <w:rPr>
                <w:color w:val="auto"/>
                <w:sz w:val="24"/>
                <w:szCs w:val="24"/>
              </w:rPr>
              <w:lastRenderedPageBreak/>
              <w:t xml:space="preserve">independent living skills. It showed outcome focused practice and highlighted the issues of translating legislation into positive and meaningful change, </w:t>
            </w:r>
            <w:proofErr w:type="gramStart"/>
            <w:r w:rsidRPr="006B0A73">
              <w:rPr>
                <w:color w:val="auto"/>
                <w:sz w:val="24"/>
                <w:szCs w:val="24"/>
              </w:rPr>
              <w:t>in regard to</w:t>
            </w:r>
            <w:proofErr w:type="gramEnd"/>
            <w:r w:rsidRPr="006B0A73">
              <w:rPr>
                <w:color w:val="auto"/>
                <w:sz w:val="24"/>
                <w:szCs w:val="24"/>
              </w:rPr>
              <w:t xml:space="preserve"> family dynamics. </w:t>
            </w:r>
          </w:p>
          <w:p w14:paraId="14BA6302" w14:textId="77777777" w:rsidR="00ED67A2" w:rsidRPr="006B0A73" w:rsidRDefault="00ED67A2" w:rsidP="00ED67A2">
            <w:pPr>
              <w:spacing w:line="360" w:lineRule="auto"/>
              <w:rPr>
                <w:color w:val="auto"/>
                <w:sz w:val="24"/>
                <w:szCs w:val="24"/>
              </w:rPr>
            </w:pPr>
            <w:r w:rsidRPr="006B0A73">
              <w:rPr>
                <w:color w:val="auto"/>
                <w:sz w:val="24"/>
                <w:szCs w:val="24"/>
              </w:rPr>
              <w:t xml:space="preserve">The Mental Capacity Act 2005 (MCA) was critical in assessing Ind2’s ability to manage his finances. The assessment was completed with a specific question of if he could manage his finances independently. The outcome was significant in challenging the assumptions of the previous workers and family members in their continued control over the current financial situation and that vulnerability was being seen as incapacity. The assessment also raised concerns over lasting power of attorney. </w:t>
            </w:r>
          </w:p>
          <w:p w14:paraId="4D750C08" w14:textId="77777777" w:rsidR="00ED67A2" w:rsidRPr="006B0A73" w:rsidRDefault="00ED67A2" w:rsidP="00ED67A2">
            <w:pPr>
              <w:spacing w:line="360" w:lineRule="auto"/>
              <w:rPr>
                <w:color w:val="auto"/>
                <w:sz w:val="24"/>
                <w:szCs w:val="24"/>
              </w:rPr>
            </w:pPr>
            <w:r w:rsidRPr="006B0A73">
              <w:rPr>
                <w:color w:val="auto"/>
                <w:sz w:val="24"/>
                <w:szCs w:val="24"/>
              </w:rPr>
              <w:t xml:space="preserve">The assessment identified that they had decision-specific capacity with appropriate support. </w:t>
            </w:r>
            <w:proofErr w:type="gramStart"/>
            <w:r w:rsidRPr="006B0A73">
              <w:rPr>
                <w:color w:val="auto"/>
                <w:sz w:val="24"/>
                <w:szCs w:val="24"/>
              </w:rPr>
              <w:t>This findings</w:t>
            </w:r>
            <w:proofErr w:type="gramEnd"/>
            <w:r w:rsidRPr="006B0A73">
              <w:rPr>
                <w:color w:val="auto"/>
                <w:sz w:val="24"/>
                <w:szCs w:val="24"/>
              </w:rPr>
              <w:t xml:space="preserve"> were significant, as it challenged assumptions that vulnerability equated to incapacity. Reflecting on this, the case demonstrated how capacity can be misunderstood in practice, emphasising the need for to remain professionally curious and avoid risk-averse decision-making.</w:t>
            </w:r>
          </w:p>
          <w:p w14:paraId="1E5B739D" w14:textId="77777777" w:rsidR="00ED67A2" w:rsidRPr="006B0A73" w:rsidRDefault="00ED67A2" w:rsidP="00ED67A2">
            <w:pPr>
              <w:spacing w:line="360" w:lineRule="auto"/>
              <w:rPr>
                <w:color w:val="auto"/>
                <w:sz w:val="24"/>
                <w:szCs w:val="24"/>
              </w:rPr>
            </w:pPr>
            <w:r w:rsidRPr="006B0A73">
              <w:rPr>
                <w:color w:val="auto"/>
                <w:sz w:val="24"/>
                <w:szCs w:val="24"/>
              </w:rPr>
              <w:t>The Human Rights Act 1998 provided an important framework for balancing competing rights. Article 8 (right to family life) required sensitivity to the relationship between Ind2 and his mother, while concerns about restrictive practices engaged considerations under Article 3. This created an ethical dilemma, as intervention needed to be proportionate. On reflection, it highlighted the complexity of challenging family dynamics while respecting relationships, and the importance of clearly evidencing harm when considering more intrusive interventions.</w:t>
            </w:r>
          </w:p>
          <w:p w14:paraId="356F064F" w14:textId="77777777" w:rsidR="00ED67A2" w:rsidRPr="006B0A73" w:rsidRDefault="00ED67A2" w:rsidP="00ED67A2">
            <w:pPr>
              <w:spacing w:line="360" w:lineRule="auto"/>
              <w:rPr>
                <w:color w:val="auto"/>
                <w:sz w:val="24"/>
                <w:szCs w:val="24"/>
              </w:rPr>
            </w:pPr>
            <w:r w:rsidRPr="006B0A73">
              <w:rPr>
                <w:color w:val="auto"/>
                <w:sz w:val="24"/>
                <w:szCs w:val="24"/>
              </w:rPr>
              <w:t>The Equality Act 2010 also informed the safeguarding approach by reinforcing Ind2’s right to independence and participation as a person with a disability. Restrictions on financial access and decision-making was viewed as limiting these rights. This prompted reflection on how discrimination can occur subtly within caring relationships, emphasising the importance of advocacy in safeguarding practice.</w:t>
            </w:r>
          </w:p>
          <w:p w14:paraId="7F51C7FB" w14:textId="77777777" w:rsidR="00ED67A2" w:rsidRPr="006B0A73" w:rsidRDefault="00ED67A2" w:rsidP="00ED67A2">
            <w:pPr>
              <w:spacing w:line="360" w:lineRule="auto"/>
              <w:rPr>
                <w:color w:val="auto"/>
                <w:sz w:val="24"/>
                <w:szCs w:val="24"/>
              </w:rPr>
            </w:pPr>
            <w:r w:rsidRPr="006B0A73">
              <w:rPr>
                <w:color w:val="auto"/>
                <w:sz w:val="24"/>
                <w:szCs w:val="24"/>
              </w:rPr>
              <w:t>Effective safeguarding relied on appropriate information sharing, particularly through the (MARF) and subsequent discussions. Multi-agency collaboration ensured a more holistic understanding of risk, though it also highlighted the need for clear, proportionate communication.</w:t>
            </w:r>
          </w:p>
          <w:p w14:paraId="7F71ECBA" w14:textId="77777777" w:rsidR="00ED67A2" w:rsidRPr="006B0A73" w:rsidRDefault="00ED67A2" w:rsidP="00ED67A2">
            <w:pPr>
              <w:spacing w:line="360" w:lineRule="auto"/>
              <w:rPr>
                <w:color w:val="auto"/>
                <w:sz w:val="24"/>
                <w:szCs w:val="24"/>
              </w:rPr>
            </w:pPr>
            <w:r w:rsidRPr="006B0A73">
              <w:rPr>
                <w:color w:val="auto"/>
                <w:sz w:val="24"/>
                <w:szCs w:val="24"/>
              </w:rPr>
              <w:t xml:space="preserve">My practice was guided by The Code of Professional Practice for Social Care Wales, in promoting Ind2’s rights, dignity, autonomy and accountability. I demonstrated this through </w:t>
            </w:r>
            <w:r w:rsidRPr="006B0A73">
              <w:rPr>
                <w:color w:val="auto"/>
                <w:sz w:val="24"/>
                <w:szCs w:val="24"/>
              </w:rPr>
              <w:lastRenderedPageBreak/>
              <w:t xml:space="preserve">maintaining clear records and supervision alongside the legislation to ensure I was proportionate and defensible in my practice. By identifying learning through balancing empowerment with protection and applying professional judgement created positive outcomes without creating unnecessary dependency or restriction. </w:t>
            </w:r>
          </w:p>
          <w:p w14:paraId="5093A836" w14:textId="77777777" w:rsidR="00ED67A2" w:rsidRPr="006B0A73" w:rsidRDefault="00ED67A2" w:rsidP="00ED67A2">
            <w:pPr>
              <w:spacing w:line="360" w:lineRule="auto"/>
              <w:rPr>
                <w:b/>
                <w:bCs/>
                <w:color w:val="auto"/>
                <w:sz w:val="24"/>
                <w:szCs w:val="24"/>
                <w:u w:val="single"/>
              </w:rPr>
            </w:pPr>
            <w:r w:rsidRPr="006B0A73">
              <w:rPr>
                <w:b/>
                <w:bCs/>
                <w:color w:val="auto"/>
                <w:sz w:val="24"/>
                <w:szCs w:val="24"/>
                <w:u w:val="single"/>
              </w:rPr>
              <w:t xml:space="preserve">Apply theory </w:t>
            </w:r>
          </w:p>
          <w:p w14:paraId="4BA8F735" w14:textId="77777777" w:rsidR="00ED67A2" w:rsidRPr="006B0A73" w:rsidRDefault="00ED67A2" w:rsidP="00ED67A2">
            <w:pPr>
              <w:spacing w:line="360" w:lineRule="auto"/>
              <w:rPr>
                <w:color w:val="auto"/>
                <w:sz w:val="24"/>
                <w:szCs w:val="24"/>
              </w:rPr>
            </w:pPr>
            <w:r w:rsidRPr="006B0A73">
              <w:rPr>
                <w:color w:val="auto"/>
                <w:sz w:val="24"/>
                <w:szCs w:val="24"/>
              </w:rPr>
              <w:t>The application of social work theory was central to understanding the complexity of Ind2’s situation and informing a proportionate, rights-based response. A strengths-based approach reframed the assessment by focusing on abilities rather than deficits (</w:t>
            </w:r>
            <w:proofErr w:type="spellStart"/>
            <w:r w:rsidRPr="006B0A73">
              <w:rPr>
                <w:color w:val="auto"/>
                <w:sz w:val="24"/>
                <w:szCs w:val="24"/>
              </w:rPr>
              <w:t>Saleebey</w:t>
            </w:r>
            <w:proofErr w:type="spellEnd"/>
            <w:r w:rsidRPr="006B0A73">
              <w:rPr>
                <w:color w:val="auto"/>
                <w:sz w:val="24"/>
                <w:szCs w:val="24"/>
              </w:rPr>
              <w:t>, 2013). While Ind2 had historically been viewed as lacking capacity, assessment observations demonstrated strengths in social interaction and emerging financial understanding when provided with structured support. This challenged assumptions of incapacity and suggested that limited experience, rather than inability, underpinned previous concerns. Reflecting on this, it highlighted how deficit-focused practice can reinforce dependency by overlooking existing strengths, ultimately restricting opportunities for independence (Thompson, 2020).</w:t>
            </w:r>
          </w:p>
          <w:p w14:paraId="2C20930F" w14:textId="77777777" w:rsidR="00ED67A2" w:rsidRPr="006B0A73" w:rsidRDefault="00ED67A2" w:rsidP="00ED67A2">
            <w:pPr>
              <w:spacing w:line="360" w:lineRule="auto"/>
              <w:rPr>
                <w:color w:val="auto"/>
                <w:sz w:val="24"/>
                <w:szCs w:val="24"/>
              </w:rPr>
            </w:pPr>
            <w:r w:rsidRPr="006B0A73">
              <w:rPr>
                <w:color w:val="auto"/>
                <w:sz w:val="24"/>
                <w:szCs w:val="24"/>
              </w:rPr>
              <w:t>Empowerment theory further informed the intervention by emphasising the need to promote control and participation in decision-making (Adams et al., 2017). Ind2’s limited voice in financial and daily decisions indicated a loss of autonomy, partnered with anxiety when discussing these areas. Interventions such as private visits, advocacy involvement and financial skill-building were therefore essential in creating safe opportunities for him to express his views. This demonstrates that empowerment requires more than offering choice; it involves actively addressing barriers that inhibit participation, particularly within controlling relational dynamics (Preston-Shoot, 2014).</w:t>
            </w:r>
          </w:p>
          <w:p w14:paraId="78B66204" w14:textId="77777777" w:rsidR="00ED67A2" w:rsidRPr="006B0A73" w:rsidRDefault="00ED67A2" w:rsidP="00ED67A2">
            <w:pPr>
              <w:spacing w:line="360" w:lineRule="auto"/>
              <w:rPr>
                <w:color w:val="auto"/>
                <w:sz w:val="24"/>
                <w:szCs w:val="24"/>
              </w:rPr>
            </w:pPr>
            <w:r w:rsidRPr="006B0A73">
              <w:rPr>
                <w:color w:val="auto"/>
                <w:sz w:val="24"/>
                <w:szCs w:val="24"/>
              </w:rPr>
              <w:t>Systems theory provided a broader lens to understand how family and service dynamics contributed to the safeguarding concerns (Bronfenbrenner, 1979; Payne, 2014). The relationship with his mother was characterised by high levels of control, while inconsistent engagement from external services further limited opportunities for independence. This reinforced a restrictive environment over time. Reflecting on this, the case illustrates how risk is not solely individual but shaped by wider relational patterns, requiring coordinated multi-agency responses to both challenge and support change (Frost, 2017).</w:t>
            </w:r>
          </w:p>
          <w:p w14:paraId="07DB1CCE" w14:textId="77777777" w:rsidR="00ED67A2" w:rsidRPr="006B0A73" w:rsidRDefault="00ED67A2" w:rsidP="00ED67A2">
            <w:pPr>
              <w:spacing w:line="360" w:lineRule="auto"/>
              <w:rPr>
                <w:color w:val="auto"/>
                <w:sz w:val="24"/>
                <w:szCs w:val="24"/>
              </w:rPr>
            </w:pPr>
            <w:r w:rsidRPr="006B0A73">
              <w:rPr>
                <w:color w:val="auto"/>
                <w:sz w:val="24"/>
                <w:szCs w:val="24"/>
              </w:rPr>
              <w:t xml:space="preserve">Attachment and dependency theories also offered insight into the emotional dynamics present. There appeared to be elements of enmeshment, where care and control became </w:t>
            </w:r>
            <w:r w:rsidRPr="006B0A73">
              <w:rPr>
                <w:color w:val="auto"/>
                <w:sz w:val="24"/>
                <w:szCs w:val="24"/>
              </w:rPr>
              <w:lastRenderedPageBreak/>
              <w:t>blurred, potentially contributing to learned helplessness (Howe, 2011). Ind2’s reluctance to challenge decisions suggests that his autonomy had diminished over time. This highlights how long-term caregiving, while well-intentioned, can unintentionally limit development, reinforcing the need to focus on outcomes rather than intent (Thompson, 2020).</w:t>
            </w:r>
          </w:p>
          <w:p w14:paraId="7BECCD4B" w14:textId="77777777" w:rsidR="00ED67A2" w:rsidRPr="006B0A73" w:rsidRDefault="00ED67A2" w:rsidP="00ED67A2">
            <w:pPr>
              <w:spacing w:line="360" w:lineRule="auto"/>
              <w:rPr>
                <w:color w:val="auto"/>
                <w:sz w:val="24"/>
                <w:szCs w:val="24"/>
              </w:rPr>
            </w:pPr>
            <w:r w:rsidRPr="006B0A73">
              <w:rPr>
                <w:color w:val="auto"/>
                <w:sz w:val="24"/>
                <w:szCs w:val="24"/>
              </w:rPr>
              <w:t>Risk enablement was particularly important in balancing safety with autonomy. Supporting Ind2 to manage finances, despite the possibility of mistakes, reflected his legal right to make unwise decisions. This required a shift away from risk-averse practice towards enabling safe risk-taking (Kemshall, 2010). The case demonstrated that over-protection can itself be harmful by restricting learning and independence.</w:t>
            </w:r>
          </w:p>
          <w:p w14:paraId="468CBADE" w14:textId="77777777" w:rsidR="00ED67A2" w:rsidRPr="006B0A73" w:rsidRDefault="00ED67A2" w:rsidP="00ED67A2">
            <w:pPr>
              <w:spacing w:line="360" w:lineRule="auto"/>
              <w:rPr>
                <w:color w:val="auto"/>
                <w:sz w:val="24"/>
                <w:szCs w:val="24"/>
              </w:rPr>
            </w:pPr>
            <w:r w:rsidRPr="006B0A73">
              <w:rPr>
                <w:color w:val="auto"/>
                <w:sz w:val="24"/>
                <w:szCs w:val="24"/>
              </w:rPr>
              <w:t>A key reflective insight was recognising the difference between deskilling and incapacity. The capacity assessment confirmed ability with support, reframing the issue from protection to empowerment. This aligns with the view that vulnerability can be socially constructed through restrictive environments (Webb, 2020). Overall, integrating these theories enabled a more nuanced understanding, supporting interventions that promoted autonomy while addressing risk within a complex system (Payne, 2014).</w:t>
            </w:r>
          </w:p>
          <w:p w14:paraId="1FE9C3F9" w14:textId="77777777" w:rsidR="00ED67A2" w:rsidRPr="006B0A73" w:rsidRDefault="00ED67A2" w:rsidP="00ED67A2">
            <w:pPr>
              <w:spacing w:line="360" w:lineRule="auto"/>
              <w:rPr>
                <w:color w:val="auto"/>
                <w:sz w:val="24"/>
                <w:szCs w:val="24"/>
              </w:rPr>
            </w:pPr>
          </w:p>
          <w:p w14:paraId="660FDB75" w14:textId="77777777" w:rsidR="00ED67A2" w:rsidRPr="006B0A73" w:rsidRDefault="00ED67A2" w:rsidP="00ED67A2">
            <w:pPr>
              <w:spacing w:line="360" w:lineRule="auto"/>
              <w:rPr>
                <w:b/>
                <w:bCs/>
                <w:color w:val="auto"/>
                <w:sz w:val="24"/>
                <w:szCs w:val="24"/>
                <w:u w:val="single"/>
              </w:rPr>
            </w:pPr>
            <w:r w:rsidRPr="006B0A73">
              <w:rPr>
                <w:b/>
                <w:bCs/>
                <w:color w:val="auto"/>
                <w:sz w:val="24"/>
                <w:szCs w:val="24"/>
                <w:u w:val="single"/>
              </w:rPr>
              <w:t>Assessment / analysis</w:t>
            </w:r>
          </w:p>
          <w:p w14:paraId="0962F398" w14:textId="77777777" w:rsidR="00ED67A2" w:rsidRPr="006B0A73" w:rsidRDefault="00ED67A2" w:rsidP="00ED67A2">
            <w:pPr>
              <w:spacing w:line="360" w:lineRule="auto"/>
              <w:rPr>
                <w:color w:val="auto"/>
                <w:sz w:val="24"/>
                <w:szCs w:val="24"/>
              </w:rPr>
            </w:pPr>
            <w:r w:rsidRPr="006B0A73">
              <w:rPr>
                <w:color w:val="auto"/>
                <w:sz w:val="24"/>
                <w:szCs w:val="24"/>
              </w:rPr>
              <w:t xml:space="preserve">An enquiry under S126 of the SSWBA14 was essential in understanding safeguarding concerns relating to Ind2, considering financial management, emotional wellbeing, daily living skills, social participation and overall risk. This enabled </w:t>
            </w:r>
            <w:proofErr w:type="spellStart"/>
            <w:proofErr w:type="gramStart"/>
            <w:r w:rsidRPr="006B0A73">
              <w:rPr>
                <w:color w:val="auto"/>
                <w:sz w:val="24"/>
                <w:szCs w:val="24"/>
              </w:rPr>
              <w:t>a</w:t>
            </w:r>
            <w:proofErr w:type="spellEnd"/>
            <w:proofErr w:type="gramEnd"/>
            <w:r w:rsidRPr="006B0A73">
              <w:rPr>
                <w:color w:val="auto"/>
                <w:sz w:val="24"/>
                <w:szCs w:val="24"/>
              </w:rPr>
              <w:t xml:space="preserve"> overall understanding of both immediate issues and underlying influences. </w:t>
            </w:r>
            <w:proofErr w:type="gramStart"/>
            <w:r w:rsidRPr="006B0A73">
              <w:rPr>
                <w:color w:val="auto"/>
                <w:sz w:val="24"/>
                <w:szCs w:val="24"/>
              </w:rPr>
              <w:t>The</w:t>
            </w:r>
            <w:proofErr w:type="gramEnd"/>
            <w:r w:rsidRPr="006B0A73">
              <w:rPr>
                <w:color w:val="auto"/>
                <w:sz w:val="24"/>
                <w:szCs w:val="24"/>
              </w:rPr>
              <w:t xml:space="preserve"> would reflect the importance of situating individuals within their wider social context, rather than viewing concerns in isolation (Milner and O’Byrne, 2009; Parker and Bradley, 2014), and aligns with the person-centred principles of the Social Services and Well-being (Wales) Act 2014.</w:t>
            </w:r>
          </w:p>
          <w:p w14:paraId="3427CAC3" w14:textId="77777777" w:rsidR="00ED67A2" w:rsidRPr="006B0A73" w:rsidRDefault="00ED67A2" w:rsidP="00ED67A2">
            <w:pPr>
              <w:spacing w:line="360" w:lineRule="auto"/>
              <w:rPr>
                <w:color w:val="auto"/>
                <w:sz w:val="24"/>
                <w:szCs w:val="24"/>
              </w:rPr>
            </w:pPr>
            <w:r w:rsidRPr="006B0A73">
              <w:rPr>
                <w:color w:val="auto"/>
                <w:sz w:val="24"/>
                <w:szCs w:val="24"/>
              </w:rPr>
              <w:t xml:space="preserve">Financial assessment identified significant concerns regarding autonomy and transparency. Ind2 reported receiving £10 per week without access to his bank account or a clear understanding of his income, suggesting potential financial control, particularly when considered alongside concerns about direct payment management. Restricted financial access may indicate abuse and limits opportunities for independence, as control over resources can reinforce dependency and reduce self-determination (SCIE, 2020). It </w:t>
            </w:r>
            <w:r w:rsidRPr="006B0A73">
              <w:rPr>
                <w:color w:val="auto"/>
                <w:sz w:val="24"/>
                <w:szCs w:val="24"/>
              </w:rPr>
              <w:lastRenderedPageBreak/>
              <w:t>highlighted the need to critically examine the financial arrangements for hidden controlling dynamics.</w:t>
            </w:r>
          </w:p>
          <w:p w14:paraId="759A6BAF" w14:textId="77777777" w:rsidR="00ED67A2" w:rsidRPr="006B0A73" w:rsidRDefault="00ED67A2" w:rsidP="00ED67A2">
            <w:pPr>
              <w:spacing w:line="360" w:lineRule="auto"/>
              <w:rPr>
                <w:color w:val="auto"/>
                <w:sz w:val="24"/>
                <w:szCs w:val="24"/>
              </w:rPr>
            </w:pPr>
            <w:r w:rsidRPr="006B0A73">
              <w:rPr>
                <w:color w:val="auto"/>
                <w:sz w:val="24"/>
                <w:szCs w:val="24"/>
              </w:rPr>
              <w:t>Ind2 demonstrated anxiety and hesitation, particularly when discussing finances and food, and referred to “getting into trouble.” Such language indicates a fear-based response and a possible imbalance of power. The importance of analysing both what Ind2 said and how they communicated, especially where expression may be restricted is integral to the risks assessed. These behavioural indicators are recognised within safeguarding as signs of psychological harm and coercive control (Braye et al., 2015; Stark, 2007).</w:t>
            </w:r>
          </w:p>
          <w:p w14:paraId="40221867" w14:textId="77777777" w:rsidR="00ED67A2" w:rsidRPr="006B0A73" w:rsidRDefault="00ED67A2" w:rsidP="00ED67A2">
            <w:pPr>
              <w:spacing w:line="360" w:lineRule="auto"/>
              <w:rPr>
                <w:color w:val="auto"/>
                <w:sz w:val="24"/>
                <w:szCs w:val="24"/>
              </w:rPr>
            </w:pPr>
            <w:r w:rsidRPr="006B0A73">
              <w:rPr>
                <w:color w:val="auto"/>
                <w:sz w:val="24"/>
                <w:szCs w:val="24"/>
              </w:rPr>
              <w:t>Exploration of daily living skills revealed a gap between ability and opportunity. While Ind2 expressed a desire to develop skills such as cooking, budgeting and independent travel, opportunities appeared limited. It reflected deskilling, where lack of opportunity, rather than ability, reduces independence over time (Thompson, 2016). From a safeguarding perspective, overly protective environments may inadvertently contribute to long-term vulnerability (</w:t>
            </w:r>
            <w:proofErr w:type="spellStart"/>
            <w:r w:rsidRPr="006B0A73">
              <w:rPr>
                <w:color w:val="auto"/>
                <w:sz w:val="24"/>
                <w:szCs w:val="24"/>
              </w:rPr>
              <w:t>Lymbery</w:t>
            </w:r>
            <w:proofErr w:type="spellEnd"/>
            <w:r w:rsidRPr="006B0A73">
              <w:rPr>
                <w:color w:val="auto"/>
                <w:sz w:val="24"/>
                <w:szCs w:val="24"/>
              </w:rPr>
              <w:t>, 2019), where restrictive care can undermine autonomy.</w:t>
            </w:r>
          </w:p>
          <w:p w14:paraId="770EFCC2" w14:textId="77777777" w:rsidR="00ED67A2" w:rsidRPr="006B0A73" w:rsidRDefault="00ED67A2" w:rsidP="00ED67A2">
            <w:pPr>
              <w:spacing w:line="360" w:lineRule="auto"/>
              <w:rPr>
                <w:color w:val="auto"/>
                <w:sz w:val="24"/>
                <w:szCs w:val="24"/>
              </w:rPr>
            </w:pPr>
            <w:r w:rsidRPr="006B0A73">
              <w:rPr>
                <w:color w:val="auto"/>
                <w:sz w:val="24"/>
                <w:szCs w:val="24"/>
              </w:rPr>
              <w:t>Ind2 engaged positively in community settings, it highlighted both strengths and vulnerabilities. however, inconsistent support, particularly following withdrawal of personal assistant provision, reduced access and increased reliance on his mother, illustrated how gaps in service provision can heighten safeguarding risks, particularly when combined with restrictive family dynamics (Welsh Government, 2018).</w:t>
            </w:r>
          </w:p>
          <w:p w14:paraId="15039A69" w14:textId="77777777" w:rsidR="00ED67A2" w:rsidRPr="006B0A73" w:rsidRDefault="00ED67A2" w:rsidP="00ED67A2">
            <w:pPr>
              <w:spacing w:line="360" w:lineRule="auto"/>
              <w:rPr>
                <w:color w:val="auto"/>
                <w:sz w:val="24"/>
                <w:szCs w:val="24"/>
              </w:rPr>
            </w:pPr>
            <w:r w:rsidRPr="006B0A73">
              <w:rPr>
                <w:color w:val="auto"/>
                <w:sz w:val="24"/>
                <w:szCs w:val="24"/>
              </w:rPr>
              <w:t>The risk analysis highlighted concerns around financial abuse, emotional harm, coercive control, neglect and emerging online risks, outlining the complexity of safeguarding and the need for proportionate, evidence-based responses (Care Inspectorate Wales, 2021). A Key strength was drawing on a range of information, sources, including direct engagement, observations and multi-agency input, to support a balanced and informed analysis (Munro, 2011).</w:t>
            </w:r>
          </w:p>
          <w:p w14:paraId="46477267" w14:textId="77777777" w:rsidR="00ED67A2" w:rsidRPr="006B0A73" w:rsidRDefault="00ED67A2" w:rsidP="00ED67A2">
            <w:pPr>
              <w:spacing w:line="360" w:lineRule="auto"/>
              <w:rPr>
                <w:color w:val="auto"/>
                <w:sz w:val="24"/>
                <w:szCs w:val="24"/>
              </w:rPr>
            </w:pPr>
            <w:r w:rsidRPr="006B0A73">
              <w:rPr>
                <w:color w:val="auto"/>
                <w:sz w:val="24"/>
                <w:szCs w:val="24"/>
              </w:rPr>
              <w:t>Recording strengthened the assessment by evidencing patterns over time. Chronological records (2004–2026) demonstrated cumulative concerns, supporting informed decision-making. While individual issues may not have met safeguarding thresholds, collectively they evidenced sustained impact on autonomy and wellbeing (Taylor, 2017). Poor recording can risk fragmented understanding, unsafe decisions and unrecognised harm, whereas robust recording promotes defensible decision-making, accountability and continuity of care.</w:t>
            </w:r>
          </w:p>
          <w:p w14:paraId="3DFCC577" w14:textId="77777777" w:rsidR="00ED67A2" w:rsidRPr="006B0A73" w:rsidRDefault="00ED67A2" w:rsidP="00ED67A2">
            <w:pPr>
              <w:spacing w:line="360" w:lineRule="auto"/>
              <w:rPr>
                <w:color w:val="auto"/>
                <w:sz w:val="24"/>
                <w:szCs w:val="24"/>
              </w:rPr>
            </w:pPr>
            <w:r w:rsidRPr="006B0A73">
              <w:rPr>
                <w:color w:val="auto"/>
                <w:sz w:val="24"/>
                <w:szCs w:val="24"/>
              </w:rPr>
              <w:lastRenderedPageBreak/>
              <w:t>Consideration of Ind2’s mother’s caregiving role highlighted the pressures associated with long-term care. While her actions raised safeguarding concerns, they may reflect anxiety and unmet support needs, emphasising the importance of carers’ assessments in reducing reliance on restrictive practices.</w:t>
            </w:r>
          </w:p>
          <w:p w14:paraId="25303D39" w14:textId="77777777" w:rsidR="00ED67A2" w:rsidRPr="006B0A73" w:rsidRDefault="00ED67A2" w:rsidP="00ED67A2">
            <w:pPr>
              <w:spacing w:line="360" w:lineRule="auto"/>
              <w:rPr>
                <w:color w:val="auto"/>
                <w:sz w:val="24"/>
                <w:szCs w:val="24"/>
              </w:rPr>
            </w:pPr>
            <w:r w:rsidRPr="006B0A73">
              <w:rPr>
                <w:color w:val="auto"/>
                <w:sz w:val="24"/>
                <w:szCs w:val="24"/>
              </w:rPr>
              <w:t>Throughout, the assessment I maintained a focus on meaningful outcomes for Ind2, including increased independence, improved financial understanding and enhanced decision-making confidence. This reflected an outcomes-focused approach, where success is measured through improved autonomy and quality of life alongside risk reduction.</w:t>
            </w:r>
          </w:p>
          <w:p w14:paraId="46A98920" w14:textId="77777777" w:rsidR="00ED67A2" w:rsidRPr="006B0A73" w:rsidRDefault="00ED67A2" w:rsidP="00ED67A2">
            <w:pPr>
              <w:spacing w:line="360" w:lineRule="auto"/>
              <w:rPr>
                <w:b/>
                <w:bCs/>
                <w:color w:val="auto"/>
                <w:sz w:val="24"/>
                <w:szCs w:val="24"/>
                <w:u w:val="single"/>
              </w:rPr>
            </w:pPr>
            <w:r w:rsidRPr="006B0A73">
              <w:rPr>
                <w:b/>
                <w:bCs/>
                <w:color w:val="auto"/>
                <w:sz w:val="24"/>
                <w:szCs w:val="24"/>
                <w:u w:val="single"/>
              </w:rPr>
              <w:t>Professional decision making</w:t>
            </w:r>
          </w:p>
          <w:p w14:paraId="70FE6D29" w14:textId="77777777" w:rsidR="00ED67A2" w:rsidRPr="006B0A73" w:rsidRDefault="00ED67A2" w:rsidP="00ED67A2">
            <w:pPr>
              <w:spacing w:line="360" w:lineRule="auto"/>
              <w:rPr>
                <w:color w:val="auto"/>
                <w:sz w:val="24"/>
                <w:szCs w:val="24"/>
              </w:rPr>
            </w:pPr>
            <w:r w:rsidRPr="006B0A73">
              <w:rPr>
                <w:color w:val="auto"/>
                <w:sz w:val="24"/>
                <w:szCs w:val="24"/>
              </w:rPr>
              <w:t>Professional judgement was central to the safeguarding process, requiring ongoing reflection and adaptation as new information emerged. A key decision involved determining that the threshold for a Section 126 safeguarding enquiry under the Social Services and Well-being (Wales) Act 2014 had been met (Welsh Government, 2014). This judgement was based not on a single incident, but on cumulative concerns relating to financial restriction, emotional distress and limited autonomy. Initially, there was uncertainty as to whether these reflected protective parenting or abuse. However, the persistence and consistency of concerns, supported by historical records, indicated the need for intervention. This reinforces the importance of understanding risk cumulatively rather than in isolation (Munro, 2011).</w:t>
            </w:r>
          </w:p>
          <w:p w14:paraId="6BAEA43F" w14:textId="77777777" w:rsidR="00ED67A2" w:rsidRPr="006B0A73" w:rsidRDefault="00ED67A2" w:rsidP="00ED67A2">
            <w:pPr>
              <w:spacing w:line="360" w:lineRule="auto"/>
              <w:rPr>
                <w:color w:val="auto"/>
                <w:sz w:val="24"/>
                <w:szCs w:val="24"/>
              </w:rPr>
            </w:pPr>
            <w:r w:rsidRPr="006B0A73">
              <w:rPr>
                <w:color w:val="auto"/>
                <w:sz w:val="24"/>
                <w:szCs w:val="24"/>
              </w:rPr>
              <w:t>Reassessing capacity was another critical point of judgement. While previous assumptions suggested limited ability, the Mental Capacity Assessment found that Ind2 had decision-specific capacity with appropriate support. This significantly shifted the focus from protection to empowerment, confirming that financial decisions should rest with him (Dunn et al., 2010). Reflecting on this, it highlighted the risk of equating vulnerability with incapacity and the importance of grounding decisions in evidence rather than perception.</w:t>
            </w:r>
          </w:p>
          <w:p w14:paraId="25DFE386" w14:textId="77777777" w:rsidR="00ED67A2" w:rsidRPr="006B0A73" w:rsidRDefault="00ED67A2" w:rsidP="00ED67A2">
            <w:pPr>
              <w:spacing w:line="360" w:lineRule="auto"/>
              <w:rPr>
                <w:color w:val="auto"/>
                <w:sz w:val="24"/>
                <w:szCs w:val="24"/>
              </w:rPr>
            </w:pPr>
            <w:r w:rsidRPr="006B0A73">
              <w:rPr>
                <w:color w:val="auto"/>
                <w:sz w:val="24"/>
                <w:szCs w:val="24"/>
              </w:rPr>
              <w:t>Ind2 mother appeared committed to supporting him, her management of his finances limited his independence. This raised an ethical dilemma, safeguarding should focus on the impact of actions rather than intent (Braye et al., 2015.) The lack of transparency with bank statements and accounts and the involvement in decision making reflected indicators of financial abuse.</w:t>
            </w:r>
          </w:p>
          <w:p w14:paraId="19284F0B" w14:textId="77777777" w:rsidR="00ED67A2" w:rsidRPr="006B0A73" w:rsidRDefault="00ED67A2" w:rsidP="00ED67A2">
            <w:pPr>
              <w:spacing w:line="360" w:lineRule="auto"/>
              <w:rPr>
                <w:color w:val="auto"/>
                <w:sz w:val="24"/>
                <w:szCs w:val="24"/>
              </w:rPr>
            </w:pPr>
            <w:r w:rsidRPr="006B0A73">
              <w:rPr>
                <w:color w:val="auto"/>
                <w:sz w:val="24"/>
                <w:szCs w:val="24"/>
              </w:rPr>
              <w:lastRenderedPageBreak/>
              <w:t xml:space="preserve">Another challenge that required professional decision making was recognising the impact of family dynamics. Ind2 was more open during private discussions than when his mother was present. It suggested that Ind2 may not have felt able to express himself freely. Coordinated visits to Ind2 when not in the presence of his mother along with advocacy support helped ensure his voice remained central to the safeguarding process, reflecting person centred practice (Adams et al., 2017). My decision making was strengthened by combining evidence from capacity assessments, historical records, and observations, supporting a balanced and defensible analysis (Taylor, 2017). </w:t>
            </w:r>
          </w:p>
          <w:p w14:paraId="3A6D17C9" w14:textId="77777777" w:rsidR="00ED67A2" w:rsidRPr="006B0A73" w:rsidRDefault="00ED67A2" w:rsidP="00ED67A2">
            <w:pPr>
              <w:spacing w:line="360" w:lineRule="auto"/>
              <w:rPr>
                <w:color w:val="auto"/>
                <w:sz w:val="24"/>
                <w:szCs w:val="24"/>
              </w:rPr>
            </w:pPr>
            <w:r w:rsidRPr="006B0A73">
              <w:rPr>
                <w:color w:val="auto"/>
                <w:sz w:val="24"/>
                <w:szCs w:val="24"/>
              </w:rPr>
              <w:t xml:space="preserve">The actions for this case involved balancing family relationships with the need to support Ind2’s want for independence, whilst maintaining engagement with his mother and address practices that limited his autonomy and balance his right to make unwise decisions with the need to manage risk (Banks, 2012). It showed the ethical challenges are often present in safeguarding work. The response was proportionate to the risks identified, including the removal of direct payments, an agency led care package and escalation to a multi-agency strategy meeting, demonstrating the value of collaborative decision making (SCIE, 2020). As the case progressed, professional judgement developed through ongoing evidence gathering and reflection, reinforcing the importance of combining legal knowledge, ethical reasoning and analytical thinking to support autonomy and wellbeing. </w:t>
            </w:r>
          </w:p>
          <w:p w14:paraId="06365C1B" w14:textId="77777777" w:rsidR="00ED67A2" w:rsidRPr="006B0A73" w:rsidRDefault="00ED67A2" w:rsidP="00ED67A2">
            <w:pPr>
              <w:spacing w:line="360" w:lineRule="auto"/>
              <w:rPr>
                <w:b/>
                <w:bCs/>
                <w:color w:val="auto"/>
                <w:sz w:val="24"/>
                <w:szCs w:val="24"/>
                <w:u w:val="single"/>
              </w:rPr>
            </w:pPr>
            <w:r w:rsidRPr="006B0A73">
              <w:rPr>
                <w:b/>
                <w:bCs/>
                <w:color w:val="auto"/>
                <w:sz w:val="24"/>
                <w:szCs w:val="24"/>
                <w:u w:val="single"/>
              </w:rPr>
              <w:t>Collaborative working</w:t>
            </w:r>
          </w:p>
          <w:p w14:paraId="6E78225E" w14:textId="77777777" w:rsidR="00ED67A2" w:rsidRPr="006B0A73" w:rsidRDefault="00ED67A2" w:rsidP="00ED67A2">
            <w:pPr>
              <w:spacing w:line="360" w:lineRule="auto"/>
              <w:rPr>
                <w:color w:val="auto"/>
                <w:sz w:val="24"/>
                <w:szCs w:val="24"/>
              </w:rPr>
            </w:pPr>
            <w:r w:rsidRPr="006B0A73">
              <w:rPr>
                <w:color w:val="auto"/>
                <w:sz w:val="24"/>
                <w:szCs w:val="24"/>
              </w:rPr>
              <w:t>Collaborative working was central to the safeguarding process, enabling a coordinated and holistic response to concerns relating to Ind2. Multi-agency involvement included the Adult Community Team, Direct Payments team, advocacy services and input from his sister, providing a range of perspectives that strengthened analysis and ensured a balanced, wellbeing-focused approach. Effective partnership working is widely recognised as essential in complex safeguarding contexts, particularly where family dynamics and risk intersect (Frost, 2017).</w:t>
            </w:r>
          </w:p>
          <w:p w14:paraId="11CB5096" w14:textId="77777777" w:rsidR="00ED67A2" w:rsidRPr="006B0A73" w:rsidRDefault="00ED67A2" w:rsidP="00ED67A2">
            <w:pPr>
              <w:spacing w:line="360" w:lineRule="auto"/>
              <w:rPr>
                <w:color w:val="auto"/>
                <w:sz w:val="24"/>
                <w:szCs w:val="24"/>
              </w:rPr>
            </w:pPr>
            <w:r w:rsidRPr="006B0A73">
              <w:rPr>
                <w:color w:val="auto"/>
                <w:sz w:val="24"/>
                <w:szCs w:val="24"/>
              </w:rPr>
              <w:t xml:space="preserve">Communication was integral to this collaboration. Approaches were adapted to meet Ind2’s needs </w:t>
            </w:r>
            <w:proofErr w:type="gramStart"/>
            <w:r w:rsidRPr="006B0A73">
              <w:rPr>
                <w:color w:val="auto"/>
                <w:sz w:val="24"/>
                <w:szCs w:val="24"/>
              </w:rPr>
              <w:t>through the use of</w:t>
            </w:r>
            <w:proofErr w:type="gramEnd"/>
            <w:r w:rsidRPr="006B0A73">
              <w:rPr>
                <w:color w:val="auto"/>
                <w:sz w:val="24"/>
                <w:szCs w:val="24"/>
              </w:rPr>
              <w:t xml:space="preserve"> easy-read materials, repetition and visual tools, supporting his understanding, particularly regarding finances, and enabling him to demonstrate decision-making ability. It reflected the importance of adapting professional processes to the </w:t>
            </w:r>
            <w:r w:rsidRPr="006B0A73">
              <w:rPr>
                <w:color w:val="auto"/>
                <w:sz w:val="24"/>
                <w:szCs w:val="24"/>
              </w:rPr>
              <w:lastRenderedPageBreak/>
              <w:t>individual rather than expecting individuals to conform to standard systems (Thompson, 2016), promoting meaningful participation and ensuring his voice remained central.</w:t>
            </w:r>
          </w:p>
          <w:p w14:paraId="3FDF3547" w14:textId="77777777" w:rsidR="00ED67A2" w:rsidRPr="006B0A73" w:rsidRDefault="00ED67A2" w:rsidP="00ED67A2">
            <w:pPr>
              <w:spacing w:line="360" w:lineRule="auto"/>
              <w:rPr>
                <w:color w:val="auto"/>
                <w:sz w:val="24"/>
                <w:szCs w:val="24"/>
              </w:rPr>
            </w:pPr>
            <w:r w:rsidRPr="006B0A73">
              <w:rPr>
                <w:color w:val="auto"/>
                <w:sz w:val="24"/>
                <w:szCs w:val="24"/>
              </w:rPr>
              <w:t>Managing emotional responses was also key. His mother often presented with frustration and defensiveness, requiring clear communication, boundary setting and de-escalation to maintain engagement. In contrast, Ind2 demonstrated anxiety and withdrawal when discussing sensitive issues. The involvement of an independent advocate was therefore crucial, providing a safe space for him to express his views and helping to address power imbalances (Morrison, 2007).</w:t>
            </w:r>
          </w:p>
          <w:p w14:paraId="710BB3C4" w14:textId="77777777" w:rsidR="00ED67A2" w:rsidRPr="006B0A73" w:rsidRDefault="00ED67A2" w:rsidP="00ED67A2">
            <w:pPr>
              <w:spacing w:line="360" w:lineRule="auto"/>
              <w:rPr>
                <w:color w:val="auto"/>
                <w:sz w:val="24"/>
                <w:szCs w:val="24"/>
              </w:rPr>
            </w:pPr>
            <w:r w:rsidRPr="006B0A73">
              <w:rPr>
                <w:color w:val="auto"/>
                <w:sz w:val="24"/>
                <w:szCs w:val="24"/>
              </w:rPr>
              <w:t>Information sharing was proportionate and consistent with safeguarding principles. The use of shared documentation, including MARFs and assessments, supported a comprehensive understanding of risk and reduced fragmented responses (HM Government, 2018).</w:t>
            </w:r>
          </w:p>
          <w:p w14:paraId="68FC5146" w14:textId="77777777" w:rsidR="00ED67A2" w:rsidRPr="006B0A73" w:rsidRDefault="00ED67A2" w:rsidP="00ED67A2">
            <w:pPr>
              <w:spacing w:line="360" w:lineRule="auto"/>
              <w:rPr>
                <w:color w:val="auto"/>
                <w:sz w:val="24"/>
                <w:szCs w:val="24"/>
              </w:rPr>
            </w:pPr>
            <w:r w:rsidRPr="006B0A73">
              <w:rPr>
                <w:color w:val="auto"/>
                <w:sz w:val="24"/>
                <w:szCs w:val="24"/>
              </w:rPr>
              <w:t>Overall, collaborative working strengthened decision-making and intervention. However, earlier coordination may have reduced the long-term impact of concerns, highlighting the importance of timely, proactive partnership working (Munro, 2011). Since qualifying, I have developed greater confidence in adapting communication, managing conflict within family dynamics, and using advocacy and structured tools to support meaningful participation in safeguarding processes.</w:t>
            </w:r>
          </w:p>
          <w:p w14:paraId="32C6DA00" w14:textId="77777777" w:rsidR="00ED67A2" w:rsidRPr="006B0A73" w:rsidRDefault="00ED67A2" w:rsidP="00ED67A2">
            <w:pPr>
              <w:spacing w:line="360" w:lineRule="auto"/>
              <w:rPr>
                <w:b/>
                <w:bCs/>
                <w:color w:val="auto"/>
                <w:sz w:val="24"/>
                <w:szCs w:val="24"/>
                <w:u w:val="single"/>
              </w:rPr>
            </w:pPr>
            <w:r w:rsidRPr="006B0A73">
              <w:rPr>
                <w:b/>
                <w:bCs/>
                <w:color w:val="auto"/>
                <w:sz w:val="24"/>
                <w:szCs w:val="24"/>
                <w:u w:val="single"/>
              </w:rPr>
              <w:t>Complexity</w:t>
            </w:r>
          </w:p>
          <w:p w14:paraId="11A5F73D" w14:textId="77777777" w:rsidR="00ED67A2" w:rsidRPr="006B0A73" w:rsidRDefault="00ED67A2" w:rsidP="00ED67A2">
            <w:pPr>
              <w:spacing w:line="360" w:lineRule="auto"/>
              <w:rPr>
                <w:color w:val="auto"/>
                <w:sz w:val="24"/>
                <w:szCs w:val="24"/>
              </w:rPr>
            </w:pPr>
            <w:r w:rsidRPr="006B0A73">
              <w:rPr>
                <w:color w:val="auto"/>
                <w:sz w:val="24"/>
                <w:szCs w:val="24"/>
              </w:rPr>
              <w:t xml:space="preserve">The complexity of this case required ongoing reflection by all involved alongside professional judgement. There was a long history of involvement by professionals that although highlighted concerns about overprotection and Ind2’s limited or restricted independence and lasting change no matter how supported, which raised concerns about practice drift (Munro, 2011). </w:t>
            </w:r>
          </w:p>
          <w:p w14:paraId="270A8C58" w14:textId="77777777" w:rsidR="00ED67A2" w:rsidRPr="006B0A73" w:rsidRDefault="00ED67A2" w:rsidP="00ED67A2">
            <w:pPr>
              <w:spacing w:line="360" w:lineRule="auto"/>
              <w:rPr>
                <w:color w:val="auto"/>
                <w:sz w:val="24"/>
                <w:szCs w:val="24"/>
              </w:rPr>
            </w:pPr>
            <w:r w:rsidRPr="006B0A73">
              <w:rPr>
                <w:color w:val="auto"/>
                <w:sz w:val="24"/>
                <w:szCs w:val="24"/>
              </w:rPr>
              <w:t>The views documented between Ind2 and his mother added further complexity, whilst she viewed her actions as protective, Ind2 expressed a wish for greater independence, recognising the importance of ensuring his voice was heard and evidencing power imbalances within family relationships (Preston-Shoot, 2014).</w:t>
            </w:r>
          </w:p>
          <w:p w14:paraId="5AB6D3C0" w14:textId="77777777" w:rsidR="00ED67A2" w:rsidRPr="006B0A73" w:rsidRDefault="00ED67A2" w:rsidP="00ED67A2">
            <w:pPr>
              <w:spacing w:line="360" w:lineRule="auto"/>
              <w:rPr>
                <w:color w:val="auto"/>
                <w:sz w:val="24"/>
                <w:szCs w:val="24"/>
              </w:rPr>
            </w:pPr>
            <w:r w:rsidRPr="006B0A73">
              <w:rPr>
                <w:color w:val="auto"/>
                <w:sz w:val="24"/>
                <w:szCs w:val="24"/>
              </w:rPr>
              <w:t xml:space="preserve">Control over finances and daily living appeared to restrict Ind2’s autonomy, while differences in his presentation at home and in the community showed how safeguarding risks can be shaped by both personal and environmental factors (Payne, 2014). </w:t>
            </w:r>
          </w:p>
          <w:p w14:paraId="32E6470A" w14:textId="77777777" w:rsidR="00ED67A2" w:rsidRPr="006B0A73" w:rsidRDefault="00ED67A2" w:rsidP="00ED67A2">
            <w:pPr>
              <w:spacing w:line="360" w:lineRule="auto"/>
              <w:rPr>
                <w:color w:val="auto"/>
                <w:sz w:val="24"/>
                <w:szCs w:val="24"/>
              </w:rPr>
            </w:pPr>
            <w:r w:rsidRPr="006B0A73">
              <w:rPr>
                <w:color w:val="auto"/>
                <w:sz w:val="24"/>
                <w:szCs w:val="24"/>
              </w:rPr>
              <w:lastRenderedPageBreak/>
              <w:t xml:space="preserve">I needed to keep Ind2’s voice central, challenging restrictive practices appropriately and continuing to contribute to multi-agency decision making. Supervision has supported my reflection when navigating risk and ethical </w:t>
            </w:r>
            <w:proofErr w:type="spellStart"/>
            <w:r w:rsidRPr="006B0A73">
              <w:rPr>
                <w:color w:val="auto"/>
                <w:sz w:val="24"/>
                <w:szCs w:val="24"/>
              </w:rPr>
              <w:t>dilemma’s</w:t>
            </w:r>
            <w:proofErr w:type="spellEnd"/>
            <w:r w:rsidRPr="006B0A73">
              <w:rPr>
                <w:color w:val="auto"/>
                <w:sz w:val="24"/>
                <w:szCs w:val="24"/>
              </w:rPr>
              <w:t xml:space="preserve"> (Beddoe and Davys, 2016). </w:t>
            </w:r>
          </w:p>
          <w:p w14:paraId="47401FC0" w14:textId="77777777" w:rsidR="00ED67A2" w:rsidRPr="006B0A73" w:rsidRDefault="00ED67A2" w:rsidP="00ED67A2">
            <w:pPr>
              <w:spacing w:line="360" w:lineRule="auto"/>
              <w:rPr>
                <w:color w:val="auto"/>
                <w:sz w:val="24"/>
                <w:szCs w:val="24"/>
              </w:rPr>
            </w:pPr>
            <w:r w:rsidRPr="006B0A73">
              <w:rPr>
                <w:color w:val="auto"/>
                <w:sz w:val="24"/>
                <w:szCs w:val="24"/>
              </w:rPr>
              <w:t>Care and control can become blurred within family relationships and reinforced the importance of reflective, assertive practice that promotes autonomy, rights and wellbeing (Thompson, 2020).</w:t>
            </w:r>
          </w:p>
          <w:p w14:paraId="020EEFC8" w14:textId="77777777" w:rsidR="00ED67A2" w:rsidRPr="006B0A73" w:rsidRDefault="00ED67A2" w:rsidP="00ED67A2">
            <w:pPr>
              <w:spacing w:line="360" w:lineRule="auto"/>
              <w:rPr>
                <w:b/>
                <w:bCs/>
                <w:color w:val="auto"/>
                <w:sz w:val="24"/>
                <w:szCs w:val="24"/>
                <w:u w:val="single"/>
              </w:rPr>
            </w:pPr>
            <w:r w:rsidRPr="006B0A73">
              <w:rPr>
                <w:b/>
                <w:bCs/>
                <w:color w:val="auto"/>
                <w:sz w:val="24"/>
                <w:szCs w:val="24"/>
                <w:u w:val="single"/>
              </w:rPr>
              <w:t>Outcomes and intervention</w:t>
            </w:r>
          </w:p>
          <w:p w14:paraId="121175C5" w14:textId="77777777" w:rsidR="00ED67A2" w:rsidRPr="006B0A73" w:rsidRDefault="00ED67A2" w:rsidP="00ED67A2">
            <w:pPr>
              <w:spacing w:line="360" w:lineRule="auto"/>
              <w:rPr>
                <w:color w:val="auto"/>
                <w:sz w:val="24"/>
                <w:szCs w:val="24"/>
              </w:rPr>
            </w:pPr>
            <w:r w:rsidRPr="006B0A73">
              <w:rPr>
                <w:color w:val="auto"/>
                <w:sz w:val="24"/>
                <w:szCs w:val="24"/>
              </w:rPr>
              <w:t xml:space="preserve">The safeguarding enquiry was made up of a range of actions to address concerns whilst helping Ind2 become more independent. A section 126 safeguarding enquiry was started following concerns about financial control, emotional harm, and restrictions on his independence, allowing a structured investigation and multi-agency involvement (Welsh government, 2014; SCIE, 2020). A mental capacity assessment under the Mental Capacity Act 2005 found that, with the right support, Ind2 had the capacity to manage his finances independently. This confirmed his right to be involved in decisions affecting him and shifted the focus towards supporting his independence (Department for constitutional affairs, 2007; Dunn et al., 2010). </w:t>
            </w:r>
          </w:p>
          <w:p w14:paraId="42DFBD31" w14:textId="77777777" w:rsidR="00ED67A2" w:rsidRPr="006B0A73" w:rsidRDefault="00ED67A2" w:rsidP="00ED67A2">
            <w:pPr>
              <w:spacing w:line="360" w:lineRule="auto"/>
              <w:rPr>
                <w:color w:val="auto"/>
                <w:sz w:val="24"/>
                <w:szCs w:val="24"/>
              </w:rPr>
            </w:pPr>
            <w:r w:rsidRPr="006B0A73">
              <w:rPr>
                <w:color w:val="auto"/>
                <w:sz w:val="24"/>
                <w:szCs w:val="24"/>
              </w:rPr>
              <w:t xml:space="preserve">To ensure his views were heard and represented an independent advocate was requested and assigned. Direct payments were replaced with an agency led care package, providing support with budgeting, daily living skills and community involvement. Additional oversight was also introduced to help reduce the risks </w:t>
            </w:r>
            <w:proofErr w:type="spellStart"/>
            <w:r w:rsidRPr="006B0A73">
              <w:rPr>
                <w:color w:val="auto"/>
                <w:sz w:val="24"/>
                <w:szCs w:val="24"/>
              </w:rPr>
              <w:t>whils</w:t>
            </w:r>
            <w:proofErr w:type="spellEnd"/>
            <w:r w:rsidRPr="006B0A73">
              <w:rPr>
                <w:color w:val="auto"/>
                <w:sz w:val="24"/>
                <w:szCs w:val="24"/>
              </w:rPr>
              <w:t xml:space="preserve"> encouraging independence (Care Inspectorate Wales. 2021; Welsh Government, 2018).</w:t>
            </w:r>
          </w:p>
          <w:p w14:paraId="1C69DB3E" w14:textId="77777777" w:rsidR="00ED67A2" w:rsidRPr="006B0A73" w:rsidRDefault="00ED67A2" w:rsidP="00ED67A2">
            <w:pPr>
              <w:spacing w:line="360" w:lineRule="auto"/>
              <w:rPr>
                <w:color w:val="auto"/>
                <w:sz w:val="24"/>
                <w:szCs w:val="24"/>
              </w:rPr>
            </w:pPr>
            <w:r w:rsidRPr="006B0A73">
              <w:rPr>
                <w:color w:val="auto"/>
                <w:sz w:val="24"/>
                <w:szCs w:val="24"/>
              </w:rPr>
              <w:t>Positive outcomes were had due to these interventions. Ind2 became more independent, engaged in activities in the community and gained confidence in expressing his views. As the risks reduced, safeguarding criteria were no longer met and the case stepped down to care management for ongoing proportionate support. The events along with the outcome showed the value of coordinated multi-agency working, constructive professional challenge, and a person-centred approach (Preston-Shoot, 2014; Thompson, 2020).</w:t>
            </w:r>
          </w:p>
          <w:p w14:paraId="240C9638" w14:textId="77777777" w:rsidR="00ED67A2" w:rsidRPr="006B0A73" w:rsidRDefault="00ED67A2" w:rsidP="00ED67A2">
            <w:pPr>
              <w:spacing w:line="360" w:lineRule="auto"/>
              <w:rPr>
                <w:b/>
                <w:bCs/>
                <w:color w:val="auto"/>
                <w:sz w:val="24"/>
                <w:szCs w:val="24"/>
                <w:u w:val="single"/>
              </w:rPr>
            </w:pPr>
          </w:p>
          <w:p w14:paraId="11EB9AC5" w14:textId="77777777" w:rsidR="00ED67A2" w:rsidRPr="006B0A73" w:rsidRDefault="00ED67A2" w:rsidP="00ED67A2">
            <w:pPr>
              <w:spacing w:line="360" w:lineRule="auto"/>
              <w:rPr>
                <w:b/>
                <w:bCs/>
                <w:color w:val="auto"/>
                <w:sz w:val="24"/>
                <w:szCs w:val="24"/>
                <w:u w:val="single"/>
              </w:rPr>
            </w:pPr>
            <w:r w:rsidRPr="006B0A73">
              <w:rPr>
                <w:b/>
                <w:bCs/>
                <w:color w:val="auto"/>
                <w:sz w:val="24"/>
                <w:szCs w:val="24"/>
                <w:u w:val="single"/>
              </w:rPr>
              <w:t>Welsh context</w:t>
            </w:r>
          </w:p>
          <w:p w14:paraId="169D226E" w14:textId="77777777" w:rsidR="00ED67A2" w:rsidRPr="006B0A73" w:rsidRDefault="00ED67A2" w:rsidP="00ED67A2">
            <w:pPr>
              <w:spacing w:line="360" w:lineRule="auto"/>
              <w:rPr>
                <w:color w:val="auto"/>
                <w:sz w:val="24"/>
                <w:szCs w:val="24"/>
              </w:rPr>
            </w:pPr>
            <w:r w:rsidRPr="006B0A73">
              <w:rPr>
                <w:color w:val="auto"/>
                <w:sz w:val="24"/>
                <w:szCs w:val="24"/>
              </w:rPr>
              <w:t xml:space="preserve">A consideration for both the assessment and the intervention was the Welsh context and how did it play its part. Ind2 lived in a rural area, communities in Wales can experience </w:t>
            </w:r>
            <w:r w:rsidRPr="006B0A73">
              <w:rPr>
                <w:color w:val="auto"/>
                <w:sz w:val="24"/>
                <w:szCs w:val="24"/>
              </w:rPr>
              <w:lastRenderedPageBreak/>
              <w:t xml:space="preserve">challenges such as limited transport, fewer local services and greater geographical isolation, all of which can affect access to support and opportunities for independence (Welsh Government, 2018; Milbourne and Doheny, 2012). Some of these factors were evident in ongoing interventions as Ind2 appeared to increase his independence on his mother and reduce his opportunities to develop his skills, social networks and confidence outside the family home, which demonstrated how environmental and structural factors can contribute to vulnerability and should be considered as part of the safeguarding assessment. </w:t>
            </w:r>
          </w:p>
          <w:p w14:paraId="253E858B" w14:textId="77777777" w:rsidR="00ED67A2" w:rsidRPr="006B0A73" w:rsidRDefault="00ED67A2" w:rsidP="00ED67A2">
            <w:pPr>
              <w:spacing w:line="360" w:lineRule="auto"/>
              <w:rPr>
                <w:color w:val="auto"/>
                <w:sz w:val="24"/>
                <w:szCs w:val="24"/>
              </w:rPr>
            </w:pPr>
            <w:r w:rsidRPr="006B0A73">
              <w:rPr>
                <w:color w:val="auto"/>
                <w:sz w:val="24"/>
                <w:szCs w:val="24"/>
              </w:rPr>
              <w:t xml:space="preserve">The principals of the Social Services and Wellbeing (Wales) Act 2014 (SSWBA14) are central to the intervention. SSWBA14 promotes wellbeing, voice, choice and control, placing the individual at the centre of decision making (Welsh Government, 2014). When reflecting on the Mental Capacity assessment surrounding the management of finances This was relevant as Ind2 had capacity to make decisions with appropriate support, therefore moved beyond protection alone and towards enabling him to exercise greater control over his life, consistent with the strengths-based approach promoted across the Welsh social care policy (Morgan, 2018). </w:t>
            </w:r>
          </w:p>
          <w:p w14:paraId="6A95E615" w14:textId="77777777" w:rsidR="00ED67A2" w:rsidRPr="006B0A73" w:rsidRDefault="00ED67A2" w:rsidP="00ED67A2">
            <w:pPr>
              <w:spacing w:line="360" w:lineRule="auto"/>
              <w:rPr>
                <w:color w:val="auto"/>
                <w:sz w:val="24"/>
                <w:szCs w:val="24"/>
              </w:rPr>
            </w:pPr>
            <w:r w:rsidRPr="006B0A73">
              <w:rPr>
                <w:color w:val="auto"/>
                <w:sz w:val="24"/>
                <w:szCs w:val="24"/>
              </w:rPr>
              <w:t xml:space="preserve">Advocacy and third sector organisations often play a key role in supporting individuals to access opportunities, build confidence and reduce social isolation particularly in rural areas where statutory services can be limited (Dayson and wells, 2010; WCVA, 2019). For Ind2 these provided potential opportunities if available to develop independence, increase community participation and ensure his views were represented throughout the safeguarding process. An advocate was requested and this had to be expedited with mitigation of a safeguarding concern due to waiting lists and geographical locations. It reflected the Welsh emphasis on co-production, where people are actively supported to actively shape decisions affecting their lives rather than having decisions made for them (Welsh Government, 2014). </w:t>
            </w:r>
          </w:p>
          <w:p w14:paraId="13A8A380" w14:textId="77777777" w:rsidR="00ED67A2" w:rsidRPr="006B0A73" w:rsidRDefault="00ED67A2" w:rsidP="00ED67A2">
            <w:pPr>
              <w:spacing w:line="360" w:lineRule="auto"/>
              <w:rPr>
                <w:color w:val="auto"/>
                <w:sz w:val="24"/>
                <w:szCs w:val="24"/>
              </w:rPr>
            </w:pPr>
            <w:r w:rsidRPr="006B0A73">
              <w:rPr>
                <w:color w:val="auto"/>
                <w:sz w:val="24"/>
                <w:szCs w:val="24"/>
              </w:rPr>
              <w:t xml:space="preserve">The Welsh Language “Active offer” further reflects Wales commitment to person centred and inclusive practice by ensuring individuals can access services in their preferred language without having to request them (Welsh government, 2016; Moreton, 2018). Although language was not a factor in this case, the wider principals of dignity, inclusion and respecting individual needs whilst considering the Welsh context and the restrictions and </w:t>
            </w:r>
            <w:r w:rsidRPr="006B0A73">
              <w:rPr>
                <w:color w:val="auto"/>
                <w:sz w:val="24"/>
                <w:szCs w:val="24"/>
              </w:rPr>
              <w:lastRenderedPageBreak/>
              <w:t xml:space="preserve">possibilities of being creative in the approach to support opportunities and support were evident throughout the intervention, indicated by documentation. </w:t>
            </w:r>
          </w:p>
          <w:p w14:paraId="4795203E" w14:textId="77777777" w:rsidR="00ED67A2" w:rsidRPr="006B0A73" w:rsidRDefault="00ED67A2" w:rsidP="00ED67A2">
            <w:pPr>
              <w:spacing w:line="360" w:lineRule="auto"/>
              <w:rPr>
                <w:color w:val="auto"/>
                <w:sz w:val="24"/>
                <w:szCs w:val="24"/>
              </w:rPr>
            </w:pPr>
            <w:r w:rsidRPr="006B0A73">
              <w:rPr>
                <w:color w:val="auto"/>
                <w:sz w:val="24"/>
                <w:szCs w:val="24"/>
              </w:rPr>
              <w:t xml:space="preserve">Safeguarding in Wales extends beyond managing risk, it places practitioners to consider the impact of rurality, access to community resources, individual rights, co-production and the wellbeing when supporting people to achieve greater independence and positive outcomes (Welsh Government, 2014; Thompson, 2020). </w:t>
            </w:r>
          </w:p>
          <w:p w14:paraId="3F02D3F3" w14:textId="77777777" w:rsidR="00ED67A2" w:rsidRPr="006B0A73" w:rsidRDefault="00ED67A2" w:rsidP="00ED67A2">
            <w:pPr>
              <w:spacing w:line="360" w:lineRule="auto"/>
              <w:rPr>
                <w:color w:val="auto"/>
                <w:sz w:val="24"/>
                <w:szCs w:val="24"/>
              </w:rPr>
            </w:pPr>
          </w:p>
          <w:p w14:paraId="6A89DA8E" w14:textId="77777777" w:rsidR="00ED67A2" w:rsidRPr="006B0A73" w:rsidRDefault="00ED67A2" w:rsidP="00ED67A2">
            <w:pPr>
              <w:spacing w:line="360" w:lineRule="auto"/>
              <w:rPr>
                <w:b/>
                <w:bCs/>
                <w:color w:val="auto"/>
                <w:sz w:val="24"/>
                <w:szCs w:val="24"/>
                <w:u w:val="single"/>
              </w:rPr>
            </w:pPr>
            <w:r w:rsidRPr="006B0A73">
              <w:rPr>
                <w:b/>
                <w:bCs/>
                <w:color w:val="auto"/>
                <w:sz w:val="24"/>
                <w:szCs w:val="24"/>
                <w:u w:val="single"/>
              </w:rPr>
              <w:t xml:space="preserve">Overall outcomes and conclusion </w:t>
            </w:r>
          </w:p>
          <w:p w14:paraId="45926C27" w14:textId="77777777" w:rsidR="00ED67A2" w:rsidRPr="006B0A73" w:rsidRDefault="00ED67A2" w:rsidP="00ED67A2">
            <w:pPr>
              <w:spacing w:line="360" w:lineRule="auto"/>
              <w:rPr>
                <w:color w:val="auto"/>
                <w:sz w:val="24"/>
                <w:szCs w:val="24"/>
              </w:rPr>
            </w:pPr>
            <w:r w:rsidRPr="006B0A73">
              <w:rPr>
                <w:color w:val="auto"/>
                <w:sz w:val="24"/>
                <w:szCs w:val="24"/>
              </w:rPr>
              <w:t xml:space="preserve">Reflecting on this case has helped me recognise both my strengths of the interventions and the learning I can take forward into future practice. One strength identified was the way agencies worked together to build a coordinated response. Responses and actions from advocacy services and third sector organisations provided a broader understanding of the risks and ensured decisions were informed by different perspectives. Independent advocacy was particularly important in helping Ind2 express his views and ensuring his voice remained central where family influence was significant (Adams et al., 2017). </w:t>
            </w:r>
          </w:p>
          <w:p w14:paraId="1D4BE398" w14:textId="77777777" w:rsidR="00ED67A2" w:rsidRPr="006B0A73" w:rsidRDefault="00ED67A2" w:rsidP="00ED67A2">
            <w:pPr>
              <w:spacing w:line="360" w:lineRule="auto"/>
              <w:rPr>
                <w:color w:val="auto"/>
                <w:sz w:val="24"/>
                <w:szCs w:val="24"/>
              </w:rPr>
            </w:pPr>
            <w:r w:rsidRPr="006B0A73">
              <w:rPr>
                <w:color w:val="auto"/>
                <w:sz w:val="24"/>
                <w:szCs w:val="24"/>
              </w:rPr>
              <w:t xml:space="preserve">Strengthening the assessment by bringing together information from a range of sources, including historical records, direct engagement, observations and multi-agency input supported engagement with Ind2. The Mental capacity assessment played a crucial point in challenging assumptions about Ind2’s ability to make decisions and confirmed that, with appropriate support, he had capacity to make decisions about his finances. This ensured decisions were evidenced based and focused on supporting his rights and independence (Dunn et al., 2010). </w:t>
            </w:r>
          </w:p>
          <w:p w14:paraId="03670661" w14:textId="77777777" w:rsidR="00ED67A2" w:rsidRPr="006B0A73" w:rsidRDefault="00ED67A2" w:rsidP="00ED67A2">
            <w:pPr>
              <w:spacing w:line="360" w:lineRule="auto"/>
              <w:rPr>
                <w:color w:val="auto"/>
                <w:sz w:val="24"/>
                <w:szCs w:val="24"/>
              </w:rPr>
            </w:pPr>
            <w:r w:rsidRPr="006B0A73">
              <w:rPr>
                <w:color w:val="auto"/>
                <w:sz w:val="24"/>
                <w:szCs w:val="24"/>
              </w:rPr>
              <w:t xml:space="preserve">When considering the financial arrangements, the contract of expectations, the lasting power of attorney, accurate recording, analysis and professional judgement were essential in ensuring decisions were transparent and defensible by making documentation clear, evidence- based that could withstand scrutiny and contribute to legal decision making where necessary. At the same time reflecting earlier professional challenge may have helped address longstanding patterns of control and restricted independence before it became further embedded, further curiosity and earlier financial oversight may also have reduced the impact on Ind2’s autonomy and prevented concerns from escalating (Laming, 2009). It </w:t>
            </w:r>
            <w:r w:rsidRPr="006B0A73">
              <w:rPr>
                <w:color w:val="auto"/>
                <w:sz w:val="24"/>
                <w:szCs w:val="24"/>
              </w:rPr>
              <w:lastRenderedPageBreak/>
              <w:t xml:space="preserve">highlighted the need to consider and reconsider disguised compliance and responding proactively when risks remain unresolved (Preston-Shoot, 2014). </w:t>
            </w:r>
          </w:p>
          <w:p w14:paraId="226C67A5" w14:textId="77777777" w:rsidR="00ED67A2" w:rsidRPr="006B0A73" w:rsidRDefault="00ED67A2" w:rsidP="00ED67A2">
            <w:pPr>
              <w:spacing w:line="360" w:lineRule="auto"/>
              <w:rPr>
                <w:color w:val="auto"/>
                <w:sz w:val="24"/>
                <w:szCs w:val="24"/>
              </w:rPr>
            </w:pPr>
            <w:r w:rsidRPr="006B0A73">
              <w:rPr>
                <w:color w:val="auto"/>
                <w:sz w:val="24"/>
                <w:szCs w:val="24"/>
              </w:rPr>
              <w:t xml:space="preserve">This enquiry started as a simple investigation to support other workers to create an action and protection plan, it was through tools such as chronology, finding the cumulative concerns of control and the patterns of coercion, identifying that Ind2 had never been spoken to on his own and no use of advocacy had been requested that made it complex. The assumptions of other professionals accepting of mum’s views of capacity surrounding certain decisions and not testing them in any environment meant there were many forms of ethical dilemma shown, not only with family and Ind2 but professionally challenging other professionals’ involvement and asking for evidence to support their findings. It reinforced the importance of reflective practice to ensure risks are not minimised or overlooked, </w:t>
            </w:r>
          </w:p>
          <w:p w14:paraId="33D0E575" w14:textId="77777777" w:rsidR="00ED67A2" w:rsidRPr="006B0A73" w:rsidRDefault="00ED67A2" w:rsidP="00ED67A2">
            <w:pPr>
              <w:spacing w:line="360" w:lineRule="auto"/>
              <w:rPr>
                <w:color w:val="auto"/>
                <w:sz w:val="24"/>
                <w:szCs w:val="24"/>
              </w:rPr>
            </w:pPr>
            <w:r w:rsidRPr="006B0A73">
              <w:rPr>
                <w:color w:val="auto"/>
                <w:sz w:val="24"/>
                <w:szCs w:val="24"/>
              </w:rPr>
              <w:t>It strengthened my understanding of professional accountability as a registered social worker. In line with the Code of Professional Practice, decisions needed to remain lawful, proportionate and evidence based, while maintaining a clear focus on safeguarding and wellbeing. Ad-hoc and scheduled supervisions were imperative to support reflection surrounding managing risk and maintaining confidence navigating these ethical dilemmas.</w:t>
            </w:r>
          </w:p>
          <w:p w14:paraId="6FFF7C0A" w14:textId="77777777" w:rsidR="00ED67A2" w:rsidRPr="006B0A73" w:rsidRDefault="00ED67A2" w:rsidP="00ED67A2">
            <w:pPr>
              <w:spacing w:line="360" w:lineRule="auto"/>
              <w:rPr>
                <w:color w:val="auto"/>
                <w:sz w:val="24"/>
                <w:szCs w:val="24"/>
              </w:rPr>
            </w:pPr>
            <w:r w:rsidRPr="006B0A73">
              <w:rPr>
                <w:color w:val="auto"/>
                <w:sz w:val="24"/>
                <w:szCs w:val="24"/>
              </w:rPr>
              <w:t xml:space="preserve">The main significant learning I took from this case is remaining person centred and keeping Ind2 rights at the centre of the safeguarding practice, as without reflection I feel this could have been slightly lost. It was important to consider the mothers role and perspective but Ind2’s wishes, rights and autonomy needed to remain the primary focus. The Social Services and Wellbeing (Wales) Act 2014 and the Mental Capacity Act 2005 reinforced his right to make decisions about his own life where he had capacity, even when those decisions involved some level of risk. </w:t>
            </w:r>
          </w:p>
          <w:p w14:paraId="374670DD" w14:textId="77777777" w:rsidR="00ED67A2" w:rsidRPr="006B0A73" w:rsidRDefault="00ED67A2" w:rsidP="00ED67A2">
            <w:pPr>
              <w:spacing w:line="360" w:lineRule="auto"/>
              <w:rPr>
                <w:color w:val="auto"/>
                <w:sz w:val="24"/>
                <w:szCs w:val="24"/>
              </w:rPr>
            </w:pPr>
            <w:r w:rsidRPr="006B0A73">
              <w:rPr>
                <w:color w:val="auto"/>
                <w:sz w:val="24"/>
                <w:szCs w:val="24"/>
              </w:rPr>
              <w:t xml:space="preserve">Being the single point of contact for safeguarding concerns on this case has pushed my learning and through ongoing reflection as reinforced that effective safeguarding is not just about protection. It is supporting people to have choice, control and independence while managing risks in a proportionate way. Collaborative working, professional challenge and person-centred approach, positive outcomes were achieved for Ind2, highlighting the importance of reflective, rights-based practice in promoting autonomy, wellbeing and long-term positive change (Thompson, 2020). </w:t>
            </w:r>
          </w:p>
          <w:p w14:paraId="3AAA7455" w14:textId="77777777" w:rsidR="00ED67A2" w:rsidRPr="00432C34" w:rsidRDefault="00ED67A2" w:rsidP="00432C34">
            <w:pPr>
              <w:spacing w:line="360" w:lineRule="auto"/>
              <w:rPr>
                <w:b/>
                <w:bCs/>
                <w:color w:val="auto"/>
                <w:sz w:val="24"/>
                <w:szCs w:val="24"/>
                <w:u w:val="single"/>
              </w:rPr>
            </w:pPr>
          </w:p>
          <w:p w14:paraId="7C42D1D7" w14:textId="44E83182" w:rsidR="00432C34" w:rsidRPr="00432C34" w:rsidRDefault="00432C34" w:rsidP="00432C34">
            <w:pPr>
              <w:spacing w:line="360" w:lineRule="auto"/>
              <w:rPr>
                <w:color w:val="auto"/>
                <w:sz w:val="24"/>
                <w:szCs w:val="24"/>
              </w:rPr>
            </w:pPr>
            <w:r>
              <w:rPr>
                <w:color w:val="auto"/>
                <w:sz w:val="24"/>
                <w:szCs w:val="24"/>
              </w:rPr>
              <w:lastRenderedPageBreak/>
              <w:t>Word Count 4150</w:t>
            </w:r>
          </w:p>
          <w:p w14:paraId="1914DB9A" w14:textId="77777777" w:rsidR="00432C34" w:rsidRPr="00432C34" w:rsidRDefault="00432C34" w:rsidP="00FF7EBB">
            <w:pPr>
              <w:jc w:val="both"/>
              <w:rPr>
                <w:iCs/>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DBCCF" w14:textId="77777777" w:rsidR="000432B9" w:rsidRDefault="000432B9">
      <w:r>
        <w:separator/>
      </w:r>
    </w:p>
  </w:endnote>
  <w:endnote w:type="continuationSeparator" w:id="0">
    <w:p w14:paraId="4156572A" w14:textId="77777777" w:rsidR="000432B9" w:rsidRDefault="00043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700F3" w14:textId="77777777" w:rsidR="000432B9" w:rsidRDefault="000432B9">
      <w:r>
        <w:separator/>
      </w:r>
    </w:p>
  </w:footnote>
  <w:footnote w:type="continuationSeparator" w:id="0">
    <w:p w14:paraId="2ABA6E29" w14:textId="77777777" w:rsidR="000432B9" w:rsidRDefault="000432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2B9"/>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2C34"/>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4FE5"/>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1E5C"/>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0402"/>
    <w:rsid w:val="0094495F"/>
    <w:rsid w:val="009544C0"/>
    <w:rsid w:val="00954FA4"/>
    <w:rsid w:val="00956AE9"/>
    <w:rsid w:val="00964CC6"/>
    <w:rsid w:val="00966C0A"/>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7A2"/>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248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4756</Words>
  <Characters>27114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Workman, Michelle</cp:lastModifiedBy>
  <cp:revision>5</cp:revision>
  <cp:lastPrinted>2020-02-11T19:20:00Z</cp:lastPrinted>
  <dcterms:created xsi:type="dcterms:W3CDTF">2026-10-05T11:07:00Z</dcterms:created>
  <dcterms:modified xsi:type="dcterms:W3CDTF">2026-10-07T06:19:00Z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