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2B9E71C" wp14:paraId="46075B67" wp14:textId="0CEAF171">
      <w:pPr>
        <w:spacing w:after="0" w:line="240" w:lineRule="auto"/>
        <w:rPr>
          <w:rFonts w:ascii="Arial" w:hAnsi="Arial" w:eastAsia="Arial" w:cs="Arial"/>
          <w:noProof w:val="0"/>
          <w:color w:val="000000" w:themeColor="text1" w:themeTint="FF" w:themeShade="FF"/>
          <w:sz w:val="16"/>
          <w:szCs w:val="16"/>
          <w:lang w:val="en-GB"/>
        </w:rPr>
      </w:pPr>
      <w:r w:rsidRPr="62B9E71C" w:rsidR="0CEBC8D4">
        <w:rPr>
          <w:rFonts w:ascii="Arial" w:hAnsi="Arial" w:eastAsia="Arial" w:cs="Arial"/>
          <w:b w:val="1"/>
          <w:bCs w:val="1"/>
          <w:noProof w:val="0"/>
          <w:color w:val="000000" w:themeColor="text1" w:themeTint="FF" w:themeShade="FF"/>
          <w:sz w:val="18"/>
          <w:szCs w:val="18"/>
          <w:lang w:val="en-GB"/>
        </w:rPr>
        <w:t>EXTERNAL</w:t>
      </w:r>
      <w:r w:rsidRPr="62B9E71C" w:rsidR="0CEBC8D4">
        <w:rPr>
          <w:rFonts w:ascii="Arial" w:hAnsi="Arial" w:eastAsia="Arial" w:cs="Arial"/>
          <w:b w:val="1"/>
          <w:bCs w:val="1"/>
          <w:noProof w:val="0"/>
          <w:color w:val="000000" w:themeColor="text1" w:themeTint="FF" w:themeShade="FF"/>
          <w:sz w:val="16"/>
          <w:szCs w:val="16"/>
          <w:lang w:val="en-GB"/>
        </w:rPr>
        <w:t xml:space="preserve">, Amazon. </w:t>
      </w:r>
      <w:r w:rsidRPr="62B9E71C" w:rsidR="0CEBC8D4">
        <w:rPr>
          <w:rFonts w:ascii="Arial" w:hAnsi="Arial" w:eastAsia="Arial" w:cs="Arial"/>
          <w:noProof w:val="0"/>
          <w:color w:val="000000" w:themeColor="text1" w:themeTint="FF" w:themeShade="FF"/>
          <w:sz w:val="16"/>
          <w:szCs w:val="16"/>
          <w:lang w:val="en-GB"/>
        </w:rPr>
        <w:t xml:space="preserve">Does everything a true conglomerate, AI, AWS, Streaming both TV/ movies and </w:t>
      </w:r>
      <w:r w:rsidRPr="62B9E71C" w:rsidR="0CEBC8D4">
        <w:rPr>
          <w:rFonts w:ascii="Arial" w:hAnsi="Arial" w:eastAsia="Arial" w:cs="Arial"/>
          <w:noProof w:val="0"/>
          <w:color w:val="000000" w:themeColor="text1" w:themeTint="FF" w:themeShade="FF"/>
          <w:sz w:val="16"/>
          <w:szCs w:val="16"/>
          <w:lang w:val="en-GB"/>
        </w:rPr>
        <w:t>Twtich</w:t>
      </w:r>
      <w:r w:rsidRPr="62B9E71C" w:rsidR="0CEBC8D4">
        <w:rPr>
          <w:rFonts w:ascii="Arial" w:hAnsi="Arial" w:eastAsia="Arial" w:cs="Arial"/>
          <w:noProof w:val="0"/>
          <w:color w:val="000000" w:themeColor="text1" w:themeTint="FF" w:themeShade="FF"/>
          <w:sz w:val="16"/>
          <w:szCs w:val="16"/>
          <w:lang w:val="en-GB"/>
        </w:rPr>
        <w:t xml:space="preserve">, 2.8trillion market cap, 100s billions yearly, in 100s of countries </w:t>
      </w:r>
    </w:p>
    <w:p xmlns:wp14="http://schemas.microsoft.com/office/word/2010/wordml" w:rsidP="62B9E71C" wp14:paraId="3FB95CB6" wp14:textId="76BFC823">
      <w:pPr>
        <w:spacing w:after="0" w:line="240" w:lineRule="auto"/>
        <w:rPr>
          <w:rFonts w:ascii="Arial" w:hAnsi="Arial" w:eastAsia="Arial" w:cs="Arial"/>
          <w:noProof w:val="0"/>
          <w:color w:val="000000" w:themeColor="text1" w:themeTint="FF" w:themeShade="FF"/>
          <w:sz w:val="16"/>
          <w:szCs w:val="16"/>
          <w:lang w:val="en-GB"/>
        </w:rPr>
      </w:pPr>
      <w:r w:rsidRPr="62B9E71C" w:rsidR="0CEBC8D4">
        <w:rPr>
          <w:rFonts w:ascii="Arial" w:hAnsi="Arial" w:eastAsia="Arial" w:cs="Arial"/>
          <w:b w:val="1"/>
          <w:bCs w:val="1"/>
          <w:noProof w:val="0"/>
          <w:color w:val="000000" w:themeColor="text1" w:themeTint="FF" w:themeShade="FF"/>
          <w:sz w:val="16"/>
          <w:szCs w:val="16"/>
          <w:lang w:val="en-GB"/>
        </w:rPr>
        <w:t xml:space="preserve">Porter’s Five Forces </w:t>
      </w:r>
      <w:r w:rsidRPr="62B9E71C" w:rsidR="0CEBC8D4">
        <w:rPr>
          <w:rFonts w:ascii="Arial" w:hAnsi="Arial" w:eastAsia="Arial" w:cs="Arial"/>
          <w:noProof w:val="0"/>
          <w:color w:val="000000" w:themeColor="text1" w:themeTint="FF" w:themeShade="FF"/>
          <w:sz w:val="16"/>
          <w:szCs w:val="16"/>
          <w:lang w:val="en-GB"/>
        </w:rPr>
        <w:t xml:space="preserve">analyses </w:t>
      </w:r>
      <w:r w:rsidRPr="62B9E71C" w:rsidR="0CEBC8D4">
        <w:rPr>
          <w:rFonts w:ascii="Arial" w:hAnsi="Arial" w:eastAsia="Arial" w:cs="Arial"/>
          <w:b w:val="1"/>
          <w:bCs w:val="1"/>
          <w:noProof w:val="0"/>
          <w:color w:val="000000" w:themeColor="text1" w:themeTint="FF" w:themeShade="FF"/>
          <w:sz w:val="16"/>
          <w:szCs w:val="16"/>
          <w:lang w:val="en-GB"/>
        </w:rPr>
        <w:t>industry rivalry, new entrants, buyer power, supplier power, and substitutes</w:t>
      </w:r>
      <w:r w:rsidRPr="62B9E71C" w:rsidR="0CEBC8D4">
        <w:rPr>
          <w:rFonts w:ascii="Arial" w:hAnsi="Arial" w:eastAsia="Arial" w:cs="Arial"/>
          <w:noProof w:val="0"/>
          <w:color w:val="000000" w:themeColor="text1" w:themeTint="FF" w:themeShade="FF"/>
          <w:sz w:val="16"/>
          <w:szCs w:val="16"/>
          <w:lang w:val="en-GB"/>
        </w:rPr>
        <w:t xml:space="preserve">. Amazon in e-commerce/retail: faces high rivalry (Walmart), high buyer power (easy switch), moderate new entrants (high capital but tech lowers barriers), strong supplier power in some categories, and substitutes (physical stores, other platforms). </w:t>
      </w:r>
      <w:r w:rsidRPr="62B9E71C" w:rsidR="0CEBC8D4">
        <w:rPr>
          <w:rFonts w:ascii="Arial" w:hAnsi="Arial" w:eastAsia="Arial" w:cs="Arial"/>
          <w:b w:val="1"/>
          <w:bCs w:val="1"/>
          <w:noProof w:val="0"/>
          <w:color w:val="000000" w:themeColor="text1" w:themeTint="FF" w:themeShade="FF"/>
          <w:sz w:val="16"/>
          <w:szCs w:val="16"/>
          <w:lang w:val="en-GB"/>
        </w:rPr>
        <w:t>Insight</w:t>
      </w:r>
      <w:r w:rsidRPr="62B9E71C" w:rsidR="0CEBC8D4">
        <w:rPr>
          <w:rFonts w:ascii="Arial" w:hAnsi="Arial" w:eastAsia="Arial" w:cs="Arial"/>
          <w:noProof w:val="0"/>
          <w:color w:val="000000" w:themeColor="text1" w:themeTint="FF" w:themeShade="FF"/>
          <w:sz w:val="16"/>
          <w:szCs w:val="16"/>
          <w:lang w:val="en-GB"/>
        </w:rPr>
        <w:t xml:space="preserve">: Shows need to build switching costs (Prime) and control logistics. </w:t>
      </w:r>
      <w:r w:rsidRPr="62B9E71C" w:rsidR="0CEBC8D4">
        <w:rPr>
          <w:rFonts w:ascii="Arial" w:hAnsi="Arial" w:eastAsia="Arial" w:cs="Arial"/>
          <w:b w:val="1"/>
          <w:bCs w:val="1"/>
          <w:noProof w:val="0"/>
          <w:color w:val="000000" w:themeColor="text1" w:themeTint="FF" w:themeShade="FF"/>
          <w:sz w:val="16"/>
          <w:szCs w:val="16"/>
          <w:lang w:val="en-GB"/>
        </w:rPr>
        <w:t>Strengths</w:t>
      </w:r>
      <w:r w:rsidRPr="62B9E71C" w:rsidR="0CEBC8D4">
        <w:rPr>
          <w:rFonts w:ascii="Arial" w:hAnsi="Arial" w:eastAsia="Arial" w:cs="Arial"/>
          <w:noProof w:val="0"/>
          <w:color w:val="000000" w:themeColor="text1" w:themeTint="FF" w:themeShade="FF"/>
          <w:sz w:val="16"/>
          <w:szCs w:val="16"/>
          <w:lang w:val="en-GB"/>
        </w:rPr>
        <w:t xml:space="preserve">: Clear structure for tough environments. </w:t>
      </w:r>
      <w:r w:rsidRPr="62B9E71C" w:rsidR="0CEBC8D4">
        <w:rPr>
          <w:rFonts w:ascii="Arial" w:hAnsi="Arial" w:eastAsia="Arial" w:cs="Arial"/>
          <w:b w:val="1"/>
          <w:bCs w:val="1"/>
          <w:noProof w:val="0"/>
          <w:color w:val="000000" w:themeColor="text1" w:themeTint="FF" w:themeShade="FF"/>
          <w:sz w:val="16"/>
          <w:szCs w:val="16"/>
          <w:lang w:val="en-GB"/>
        </w:rPr>
        <w:t>Limitations</w:t>
      </w:r>
      <w:r w:rsidRPr="62B9E71C" w:rsidR="0CEBC8D4">
        <w:rPr>
          <w:rFonts w:ascii="Arial" w:hAnsi="Arial" w:eastAsia="Arial" w:cs="Arial"/>
          <w:noProof w:val="0"/>
          <w:color w:val="000000" w:themeColor="text1" w:themeTint="FF" w:themeShade="FF"/>
          <w:sz w:val="16"/>
          <w:szCs w:val="16"/>
          <w:lang w:val="en-GB"/>
        </w:rPr>
        <w:t xml:space="preserve">: Static, underplays rapid tech disruption. </w:t>
      </w:r>
      <w:r w:rsidRPr="62B9E71C" w:rsidR="0CEBC8D4">
        <w:rPr>
          <w:rFonts w:ascii="Arial" w:hAnsi="Arial" w:eastAsia="Arial" w:cs="Arial"/>
          <w:b w:val="1"/>
          <w:bCs w:val="1"/>
          <w:noProof w:val="0"/>
          <w:color w:val="000000" w:themeColor="text1" w:themeTint="FF" w:themeShade="FF"/>
          <w:sz w:val="16"/>
          <w:szCs w:val="16"/>
          <w:lang w:val="en-GB"/>
        </w:rPr>
        <w:t>(Porter, 2008)</w:t>
      </w:r>
    </w:p>
    <w:p xmlns:wp14="http://schemas.microsoft.com/office/word/2010/wordml" w:rsidP="62B9E71C" wp14:paraId="230BEAF5" wp14:textId="5962A9BF">
      <w:pPr>
        <w:spacing w:after="0" w:line="240" w:lineRule="auto"/>
        <w:rPr>
          <w:rFonts w:ascii="Arial" w:hAnsi="Arial" w:eastAsia="Arial" w:cs="Arial"/>
          <w:noProof w:val="0"/>
          <w:color w:val="000000" w:themeColor="text1" w:themeTint="FF" w:themeShade="FF"/>
          <w:sz w:val="16"/>
          <w:szCs w:val="16"/>
          <w:lang w:val="en-GB"/>
        </w:rPr>
      </w:pPr>
      <w:r w:rsidRPr="62B9E71C" w:rsidR="0CEBC8D4">
        <w:rPr>
          <w:rFonts w:ascii="Arial" w:hAnsi="Arial" w:eastAsia="Arial" w:cs="Arial"/>
          <w:b w:val="1"/>
          <w:bCs w:val="1"/>
          <w:noProof w:val="0"/>
          <w:color w:val="000000" w:themeColor="text1" w:themeTint="FF" w:themeShade="FF"/>
          <w:sz w:val="16"/>
          <w:szCs w:val="16"/>
          <w:lang w:val="en-GB"/>
        </w:rPr>
        <w:t xml:space="preserve">PESTLE, </w:t>
      </w:r>
      <w:r w:rsidRPr="62B9E71C" w:rsidR="0CEBC8D4">
        <w:rPr>
          <w:rFonts w:ascii="Arial" w:hAnsi="Arial" w:eastAsia="Arial" w:cs="Arial"/>
          <w:noProof w:val="0"/>
          <w:color w:val="000000" w:themeColor="text1" w:themeTint="FF" w:themeShade="FF"/>
          <w:sz w:val="16"/>
          <w:szCs w:val="16"/>
          <w:lang w:val="en-GB"/>
        </w:rPr>
        <w:t>For Amazon,</w:t>
      </w:r>
      <w:r w:rsidRPr="62B9E71C" w:rsidR="0CEBC8D4">
        <w:rPr>
          <w:rFonts w:ascii="Arial" w:hAnsi="Arial" w:eastAsia="Arial" w:cs="Arial"/>
          <w:b w:val="1"/>
          <w:bCs w:val="1"/>
          <w:noProof w:val="0"/>
          <w:color w:val="000000" w:themeColor="text1" w:themeTint="FF" w:themeShade="FF"/>
          <w:sz w:val="16"/>
          <w:szCs w:val="16"/>
          <w:lang w:val="en-GB"/>
        </w:rPr>
        <w:t xml:space="preserve"> political factors</w:t>
      </w:r>
      <w:r w:rsidRPr="62B9E71C" w:rsidR="0CEBC8D4">
        <w:rPr>
          <w:rFonts w:ascii="Arial" w:hAnsi="Arial" w:eastAsia="Arial" w:cs="Arial"/>
          <w:noProof w:val="0"/>
          <w:color w:val="000000" w:themeColor="text1" w:themeTint="FF" w:themeShade="FF"/>
          <w:sz w:val="16"/>
          <w:szCs w:val="16"/>
          <w:lang w:val="en-GB"/>
        </w:rPr>
        <w:t xml:space="preserve"> include regulation and taxation across countries; </w:t>
      </w:r>
      <w:r w:rsidRPr="62B9E71C" w:rsidR="0CEBC8D4">
        <w:rPr>
          <w:rFonts w:ascii="Arial" w:hAnsi="Arial" w:eastAsia="Arial" w:cs="Arial"/>
          <w:b w:val="1"/>
          <w:bCs w:val="1"/>
          <w:noProof w:val="0"/>
          <w:color w:val="000000" w:themeColor="text1" w:themeTint="FF" w:themeShade="FF"/>
          <w:sz w:val="16"/>
          <w:szCs w:val="16"/>
          <w:lang w:val="en-GB"/>
        </w:rPr>
        <w:t>economic factors</w:t>
      </w:r>
      <w:r w:rsidRPr="62B9E71C" w:rsidR="0CEBC8D4">
        <w:rPr>
          <w:rFonts w:ascii="Arial" w:hAnsi="Arial" w:eastAsia="Arial" w:cs="Arial"/>
          <w:noProof w:val="0"/>
          <w:color w:val="000000" w:themeColor="text1" w:themeTint="FF" w:themeShade="FF"/>
          <w:sz w:val="16"/>
          <w:szCs w:val="16"/>
          <w:lang w:val="en-GB"/>
        </w:rPr>
        <w:t xml:space="preserve"> include inflation and consumer spending affecting online demand; </w:t>
      </w:r>
      <w:r w:rsidRPr="62B9E71C" w:rsidR="0CEBC8D4">
        <w:rPr>
          <w:rFonts w:ascii="Arial" w:hAnsi="Arial" w:eastAsia="Arial" w:cs="Arial"/>
          <w:b w:val="1"/>
          <w:bCs w:val="1"/>
          <w:noProof w:val="0"/>
          <w:color w:val="000000" w:themeColor="text1" w:themeTint="FF" w:themeShade="FF"/>
          <w:sz w:val="16"/>
          <w:szCs w:val="16"/>
          <w:lang w:val="en-GB"/>
        </w:rPr>
        <w:t xml:space="preserve">social factors </w:t>
      </w:r>
      <w:r w:rsidRPr="62B9E71C" w:rsidR="0CEBC8D4">
        <w:rPr>
          <w:rFonts w:ascii="Arial" w:hAnsi="Arial" w:eastAsia="Arial" w:cs="Arial"/>
          <w:noProof w:val="0"/>
          <w:color w:val="000000" w:themeColor="text1" w:themeTint="FF" w:themeShade="FF"/>
          <w:sz w:val="16"/>
          <w:szCs w:val="16"/>
          <w:lang w:val="en-GB"/>
        </w:rPr>
        <w:t xml:space="preserve">include changing shopping habits and convenience culture; technological factors include AI, automation, and cloud computing (AWS); </w:t>
      </w:r>
      <w:r w:rsidRPr="62B9E71C" w:rsidR="0CEBC8D4">
        <w:rPr>
          <w:rFonts w:ascii="Arial" w:hAnsi="Arial" w:eastAsia="Arial" w:cs="Arial"/>
          <w:b w:val="1"/>
          <w:bCs w:val="1"/>
          <w:noProof w:val="0"/>
          <w:color w:val="000000" w:themeColor="text1" w:themeTint="FF" w:themeShade="FF"/>
          <w:sz w:val="16"/>
          <w:szCs w:val="16"/>
          <w:lang w:val="en-GB"/>
        </w:rPr>
        <w:t xml:space="preserve">legal factors </w:t>
      </w:r>
      <w:r w:rsidRPr="62B9E71C" w:rsidR="0CEBC8D4">
        <w:rPr>
          <w:rFonts w:ascii="Arial" w:hAnsi="Arial" w:eastAsia="Arial" w:cs="Arial"/>
          <w:noProof w:val="0"/>
          <w:color w:val="000000" w:themeColor="text1" w:themeTint="FF" w:themeShade="FF"/>
          <w:sz w:val="16"/>
          <w:szCs w:val="16"/>
          <w:lang w:val="en-GB"/>
        </w:rPr>
        <w:t xml:space="preserve">include data protection and competition law; </w:t>
      </w:r>
      <w:r w:rsidRPr="62B9E71C" w:rsidR="0CEBC8D4">
        <w:rPr>
          <w:rFonts w:ascii="Arial" w:hAnsi="Arial" w:eastAsia="Arial" w:cs="Arial"/>
          <w:b w:val="1"/>
          <w:bCs w:val="1"/>
          <w:noProof w:val="0"/>
          <w:color w:val="000000" w:themeColor="text1" w:themeTint="FF" w:themeShade="FF"/>
          <w:sz w:val="16"/>
          <w:szCs w:val="16"/>
          <w:lang w:val="en-GB"/>
        </w:rPr>
        <w:t>environmental factors</w:t>
      </w:r>
      <w:r w:rsidRPr="62B9E71C" w:rsidR="0CEBC8D4">
        <w:rPr>
          <w:rFonts w:ascii="Arial" w:hAnsi="Arial" w:eastAsia="Arial" w:cs="Arial"/>
          <w:noProof w:val="0"/>
          <w:color w:val="000000" w:themeColor="text1" w:themeTint="FF" w:themeShade="FF"/>
          <w:sz w:val="16"/>
          <w:szCs w:val="16"/>
          <w:lang w:val="en-GB"/>
        </w:rPr>
        <w:t xml:space="preserve"> include pressure to reduce packaging waste and carbon emissions. Insight: Amazon must constantly adapt through logistics efficiency, innovation, and compliance. Strength: broad overview of external risks and opportunities. Limitation: very general, lacks industry-specific detail.</w:t>
      </w:r>
      <w:r w:rsidRPr="62B9E71C" w:rsidR="0CEBC8D4">
        <w:rPr>
          <w:rFonts w:ascii="Arial" w:hAnsi="Arial" w:eastAsia="Arial" w:cs="Arial"/>
          <w:b w:val="1"/>
          <w:bCs w:val="1"/>
          <w:noProof w:val="0"/>
          <w:color w:val="000000" w:themeColor="text1" w:themeTint="FF" w:themeShade="FF"/>
          <w:sz w:val="16"/>
          <w:szCs w:val="16"/>
          <w:lang w:val="en-GB"/>
        </w:rPr>
        <w:t xml:space="preserve"> (Aguilar, 1967)</w:t>
      </w:r>
    </w:p>
    <w:p xmlns:wp14="http://schemas.microsoft.com/office/word/2010/wordml" w:rsidP="62B9E71C" wp14:paraId="0A9A2D65" wp14:textId="44E40630">
      <w:pPr>
        <w:spacing w:after="0" w:line="240" w:lineRule="auto"/>
        <w:rPr>
          <w:rFonts w:ascii="Arial" w:hAnsi="Arial" w:eastAsia="Arial" w:cs="Arial"/>
          <w:noProof w:val="0"/>
          <w:color w:val="000000" w:themeColor="text1" w:themeTint="FF" w:themeShade="FF"/>
          <w:sz w:val="20"/>
          <w:szCs w:val="20"/>
          <w:lang w:val="en-GB"/>
        </w:rPr>
      </w:pPr>
    </w:p>
    <w:p xmlns:wp14="http://schemas.microsoft.com/office/word/2010/wordml" w:rsidP="62B9E71C" wp14:paraId="440F5349" wp14:textId="021F0158">
      <w:pPr>
        <w:spacing w:after="0" w:line="240" w:lineRule="auto"/>
        <w:rPr>
          <w:rFonts w:ascii="Arial" w:hAnsi="Arial" w:eastAsia="Arial" w:cs="Arial"/>
          <w:noProof w:val="0"/>
          <w:color w:val="000000" w:themeColor="text1" w:themeTint="FF" w:themeShade="FF"/>
          <w:sz w:val="16"/>
          <w:szCs w:val="16"/>
          <w:lang w:val="en-GB"/>
        </w:rPr>
      </w:pPr>
      <w:r w:rsidRPr="62B9E71C" w:rsidR="0CEBC8D4">
        <w:rPr>
          <w:rFonts w:ascii="Arial" w:hAnsi="Arial" w:eastAsia="Arial" w:cs="Arial"/>
          <w:b w:val="1"/>
          <w:bCs w:val="1"/>
          <w:noProof w:val="0"/>
          <w:color w:val="000000" w:themeColor="text1" w:themeTint="FF" w:themeShade="FF"/>
          <w:sz w:val="18"/>
          <w:szCs w:val="18"/>
          <w:lang w:val="en-GB"/>
        </w:rPr>
        <w:t>INTERNAL</w:t>
      </w:r>
      <w:r w:rsidRPr="62B9E71C" w:rsidR="0CEBC8D4">
        <w:rPr>
          <w:rFonts w:ascii="Arial" w:hAnsi="Arial" w:eastAsia="Arial" w:cs="Arial"/>
          <w:b w:val="1"/>
          <w:bCs w:val="1"/>
          <w:noProof w:val="0"/>
          <w:color w:val="000000" w:themeColor="text1" w:themeTint="FF" w:themeShade="FF"/>
          <w:sz w:val="14"/>
          <w:szCs w:val="14"/>
          <w:lang w:val="en-GB"/>
        </w:rPr>
        <w:t>,</w:t>
      </w:r>
      <w:r w:rsidRPr="62B9E71C" w:rsidR="0CEBC8D4">
        <w:rPr>
          <w:rFonts w:ascii="Arial" w:hAnsi="Arial" w:eastAsia="Arial" w:cs="Arial"/>
          <w:b w:val="1"/>
          <w:bCs w:val="1"/>
          <w:noProof w:val="0"/>
          <w:color w:val="000000" w:themeColor="text1" w:themeTint="FF" w:themeShade="FF"/>
          <w:sz w:val="16"/>
          <w:szCs w:val="16"/>
          <w:lang w:val="en-GB"/>
        </w:rPr>
        <w:t xml:space="preserve"> Apple</w:t>
      </w:r>
      <w:r w:rsidRPr="62B9E71C" w:rsidR="0CEBC8D4">
        <w:rPr>
          <w:rFonts w:ascii="Arial" w:hAnsi="Arial" w:eastAsia="Arial" w:cs="Arial"/>
          <w:noProof w:val="0"/>
          <w:color w:val="000000" w:themeColor="text1" w:themeTint="FF" w:themeShade="FF"/>
          <w:sz w:val="16"/>
          <w:szCs w:val="16"/>
          <w:lang w:val="en-GB"/>
        </w:rPr>
        <w:t>, 4.4 trillion market cap, true innovators removing keypads from phones, creating modern computing in the mac, App Store, iCloud, Apple Music and apple tv both streaming and physical boxes.</w:t>
      </w:r>
    </w:p>
    <w:p xmlns:wp14="http://schemas.microsoft.com/office/word/2010/wordml" w:rsidP="62B9E71C" wp14:paraId="369E1B2B" wp14:textId="290DB774">
      <w:pPr>
        <w:spacing w:after="0" w:line="240" w:lineRule="auto"/>
        <w:rPr>
          <w:rFonts w:ascii="Arial" w:hAnsi="Arial" w:eastAsia="Arial" w:cs="Arial"/>
          <w:noProof w:val="0"/>
          <w:color w:val="000000" w:themeColor="text1" w:themeTint="FF" w:themeShade="FF"/>
          <w:sz w:val="16"/>
          <w:szCs w:val="16"/>
          <w:lang w:val="en-GB"/>
        </w:rPr>
      </w:pPr>
      <w:r w:rsidRPr="62B9E71C" w:rsidR="0CEBC8D4">
        <w:rPr>
          <w:rFonts w:ascii="Arial" w:hAnsi="Arial" w:eastAsia="Arial" w:cs="Arial"/>
          <w:b w:val="1"/>
          <w:bCs w:val="1"/>
          <w:noProof w:val="0"/>
          <w:color w:val="000000" w:themeColor="text1" w:themeTint="FF" w:themeShade="FF"/>
          <w:sz w:val="16"/>
          <w:szCs w:val="16"/>
          <w:lang w:val="en-GB"/>
        </w:rPr>
        <w:t>VRIO (value, rarity, inimitability, organisation)  </w:t>
      </w:r>
    </w:p>
    <w:p xmlns:wp14="http://schemas.microsoft.com/office/word/2010/wordml" w:rsidP="62B9E71C" wp14:paraId="0F3B60EE" wp14:textId="31E52D92">
      <w:pPr>
        <w:spacing w:after="0" w:line="240" w:lineRule="auto"/>
        <w:rPr>
          <w:rFonts w:ascii="Arial" w:hAnsi="Arial" w:eastAsia="Arial" w:cs="Arial"/>
          <w:noProof w:val="0"/>
          <w:color w:val="000000" w:themeColor="text1" w:themeTint="FF" w:themeShade="FF"/>
          <w:sz w:val="16"/>
          <w:szCs w:val="16"/>
          <w:lang w:val="en-GB"/>
        </w:rPr>
      </w:pPr>
      <w:r w:rsidRPr="62B9E71C" w:rsidR="0CEBC8D4">
        <w:rPr>
          <w:rFonts w:ascii="Arial" w:hAnsi="Arial" w:eastAsia="Arial" w:cs="Arial"/>
          <w:noProof w:val="0"/>
          <w:color w:val="000000" w:themeColor="text1" w:themeTint="FF" w:themeShade="FF"/>
          <w:sz w:val="16"/>
          <w:szCs w:val="16"/>
          <w:lang w:val="en-GB"/>
        </w:rPr>
        <w:t xml:space="preserve">VRIO evaluates whether a firm’s resources are Valuable, Rare, Inimitable, and Organised. Apple Inc. has valuable resources such as strong branding, ecosystem integration, and advanced design capabilities. These are rare and difficult to imitate due to Apple’s innovation culture and intellectual property. Its organisational structure allows effective coordination between hardware, software, and services. Consumer behaviour is influenced by ecosystem lock-in, convenience, and brand loyalty. Strength: explains sustainable competitive advantage. Limitation: difficult to quantify resources objectively. </w:t>
      </w:r>
      <w:r w:rsidRPr="62B9E71C" w:rsidR="0CEBC8D4">
        <w:rPr>
          <w:rFonts w:ascii="Arial" w:hAnsi="Arial" w:eastAsia="Arial" w:cs="Arial"/>
          <w:b w:val="1"/>
          <w:bCs w:val="1"/>
          <w:noProof w:val="0"/>
          <w:color w:val="000000" w:themeColor="text1" w:themeTint="FF" w:themeShade="FF"/>
          <w:sz w:val="16"/>
          <w:szCs w:val="16"/>
          <w:lang w:val="en-GB"/>
        </w:rPr>
        <w:t>(Barney, 1991)</w:t>
      </w:r>
    </w:p>
    <w:p xmlns:wp14="http://schemas.microsoft.com/office/word/2010/wordml" w:rsidP="62B9E71C" wp14:paraId="6C1D4FD3" wp14:textId="76A52654">
      <w:pPr>
        <w:spacing w:after="0" w:line="240" w:lineRule="auto"/>
        <w:rPr>
          <w:rFonts w:ascii="Arial" w:hAnsi="Arial" w:eastAsia="Arial" w:cs="Arial"/>
          <w:noProof w:val="0"/>
          <w:color w:val="000000" w:themeColor="text1" w:themeTint="FF" w:themeShade="FF"/>
          <w:sz w:val="16"/>
          <w:szCs w:val="16"/>
          <w:lang w:val="en-GB"/>
        </w:rPr>
      </w:pPr>
      <w:r w:rsidRPr="62B9E71C" w:rsidR="0CEBC8D4">
        <w:rPr>
          <w:rFonts w:ascii="Arial" w:hAnsi="Arial" w:eastAsia="Arial" w:cs="Arial"/>
          <w:b w:val="1"/>
          <w:bCs w:val="1"/>
          <w:noProof w:val="0"/>
          <w:color w:val="000000" w:themeColor="text1" w:themeTint="FF" w:themeShade="FF"/>
          <w:sz w:val="16"/>
          <w:szCs w:val="16"/>
          <w:lang w:val="en-GB"/>
        </w:rPr>
        <w:t>BCG Matrix Boston Consulting Group Matrix,</w:t>
      </w:r>
    </w:p>
    <w:p xmlns:wp14="http://schemas.microsoft.com/office/word/2010/wordml" w:rsidP="62B9E71C" wp14:paraId="7964D7D2" wp14:textId="6F29F151">
      <w:pPr>
        <w:spacing w:after="0" w:line="240" w:lineRule="auto"/>
        <w:rPr>
          <w:rFonts w:ascii="Arial" w:hAnsi="Arial" w:eastAsia="Arial" w:cs="Arial"/>
          <w:noProof w:val="0"/>
          <w:color w:val="000000" w:themeColor="text1" w:themeTint="FF" w:themeShade="FF"/>
          <w:sz w:val="16"/>
          <w:szCs w:val="16"/>
          <w:lang w:val="en-GB"/>
        </w:rPr>
      </w:pPr>
      <w:r w:rsidRPr="62B9E71C" w:rsidR="0CEBC8D4">
        <w:rPr>
          <w:rFonts w:ascii="Arial" w:hAnsi="Arial" w:eastAsia="Arial" w:cs="Arial"/>
          <w:noProof w:val="0"/>
          <w:color w:val="000000" w:themeColor="text1" w:themeTint="FF" w:themeShade="FF"/>
          <w:sz w:val="16"/>
          <w:szCs w:val="16"/>
          <w:lang w:val="en-GB"/>
        </w:rPr>
        <w:t xml:space="preserve">The BCG Matrix analyses a firm’s product portfolio based on market growth and market share: Stars, Cash Cows, Question Marks, and Dogs. Apple Inc. has iPhone as a Cash Cow due to high market share and stable demand, Mac and Wearables as Stars due to strong growth, and services (e.g. Apple Music, iCloud) as rising Stars with high growth potential. Consumer behaviour shows demand for innovation, brand prestige, and ecosystem convenience. Strength: helps allocate resources effectively. Limitation: oversimplifies complex product dynamics. </w:t>
      </w:r>
      <w:r w:rsidRPr="62B9E71C" w:rsidR="0CEBC8D4">
        <w:rPr>
          <w:rFonts w:ascii="Arial" w:hAnsi="Arial" w:eastAsia="Arial" w:cs="Arial"/>
          <w:b w:val="1"/>
          <w:bCs w:val="1"/>
          <w:noProof w:val="0"/>
          <w:color w:val="000000" w:themeColor="text1" w:themeTint="FF" w:themeShade="FF"/>
          <w:sz w:val="16"/>
          <w:szCs w:val="16"/>
          <w:lang w:val="en-GB"/>
        </w:rPr>
        <w:t xml:space="preserve">(Gorb, et al., 2022) </w:t>
      </w:r>
    </w:p>
    <w:p xmlns:wp14="http://schemas.microsoft.com/office/word/2010/wordml" w:rsidP="62B9E71C" wp14:paraId="4C433421" wp14:textId="54CF7413">
      <w:pPr>
        <w:spacing w:after="0" w:line="240" w:lineRule="auto"/>
        <w:rPr>
          <w:rFonts w:ascii="Arial" w:hAnsi="Arial" w:eastAsia="Arial" w:cs="Arial"/>
          <w:noProof w:val="0"/>
          <w:color w:val="000000" w:themeColor="text1" w:themeTint="FF" w:themeShade="FF"/>
          <w:sz w:val="16"/>
          <w:szCs w:val="16"/>
          <w:lang w:val="en-GB"/>
        </w:rPr>
      </w:pPr>
    </w:p>
    <w:p xmlns:wp14="http://schemas.microsoft.com/office/word/2010/wordml" w:rsidP="62B9E71C" wp14:paraId="3FFBB2AC" wp14:textId="0C35FC72">
      <w:pPr>
        <w:spacing w:after="0" w:line="240" w:lineRule="auto"/>
        <w:rPr>
          <w:rFonts w:ascii="Arial" w:hAnsi="Arial" w:eastAsia="Arial" w:cs="Arial"/>
          <w:noProof w:val="0"/>
          <w:color w:val="000000" w:themeColor="text1" w:themeTint="FF" w:themeShade="FF"/>
          <w:sz w:val="16"/>
          <w:szCs w:val="16"/>
          <w:lang w:val="en-GB"/>
        </w:rPr>
      </w:pPr>
      <w:r w:rsidRPr="62B9E71C" w:rsidR="0CEBC8D4">
        <w:rPr>
          <w:rFonts w:ascii="Arial" w:hAnsi="Arial" w:eastAsia="Arial" w:cs="Arial"/>
          <w:b w:val="1"/>
          <w:bCs w:val="1"/>
          <w:noProof w:val="0"/>
          <w:color w:val="000000" w:themeColor="text1" w:themeTint="FF" w:themeShade="FF"/>
          <w:sz w:val="18"/>
          <w:szCs w:val="18"/>
          <w:lang w:val="en-GB"/>
        </w:rPr>
        <w:t>CONSUMER</w:t>
      </w:r>
      <w:r w:rsidRPr="62B9E71C" w:rsidR="0CEBC8D4">
        <w:rPr>
          <w:rFonts w:ascii="Arial" w:hAnsi="Arial" w:eastAsia="Arial" w:cs="Arial"/>
          <w:b w:val="1"/>
          <w:bCs w:val="1"/>
          <w:noProof w:val="0"/>
          <w:color w:val="000000" w:themeColor="text1" w:themeTint="FF" w:themeShade="FF"/>
          <w:sz w:val="14"/>
          <w:szCs w:val="14"/>
          <w:lang w:val="en-GB"/>
        </w:rPr>
        <w:t>,</w:t>
      </w:r>
      <w:r w:rsidRPr="62B9E71C" w:rsidR="0CEBC8D4">
        <w:rPr>
          <w:rFonts w:ascii="Arial" w:hAnsi="Arial" w:eastAsia="Arial" w:cs="Arial"/>
          <w:b w:val="1"/>
          <w:bCs w:val="1"/>
          <w:noProof w:val="0"/>
          <w:color w:val="000000" w:themeColor="text1" w:themeTint="FF" w:themeShade="FF"/>
          <w:sz w:val="16"/>
          <w:szCs w:val="16"/>
          <w:lang w:val="en-GB"/>
        </w:rPr>
        <w:t xml:space="preserve"> Nike </w:t>
      </w:r>
      <w:r w:rsidRPr="62B9E71C" w:rsidR="0CEBC8D4">
        <w:rPr>
          <w:rFonts w:ascii="Arial" w:hAnsi="Arial" w:eastAsia="Arial" w:cs="Arial"/>
          <w:noProof w:val="0"/>
          <w:color w:val="000000" w:themeColor="text1" w:themeTint="FF" w:themeShade="FF"/>
          <w:sz w:val="16"/>
          <w:szCs w:val="16"/>
          <w:lang w:val="en-GB"/>
        </w:rPr>
        <w:t>is a major American sportswear and athletic apparel company. It designs, develops, and sells footwear, clothing, equipment, and accessories, and is one of the most recognised sports brands globally. Nike operates in over 170 countries, generating tens of billions in annual revenue, and is heavily driven by athlete endorsements, innovation in performance gear, and strong brand marketing.</w:t>
      </w:r>
    </w:p>
    <w:p xmlns:wp14="http://schemas.microsoft.com/office/word/2010/wordml" w:rsidP="62B9E71C" wp14:paraId="3301714E" wp14:textId="4292AFD6">
      <w:pPr>
        <w:spacing w:after="0" w:line="240" w:lineRule="auto"/>
        <w:rPr>
          <w:rFonts w:ascii="Arial" w:hAnsi="Arial" w:eastAsia="Arial" w:cs="Arial"/>
          <w:noProof w:val="0"/>
          <w:color w:val="000000" w:themeColor="text1" w:themeTint="FF" w:themeShade="FF"/>
          <w:sz w:val="16"/>
          <w:szCs w:val="16"/>
          <w:lang w:val="en-GB"/>
        </w:rPr>
      </w:pPr>
      <w:r w:rsidRPr="62B9E71C" w:rsidR="0CEBC8D4">
        <w:rPr>
          <w:rFonts w:ascii="Arial" w:hAnsi="Arial" w:eastAsia="Arial" w:cs="Arial"/>
          <w:b w:val="1"/>
          <w:bCs w:val="1"/>
          <w:noProof w:val="0"/>
          <w:color w:val="000000" w:themeColor="text1" w:themeTint="FF" w:themeShade="FF"/>
          <w:sz w:val="16"/>
          <w:szCs w:val="16"/>
          <w:lang w:val="en-GB"/>
        </w:rPr>
        <w:t>STP Model (Segmentation, Targeting, Positioning)</w:t>
      </w:r>
      <w:r w:rsidRPr="62B9E71C" w:rsidR="0CEBC8D4">
        <w:rPr>
          <w:rFonts w:ascii="Arial" w:hAnsi="Arial" w:eastAsia="Arial" w:cs="Arial"/>
          <w:noProof w:val="0"/>
          <w:color w:val="000000" w:themeColor="text1" w:themeTint="FF" w:themeShade="FF"/>
          <w:sz w:val="16"/>
          <w:szCs w:val="16"/>
          <w:lang w:val="en-GB"/>
        </w:rPr>
        <w:t xml:space="preserve"> STP explains how firms improve market position by identifying customer preferences and targeting them effectively. Nike segments consumers by lifestyle, fitness level, and fashion identity, targets performance-driven and aspirational consumers, and positions itself as a premium motivational brand. Consumer behaviour is influenced by emotional branding, identity, and aspiration, which increases loyalty and repeat purchase behaviour. Strength: strong customer focus and improved brand communication. Limitation: consumer preferences shift quickly, making positioning less stable. </w:t>
      </w:r>
      <w:r w:rsidRPr="62B9E71C" w:rsidR="0CEBC8D4">
        <w:rPr>
          <w:rFonts w:ascii="Arial" w:hAnsi="Arial" w:eastAsia="Arial" w:cs="Arial"/>
          <w:b w:val="1"/>
          <w:bCs w:val="1"/>
          <w:noProof w:val="0"/>
          <w:color w:val="000000" w:themeColor="text1" w:themeTint="FF" w:themeShade="FF"/>
          <w:sz w:val="16"/>
          <w:szCs w:val="16"/>
          <w:lang w:val="en-GB"/>
        </w:rPr>
        <w:t>(Kotler, P. 2017, Solomon, M. 2020).</w:t>
      </w:r>
    </w:p>
    <w:p xmlns:wp14="http://schemas.microsoft.com/office/word/2010/wordml" w:rsidP="62B9E71C" wp14:paraId="2F33C0F0" wp14:textId="32A6E325">
      <w:pPr>
        <w:spacing w:after="0" w:line="240" w:lineRule="auto"/>
        <w:rPr>
          <w:rFonts w:ascii="Arial" w:hAnsi="Arial" w:eastAsia="Arial" w:cs="Arial"/>
          <w:noProof w:val="0"/>
          <w:color w:val="434343"/>
          <w:sz w:val="16"/>
          <w:szCs w:val="16"/>
          <w:lang w:val="en-GB"/>
        </w:rPr>
      </w:pPr>
      <w:r w:rsidRPr="62B9E71C" w:rsidR="0CEBC8D4">
        <w:rPr>
          <w:rFonts w:ascii="Arial" w:hAnsi="Arial" w:eastAsia="Arial" w:cs="Arial"/>
          <w:b w:val="1"/>
          <w:bCs w:val="1"/>
          <w:noProof w:val="0"/>
          <w:color w:val="000000" w:themeColor="text1" w:themeTint="FF" w:themeShade="FF"/>
          <w:sz w:val="16"/>
          <w:szCs w:val="16"/>
          <w:lang w:val="en-GB"/>
        </w:rPr>
        <w:t>Ansoff Matrix</w:t>
      </w:r>
      <w:r w:rsidRPr="62B9E71C" w:rsidR="0CEBC8D4">
        <w:rPr>
          <w:rFonts w:ascii="Arial" w:hAnsi="Arial" w:eastAsia="Arial" w:cs="Arial"/>
          <w:noProof w:val="0"/>
          <w:color w:val="000000" w:themeColor="text1" w:themeTint="FF" w:themeShade="FF"/>
          <w:sz w:val="16"/>
          <w:szCs w:val="16"/>
          <w:lang w:val="en-GB"/>
        </w:rPr>
        <w:t xml:space="preserve"> Ansoff Matrix evaluates growth strategies: market penetration, product development, market development, and diversification. Nike uses product development through innovation in footwear technology and market development through global expansion and digital platforms. Consumer behaviour is driven by demand for innovation, price, aesthetic appeal which encourages repeat purchasing. Strength: supports structured growth and innovation. Limitation: high risk and uncertainty, especially in new markets or products like nike contact lenses </w:t>
      </w:r>
      <w:r w:rsidRPr="62B9E71C" w:rsidR="0CEBC8D4">
        <w:rPr>
          <w:rFonts w:ascii="Arial" w:hAnsi="Arial" w:eastAsia="Arial" w:cs="Arial"/>
          <w:b w:val="1"/>
          <w:bCs w:val="1"/>
          <w:noProof w:val="0"/>
          <w:color w:val="000000" w:themeColor="text1" w:themeTint="FF" w:themeShade="FF"/>
          <w:sz w:val="16"/>
          <w:szCs w:val="16"/>
          <w:lang w:val="en-GB"/>
        </w:rPr>
        <w:t xml:space="preserve">(Ansoff </w:t>
      </w:r>
      <w:r w:rsidRPr="62B9E71C" w:rsidR="0CEBC8D4">
        <w:rPr>
          <w:rFonts w:ascii="Arial" w:hAnsi="Arial" w:eastAsia="Arial" w:cs="Arial"/>
          <w:b w:val="1"/>
          <w:bCs w:val="1"/>
          <w:noProof w:val="0"/>
          <w:color w:val="434343"/>
          <w:sz w:val="16"/>
          <w:szCs w:val="16"/>
          <w:lang w:val="en-GB"/>
        </w:rPr>
        <w:t>Ansoff, H.I. 1957. Nike, 2024 Grant, R.M. (2019) </w:t>
      </w:r>
    </w:p>
    <w:p xmlns:wp14="http://schemas.microsoft.com/office/word/2010/wordml" w:rsidP="62B9E71C" wp14:paraId="3CDEEDD8" wp14:textId="39412A5F">
      <w:pPr>
        <w:spacing w:after="0" w:line="240" w:lineRule="auto"/>
        <w:rPr>
          <w:rFonts w:ascii="Arial" w:hAnsi="Arial" w:eastAsia="Arial" w:cs="Arial"/>
          <w:noProof w:val="0"/>
          <w:color w:val="000000" w:themeColor="text1" w:themeTint="FF" w:themeShade="FF"/>
          <w:sz w:val="18"/>
          <w:szCs w:val="18"/>
          <w:lang w:val="en-GB"/>
        </w:rPr>
      </w:pPr>
    </w:p>
    <w:p xmlns:wp14="http://schemas.microsoft.com/office/word/2010/wordml" w:rsidP="62B9E71C" wp14:paraId="4829CBBF" wp14:textId="5AC6BCCE">
      <w:pPr>
        <w:spacing w:after="0" w:line="240" w:lineRule="auto"/>
        <w:rPr>
          <w:rFonts w:ascii="Helvetica Neue" w:hAnsi="Helvetica Neue" w:eastAsia="Helvetica Neue" w:cs="Helvetica Neue"/>
          <w:noProof w:val="0"/>
          <w:sz w:val="16"/>
          <w:szCs w:val="16"/>
          <w:lang w:val="en-GB"/>
        </w:rPr>
      </w:pPr>
      <w:r w:rsidRPr="62B9E71C" w:rsidR="0CEBC8D4">
        <w:rPr>
          <w:rFonts w:ascii="Arial" w:hAnsi="Arial" w:eastAsia="Arial" w:cs="Arial"/>
          <w:b w:val="1"/>
          <w:bCs w:val="1"/>
          <w:noProof w:val="0"/>
          <w:color w:val="000000" w:themeColor="text1" w:themeTint="FF" w:themeShade="FF"/>
          <w:sz w:val="18"/>
          <w:szCs w:val="18"/>
          <w:lang w:val="en-GB"/>
        </w:rPr>
        <w:t>ETHICS</w:t>
      </w:r>
      <w:r w:rsidRPr="62B9E71C" w:rsidR="0CEBC8D4">
        <w:rPr>
          <w:rFonts w:ascii="Arial" w:hAnsi="Arial" w:eastAsia="Arial" w:cs="Arial"/>
          <w:b w:val="1"/>
          <w:bCs w:val="1"/>
          <w:noProof w:val="0"/>
          <w:color w:val="000000" w:themeColor="text1" w:themeTint="FF" w:themeShade="FF"/>
          <w:sz w:val="16"/>
          <w:szCs w:val="16"/>
          <w:lang w:val="en-GB"/>
        </w:rPr>
        <w:t xml:space="preserve">, SOCAIL responsibility and stakeholders, Unilever Look for stakeholder, shareholder. Unilever </w:t>
      </w:r>
      <w:r w:rsidRPr="62B9E71C" w:rsidR="0CEBC8D4">
        <w:rPr>
          <w:rFonts w:ascii="Arial" w:hAnsi="Arial" w:eastAsia="Arial" w:cs="Arial"/>
          <w:noProof w:val="0"/>
          <w:color w:val="000000" w:themeColor="text1" w:themeTint="FF" w:themeShade="FF"/>
          <w:sz w:val="16"/>
          <w:szCs w:val="16"/>
          <w:lang w:val="en-GB"/>
        </w:rPr>
        <w:t xml:space="preserve">is a massive British Dutch multinational consumer goods company. It manufactures and sells everyday household items, beauty and wellbeing, nutrition, ice cream, home care, personal care. In over 190 countries, net profit 6.2m euros in 2025. </w:t>
      </w:r>
      <w:r w:rsidRPr="62B9E71C" w:rsidR="0CEBC8D4">
        <w:rPr>
          <w:rFonts w:ascii="Helvetica Neue" w:hAnsi="Helvetica Neue" w:eastAsia="Helvetica Neue" w:cs="Helvetica Neue"/>
          <w:noProof w:val="0"/>
          <w:color w:val="000000" w:themeColor="text1" w:themeTint="FF" w:themeShade="FF"/>
          <w:sz w:val="16"/>
          <w:szCs w:val="16"/>
          <w:lang w:val="en-GB"/>
        </w:rPr>
        <w:t xml:space="preserve">In 2026, Unilever underwent a massive restructuring to shift into a </w:t>
      </w:r>
      <w:r w:rsidRPr="62B9E71C" w:rsidR="0CEBC8D4">
        <w:rPr>
          <w:rFonts w:ascii="Helvetica Neue" w:hAnsi="Helvetica Neue" w:eastAsia="Helvetica Neue" w:cs="Helvetica Neue"/>
          <w:noProof w:val="0"/>
          <w:sz w:val="16"/>
          <w:szCs w:val="16"/>
          <w:lang w:val="en-GB"/>
        </w:rPr>
        <w:t>pure-play health, beauty, and personal care company.</w:t>
      </w:r>
    </w:p>
    <w:p xmlns:wp14="http://schemas.microsoft.com/office/word/2010/wordml" w:rsidP="62B9E71C" wp14:paraId="1A8EC547" wp14:textId="7FD93D94">
      <w:pPr>
        <w:spacing w:after="0" w:line="240" w:lineRule="auto"/>
        <w:rPr>
          <w:rFonts w:ascii="Arial" w:hAnsi="Arial" w:eastAsia="Arial" w:cs="Arial"/>
          <w:noProof w:val="0"/>
          <w:color w:val="222222"/>
          <w:sz w:val="16"/>
          <w:szCs w:val="16"/>
          <w:lang w:val="en-GB"/>
        </w:rPr>
      </w:pPr>
      <w:r w:rsidRPr="62B9E71C" w:rsidR="0CEBC8D4">
        <w:rPr>
          <w:rFonts w:ascii="Arial" w:hAnsi="Arial" w:eastAsia="Arial" w:cs="Arial"/>
          <w:b w:val="1"/>
          <w:bCs w:val="1"/>
          <w:noProof w:val="0"/>
          <w:color w:val="000000" w:themeColor="text1" w:themeTint="FF" w:themeShade="FF"/>
          <w:sz w:val="16"/>
          <w:szCs w:val="16"/>
          <w:lang w:val="en-GB"/>
        </w:rPr>
        <w:t xml:space="preserve">Carroll’s CSR Pyramid </w:t>
      </w:r>
      <w:r w:rsidRPr="62B9E71C" w:rsidR="0CEBC8D4">
        <w:rPr>
          <w:rFonts w:ascii="Arial" w:hAnsi="Arial" w:eastAsia="Arial" w:cs="Arial"/>
          <w:noProof w:val="0"/>
          <w:color w:val="000000" w:themeColor="text1" w:themeTint="FF" w:themeShade="FF"/>
          <w:sz w:val="16"/>
          <w:szCs w:val="16"/>
          <w:lang w:val="en-GB"/>
        </w:rPr>
        <w:t xml:space="preserve">responsibility as </w:t>
      </w:r>
      <w:r w:rsidRPr="62B9E71C" w:rsidR="0CEBC8D4">
        <w:rPr>
          <w:rFonts w:ascii="Arial" w:hAnsi="Arial" w:eastAsia="Arial" w:cs="Arial"/>
          <w:b w:val="1"/>
          <w:bCs w:val="1"/>
          <w:noProof w:val="0"/>
          <w:color w:val="000000" w:themeColor="text1" w:themeTint="FF" w:themeShade="FF"/>
          <w:sz w:val="16"/>
          <w:szCs w:val="16"/>
          <w:lang w:val="en-GB"/>
        </w:rPr>
        <w:t>economic, legal, ethical, and philanthropic</w:t>
      </w:r>
      <w:r w:rsidRPr="62B9E71C" w:rsidR="0CEBC8D4">
        <w:rPr>
          <w:rFonts w:ascii="Arial" w:hAnsi="Arial" w:eastAsia="Arial" w:cs="Arial"/>
          <w:noProof w:val="0"/>
          <w:color w:val="000000" w:themeColor="text1" w:themeTint="FF" w:themeShade="FF"/>
          <w:sz w:val="16"/>
          <w:szCs w:val="16"/>
          <w:lang w:val="en-GB"/>
        </w:rPr>
        <w:t xml:space="preserve"> duties. Unilever meets economic needs through profitability, legal through compliance in all nations local and international, ethical through sustainable sourcing, and philanthropic through social initiatives. Consumer behaviour is influenced by ethical consumption, where customers prefer responsible brands. </w:t>
      </w:r>
      <w:r w:rsidRPr="62B9E71C" w:rsidR="0CEBC8D4">
        <w:rPr>
          <w:rFonts w:ascii="Arial" w:hAnsi="Arial" w:eastAsia="Arial" w:cs="Arial"/>
          <w:b w:val="1"/>
          <w:bCs w:val="1"/>
          <w:noProof w:val="0"/>
          <w:color w:val="000000" w:themeColor="text1" w:themeTint="FF" w:themeShade="FF"/>
          <w:sz w:val="16"/>
          <w:szCs w:val="16"/>
          <w:lang w:val="en-GB"/>
        </w:rPr>
        <w:t>Strength</w:t>
      </w:r>
      <w:r w:rsidRPr="62B9E71C" w:rsidR="0CEBC8D4">
        <w:rPr>
          <w:rFonts w:ascii="Arial" w:hAnsi="Arial" w:eastAsia="Arial" w:cs="Arial"/>
          <w:noProof w:val="0"/>
          <w:color w:val="000000" w:themeColor="text1" w:themeTint="FF" w:themeShade="FF"/>
          <w:sz w:val="16"/>
          <w:szCs w:val="16"/>
          <w:lang w:val="en-GB"/>
        </w:rPr>
        <w:t xml:space="preserve">: structured ethical framework they advocate works. </w:t>
      </w:r>
      <w:r w:rsidRPr="62B9E71C" w:rsidR="0CEBC8D4">
        <w:rPr>
          <w:rFonts w:ascii="Arial" w:hAnsi="Arial" w:eastAsia="Arial" w:cs="Arial"/>
          <w:b w:val="1"/>
          <w:bCs w:val="1"/>
          <w:noProof w:val="0"/>
          <w:color w:val="000000" w:themeColor="text1" w:themeTint="FF" w:themeShade="FF"/>
          <w:sz w:val="16"/>
          <w:szCs w:val="16"/>
          <w:lang w:val="en-GB"/>
        </w:rPr>
        <w:t>Limitation</w:t>
      </w:r>
      <w:r w:rsidRPr="62B9E71C" w:rsidR="0CEBC8D4">
        <w:rPr>
          <w:rFonts w:ascii="Arial" w:hAnsi="Arial" w:eastAsia="Arial" w:cs="Arial"/>
          <w:noProof w:val="0"/>
          <w:color w:val="000000" w:themeColor="text1" w:themeTint="FF" w:themeShade="FF"/>
          <w:sz w:val="16"/>
          <w:szCs w:val="16"/>
          <w:lang w:val="en-GB"/>
        </w:rPr>
        <w:t xml:space="preserve">: assumes a clear hierarchy of responsibilities, which may conflict in real decisions, company has sometimes failed to achieve the ambitious goal they set. </w:t>
      </w:r>
      <w:r w:rsidRPr="62B9E71C" w:rsidR="0CEBC8D4">
        <w:rPr>
          <w:rFonts w:ascii="Arial" w:hAnsi="Arial" w:eastAsia="Arial" w:cs="Arial"/>
          <w:b w:val="1"/>
          <w:bCs w:val="1"/>
          <w:noProof w:val="0"/>
          <w:color w:val="000000" w:themeColor="text1" w:themeTint="FF" w:themeShade="FF"/>
          <w:sz w:val="16"/>
          <w:szCs w:val="16"/>
          <w:lang w:val="en-GB"/>
        </w:rPr>
        <w:t>(</w:t>
      </w:r>
      <w:r w:rsidRPr="62B9E71C" w:rsidR="0CEBC8D4">
        <w:rPr>
          <w:rFonts w:ascii="Arial" w:hAnsi="Arial" w:eastAsia="Arial" w:cs="Arial"/>
          <w:b w:val="1"/>
          <w:bCs w:val="1"/>
          <w:noProof w:val="0"/>
          <w:color w:val="222222"/>
          <w:sz w:val="16"/>
          <w:szCs w:val="16"/>
          <w:lang w:val="en-GB"/>
        </w:rPr>
        <w:t>Carroll, 2016)</w:t>
      </w:r>
    </w:p>
    <w:p xmlns:wp14="http://schemas.microsoft.com/office/word/2010/wordml" w:rsidP="62B9E71C" wp14:paraId="178123EF" wp14:textId="49BD8D43">
      <w:pPr>
        <w:spacing w:after="0" w:line="240" w:lineRule="auto"/>
        <w:rPr>
          <w:rFonts w:ascii="Arial" w:hAnsi="Arial" w:eastAsia="Arial" w:cs="Arial"/>
          <w:noProof w:val="0"/>
          <w:color w:val="222222"/>
          <w:sz w:val="16"/>
          <w:szCs w:val="16"/>
          <w:lang w:val="en-GB"/>
        </w:rPr>
      </w:pPr>
      <w:r w:rsidRPr="62B9E71C" w:rsidR="0CEBC8D4">
        <w:rPr>
          <w:rFonts w:ascii="Arial" w:hAnsi="Arial" w:eastAsia="Arial" w:cs="Arial"/>
          <w:b w:val="1"/>
          <w:bCs w:val="1"/>
          <w:noProof w:val="0"/>
          <w:color w:val="000000" w:themeColor="text1" w:themeTint="FF" w:themeShade="FF"/>
          <w:sz w:val="16"/>
          <w:szCs w:val="16"/>
          <w:lang w:val="en-GB"/>
        </w:rPr>
        <w:t xml:space="preserve">Stakeholder Theory, </w:t>
      </w:r>
      <w:r w:rsidRPr="62B9E71C" w:rsidR="0CEBC8D4">
        <w:rPr>
          <w:rFonts w:ascii="Arial" w:hAnsi="Arial" w:eastAsia="Arial" w:cs="Arial"/>
          <w:noProof w:val="0"/>
          <w:color w:val="000000" w:themeColor="text1" w:themeTint="FF" w:themeShade="FF"/>
          <w:sz w:val="16"/>
          <w:szCs w:val="16"/>
          <w:lang w:val="en-GB"/>
        </w:rPr>
        <w:t xml:space="preserve">Stakeholder Theory argues that firms should consider all stakeholders, not just shareholders. Unilever balances the needs of customers, employees, suppliers, communities, and investors through sustainable sourcing and fair-trade policies like </w:t>
      </w:r>
      <w:r w:rsidRPr="62B9E71C" w:rsidR="0CEBC8D4">
        <w:rPr>
          <w:rFonts w:ascii="Arial" w:hAnsi="Arial" w:eastAsia="Arial" w:cs="Arial"/>
          <w:b w:val="1"/>
          <w:bCs w:val="1"/>
          <w:noProof w:val="0"/>
          <w:color w:val="000000" w:themeColor="text1" w:themeTint="FF" w:themeShade="FF"/>
          <w:sz w:val="16"/>
          <w:szCs w:val="16"/>
          <w:lang w:val="en-GB"/>
        </w:rPr>
        <w:t xml:space="preserve">Responsible Partner Policy (Unilever, 2022). </w:t>
      </w:r>
      <w:r w:rsidRPr="62B9E71C" w:rsidR="0CEBC8D4">
        <w:rPr>
          <w:rFonts w:ascii="Arial" w:hAnsi="Arial" w:eastAsia="Arial" w:cs="Arial"/>
          <w:noProof w:val="0"/>
          <w:color w:val="000000" w:themeColor="text1" w:themeTint="FF" w:themeShade="FF"/>
          <w:sz w:val="16"/>
          <w:szCs w:val="16"/>
          <w:lang w:val="en-GB"/>
        </w:rPr>
        <w:t xml:space="preserve">Consumer behaviour is influenced by trust and brand ethics, increasing loyalty and long-term engagement. Strength: improves reputation and long-term stability. Limitation: conflicting stakeholder interests can reduce short-term profitability. </w:t>
      </w:r>
      <w:r w:rsidRPr="62B9E71C" w:rsidR="0CEBC8D4">
        <w:rPr>
          <w:rFonts w:ascii="Arial" w:hAnsi="Arial" w:eastAsia="Arial" w:cs="Arial"/>
          <w:b w:val="1"/>
          <w:bCs w:val="1"/>
          <w:noProof w:val="0"/>
          <w:color w:val="000000" w:themeColor="text1" w:themeTint="FF" w:themeShade="FF"/>
          <w:sz w:val="16"/>
          <w:szCs w:val="16"/>
          <w:lang w:val="en-GB"/>
        </w:rPr>
        <w:t>(</w:t>
      </w:r>
      <w:r w:rsidRPr="62B9E71C" w:rsidR="0CEBC8D4">
        <w:rPr>
          <w:rFonts w:ascii="Arial" w:hAnsi="Arial" w:eastAsia="Arial" w:cs="Arial"/>
          <w:b w:val="1"/>
          <w:bCs w:val="1"/>
          <w:noProof w:val="0"/>
          <w:color w:val="222222"/>
          <w:sz w:val="16"/>
          <w:szCs w:val="16"/>
          <w:lang w:val="en-GB"/>
        </w:rPr>
        <w:t>Parmar, et al., 2016)</w:t>
      </w:r>
    </w:p>
    <w:p xmlns:wp14="http://schemas.microsoft.com/office/word/2010/wordml" w:rsidP="62B9E71C" wp14:paraId="32C9CA11" wp14:textId="7585EE2D">
      <w:pPr>
        <w:spacing w:after="0" w:line="240" w:lineRule="auto"/>
        <w:rPr>
          <w:rFonts w:ascii="Aptos" w:hAnsi="Aptos" w:eastAsia="Aptos" w:cs="Aptos"/>
          <w:noProof w:val="0"/>
          <w:sz w:val="16"/>
          <w:szCs w:val="16"/>
          <w:lang w:val="en-GB"/>
        </w:rPr>
      </w:pPr>
    </w:p>
    <w:p xmlns:wp14="http://schemas.microsoft.com/office/word/2010/wordml" w:rsidP="62B9E71C" wp14:paraId="1BF238CE" wp14:textId="53E1AE01">
      <w:pPr>
        <w:spacing w:after="0" w:line="240" w:lineRule="auto"/>
        <w:rPr>
          <w:rFonts w:ascii="Aptos" w:hAnsi="Aptos" w:eastAsia="Aptos" w:cs="Aptos"/>
          <w:noProof w:val="0"/>
          <w:sz w:val="16"/>
          <w:szCs w:val="16"/>
          <w:lang w:val="en-GB"/>
        </w:rPr>
      </w:pPr>
      <w:r w:rsidRPr="62B9E71C" w:rsidR="0CEBC8D4">
        <w:rPr>
          <w:rFonts w:ascii="Aptos" w:hAnsi="Aptos" w:eastAsia="Aptos" w:cs="Aptos"/>
          <w:b w:val="1"/>
          <w:bCs w:val="1"/>
          <w:noProof w:val="0"/>
          <w:sz w:val="16"/>
          <w:szCs w:val="16"/>
          <w:lang w:val="en-GB"/>
        </w:rPr>
        <w:t xml:space="preserve">Microeconomics </w:t>
      </w:r>
      <w:r w:rsidRPr="62B9E71C" w:rsidR="0CEBC8D4">
        <w:rPr>
          <w:rFonts w:ascii="Aptos" w:hAnsi="Aptos" w:eastAsia="Aptos" w:cs="Aptos"/>
          <w:noProof w:val="0"/>
          <w:sz w:val="16"/>
          <w:szCs w:val="16"/>
          <w:lang w:val="en-GB"/>
        </w:rPr>
        <w:t xml:space="preserve">Supply and demand </w:t>
      </w:r>
      <w:r w:rsidRPr="62B9E71C" w:rsidR="0CEBC8D4">
        <w:rPr>
          <w:rFonts w:ascii="Arial" w:hAnsi="Arial" w:eastAsia="Arial" w:cs="Arial"/>
          <w:noProof w:val="0"/>
          <w:color w:val="000000" w:themeColor="text1" w:themeTint="FF" w:themeShade="FF"/>
          <w:sz w:val="16"/>
          <w:szCs w:val="16"/>
          <w:lang w:val="en-GB"/>
        </w:rPr>
        <w:t>(Hormuz strait, geopolitics)</w:t>
      </w:r>
      <w:r w:rsidRPr="62B9E71C" w:rsidR="0CEBC8D4">
        <w:rPr>
          <w:rFonts w:ascii="Aptos" w:hAnsi="Aptos" w:eastAsia="Aptos" w:cs="Aptos"/>
          <w:noProof w:val="0"/>
          <w:sz w:val="16"/>
          <w:szCs w:val="16"/>
          <w:lang w:val="en-GB"/>
        </w:rPr>
        <w:t xml:space="preserve"> / </w:t>
      </w:r>
      <w:r w:rsidRPr="62B9E71C" w:rsidR="0CEBC8D4">
        <w:rPr>
          <w:rFonts w:ascii="Aptos" w:hAnsi="Aptos" w:eastAsia="Aptos" w:cs="Aptos"/>
          <w:b w:val="1"/>
          <w:bCs w:val="1"/>
          <w:noProof w:val="0"/>
          <w:sz w:val="16"/>
          <w:szCs w:val="16"/>
          <w:lang w:val="en-GB"/>
        </w:rPr>
        <w:t xml:space="preserve">PED (price and YED (income) </w:t>
      </w:r>
      <w:r w:rsidRPr="62B9E71C" w:rsidR="0CEBC8D4">
        <w:rPr>
          <w:rFonts w:ascii="Aptos" w:hAnsi="Aptos" w:eastAsia="Aptos" w:cs="Aptos"/>
          <w:noProof w:val="0"/>
          <w:sz w:val="16"/>
          <w:szCs w:val="16"/>
          <w:lang w:val="en-GB"/>
        </w:rPr>
        <w:t xml:space="preserve">and how it can affect consumers across companies. (Fixed vs variable costs) </w:t>
      </w:r>
      <w:r w:rsidRPr="62B9E71C" w:rsidR="0CEBC8D4">
        <w:rPr>
          <w:rFonts w:ascii="Aptos" w:hAnsi="Aptos" w:eastAsia="Aptos" w:cs="Aptos"/>
          <w:b w:val="1"/>
          <w:bCs w:val="1"/>
          <w:noProof w:val="0"/>
          <w:sz w:val="16"/>
          <w:szCs w:val="16"/>
          <w:lang w:val="en-GB"/>
        </w:rPr>
        <w:t xml:space="preserve">Economies of scale, </w:t>
      </w:r>
      <w:r w:rsidRPr="62B9E71C" w:rsidR="0CEBC8D4">
        <w:rPr>
          <w:rFonts w:ascii="Aptos" w:hAnsi="Aptos" w:eastAsia="Aptos" w:cs="Aptos"/>
          <w:noProof w:val="0"/>
          <w:sz w:val="16"/>
          <w:szCs w:val="16"/>
          <w:lang w:val="en-GB"/>
        </w:rPr>
        <w:t xml:space="preserve">Break-even logic, Consumer behaviour and pricing sensitivity. </w:t>
      </w:r>
    </w:p>
    <w:p xmlns:wp14="http://schemas.microsoft.com/office/word/2010/wordml" w:rsidP="62B9E71C" wp14:paraId="70AF786D" wp14:textId="50585F61">
      <w:pPr>
        <w:spacing w:after="0" w:line="240" w:lineRule="auto"/>
        <w:rPr>
          <w:rFonts w:ascii="Aptos" w:hAnsi="Aptos" w:eastAsia="Aptos" w:cs="Aptos"/>
          <w:noProof w:val="0"/>
          <w:sz w:val="16"/>
          <w:szCs w:val="16"/>
          <w:lang w:val="en-GB"/>
        </w:rPr>
      </w:pPr>
    </w:p>
    <w:p xmlns:wp14="http://schemas.microsoft.com/office/word/2010/wordml" w:rsidP="62B9E71C" wp14:paraId="35E45198" wp14:textId="353C2904">
      <w:pPr>
        <w:spacing w:after="0" w:line="240" w:lineRule="auto"/>
        <w:rPr>
          <w:rFonts w:ascii="Aptos" w:hAnsi="Aptos" w:eastAsia="Aptos" w:cs="Aptos"/>
          <w:noProof w:val="0"/>
          <w:sz w:val="16"/>
          <w:szCs w:val="16"/>
          <w:lang w:val="en-GB"/>
        </w:rPr>
      </w:pPr>
      <w:r w:rsidRPr="62B9E71C" w:rsidR="0CEBC8D4">
        <w:rPr>
          <w:rFonts w:ascii="Aptos" w:hAnsi="Aptos" w:eastAsia="Aptos" w:cs="Aptos"/>
          <w:b w:val="1"/>
          <w:bCs w:val="1"/>
          <w:noProof w:val="0"/>
          <w:sz w:val="16"/>
          <w:szCs w:val="16"/>
          <w:lang w:val="en-GB"/>
        </w:rPr>
        <w:t xml:space="preserve">Macroeconomics </w:t>
      </w:r>
      <w:r w:rsidRPr="62B9E71C" w:rsidR="0CEBC8D4">
        <w:rPr>
          <w:rFonts w:ascii="Aptos" w:hAnsi="Aptos" w:eastAsia="Aptos" w:cs="Aptos"/>
          <w:noProof w:val="0"/>
          <w:sz w:val="16"/>
          <w:szCs w:val="16"/>
          <w:lang w:val="en-GB"/>
        </w:rPr>
        <w:t>Inflation / Interest rates /Exchange rates / GDP growth/ Unemployment Consumer confidence/ How each affects firm strategy</w:t>
      </w:r>
      <w:r w:rsidRPr="62B9E71C" w:rsidR="0CEBC8D4">
        <w:rPr>
          <w:rFonts w:ascii="Aptos" w:hAnsi="Aptos" w:eastAsia="Aptos" w:cs="Aptos"/>
          <w:b w:val="1"/>
          <w:bCs w:val="1"/>
          <w:noProof w:val="0"/>
          <w:sz w:val="16"/>
          <w:szCs w:val="16"/>
          <w:lang w:val="en-GB"/>
        </w:rPr>
        <w:t xml:space="preserve"> i.e. </w:t>
      </w:r>
      <w:r w:rsidRPr="62B9E71C" w:rsidR="0CEBC8D4">
        <w:rPr>
          <w:rFonts w:ascii="Aptos" w:hAnsi="Aptos" w:eastAsia="Aptos" w:cs="Aptos"/>
          <w:noProof w:val="0"/>
          <w:sz w:val="16"/>
          <w:szCs w:val="16"/>
          <w:lang w:val="en-GB"/>
        </w:rPr>
        <w:t>Inflation raises input costs, high interest rates reduce borrowing and consumer spending exchange rate appreciation makes exports less competitive, recession may shift strategy toward cost leadership</w:t>
      </w:r>
    </w:p>
    <w:p xmlns:wp14="http://schemas.microsoft.com/office/word/2010/wordml" w:rsidP="62B9E71C" wp14:paraId="7C55CEC6" wp14:textId="43002094">
      <w:pPr>
        <w:spacing w:after="0" w:line="240" w:lineRule="auto"/>
        <w:rPr>
          <w:rFonts w:ascii="Aptos" w:hAnsi="Aptos" w:eastAsia="Aptos" w:cs="Aptos"/>
          <w:noProof w:val="0"/>
          <w:sz w:val="16"/>
          <w:szCs w:val="16"/>
          <w:lang w:val="en-GB"/>
        </w:rPr>
      </w:pPr>
    </w:p>
    <w:p xmlns:wp14="http://schemas.microsoft.com/office/word/2010/wordml" w:rsidP="62B9E71C" wp14:paraId="319CB03B" wp14:textId="3031D0CD">
      <w:pPr>
        <w:pStyle w:val="NoSpacing"/>
        <w:spacing w:after="0" w:line="240" w:lineRule="auto"/>
        <w:rPr>
          <w:rFonts w:ascii="Aptos" w:hAnsi="Aptos" w:eastAsia="Aptos" w:cs="Aptos"/>
          <w:noProof w:val="0"/>
          <w:sz w:val="16"/>
          <w:szCs w:val="16"/>
          <w:lang w:val="en-GB"/>
        </w:rPr>
      </w:pPr>
      <w:r w:rsidRPr="62B9E71C" w:rsidR="0CEBC8D4">
        <w:rPr>
          <w:rFonts w:ascii="Aptos" w:hAnsi="Aptos" w:eastAsia="Aptos" w:cs="Aptos"/>
          <w:b w:val="1"/>
          <w:bCs w:val="1"/>
          <w:noProof w:val="0"/>
          <w:sz w:val="16"/>
          <w:szCs w:val="16"/>
          <w:lang w:val="en-GB"/>
        </w:rPr>
        <w:t xml:space="preserve">Market structures </w:t>
      </w:r>
      <w:r w:rsidRPr="62B9E71C" w:rsidR="0CEBC8D4">
        <w:rPr>
          <w:rFonts w:ascii="Aptos" w:hAnsi="Aptos" w:eastAsia="Aptos" w:cs="Aptos"/>
          <w:noProof w:val="0"/>
          <w:sz w:val="16"/>
          <w:szCs w:val="16"/>
          <w:lang w:val="en-GB"/>
        </w:rPr>
        <w:t xml:space="preserve">Monopolistic competition (similar products), Oligopoly (few firms), Monopoly (one) </w:t>
      </w:r>
      <w:r w:rsidRPr="62B9E71C" w:rsidR="0CEBC8D4">
        <w:rPr>
          <w:rFonts w:ascii="Aptos" w:hAnsi="Aptos" w:eastAsia="Aptos" w:cs="Aptos"/>
          <w:b w:val="1"/>
          <w:bCs w:val="1"/>
          <w:noProof w:val="0"/>
          <w:sz w:val="16"/>
          <w:szCs w:val="16"/>
          <w:lang w:val="en-GB"/>
        </w:rPr>
        <w:t>Strategy tools P</w:t>
      </w:r>
      <w:r w:rsidRPr="62B9E71C" w:rsidR="0CEBC8D4">
        <w:rPr>
          <w:rFonts w:ascii="Aptos" w:hAnsi="Aptos" w:eastAsia="Aptos" w:cs="Aptos"/>
          <w:noProof w:val="0"/>
          <w:sz w:val="16"/>
          <w:szCs w:val="16"/>
          <w:lang w:val="en-GB"/>
        </w:rPr>
        <w:t>orter’s Generic Strategies, Value Chain, SWOT vs TOWS Vision/Mission/Objectives</w:t>
      </w:r>
    </w:p>
    <w:p xmlns:wp14="http://schemas.microsoft.com/office/word/2010/wordml" w:rsidP="62B9E71C" wp14:paraId="4D7E090D" wp14:textId="3301F73D">
      <w:pPr>
        <w:spacing w:after="0" w:line="240" w:lineRule="auto"/>
        <w:rPr>
          <w:rFonts w:ascii="Aptos" w:hAnsi="Aptos" w:eastAsia="Aptos" w:cs="Aptos"/>
          <w:noProof w:val="0"/>
          <w:sz w:val="16"/>
          <w:szCs w:val="16"/>
          <w:lang w:val="en-GB"/>
        </w:rPr>
      </w:pPr>
    </w:p>
    <w:p xmlns:wp14="http://schemas.microsoft.com/office/word/2010/wordml" w:rsidP="62B9E71C" wp14:paraId="4275F6EC" wp14:textId="3C2B01DE">
      <w:pPr>
        <w:pStyle w:val="NoSpacing"/>
        <w:spacing w:after="0" w:line="240" w:lineRule="auto"/>
        <w:rPr>
          <w:rFonts w:ascii="Aptos" w:hAnsi="Aptos" w:eastAsia="Aptos" w:cs="Aptos"/>
          <w:noProof w:val="0"/>
          <w:sz w:val="16"/>
          <w:szCs w:val="16"/>
          <w:lang w:val="en-GB"/>
        </w:rPr>
      </w:pPr>
      <w:r w:rsidRPr="62B9E71C" w:rsidR="0CEBC8D4">
        <w:rPr>
          <w:rFonts w:ascii="Aptos" w:hAnsi="Aptos" w:eastAsia="Aptos" w:cs="Aptos"/>
          <w:b w:val="1"/>
          <w:bCs w:val="1"/>
          <w:noProof w:val="0"/>
          <w:sz w:val="16"/>
          <w:szCs w:val="16"/>
          <w:lang w:val="en-GB"/>
        </w:rPr>
        <w:t>Sustainability A</w:t>
      </w:r>
      <w:r w:rsidRPr="62B9E71C" w:rsidR="0CEBC8D4">
        <w:rPr>
          <w:rFonts w:ascii="Aptos" w:hAnsi="Aptos" w:eastAsia="Aptos" w:cs="Aptos"/>
          <w:noProof w:val="0"/>
          <w:sz w:val="16"/>
          <w:szCs w:val="16"/>
          <w:lang w:val="en-GB"/>
        </w:rPr>
        <w:t>s a strategic constraint/opportunity regulation, reputation, cost reduction, innovation, investor pressure</w:t>
      </w:r>
    </w:p>
    <w:p xmlns:wp14="http://schemas.microsoft.com/office/word/2010/wordml" w:rsidP="62B9E71C" wp14:paraId="29533848" wp14:textId="1FA1AB96">
      <w:pPr>
        <w:spacing w:after="0" w:line="240" w:lineRule="auto"/>
        <w:rPr>
          <w:rFonts w:ascii="Aptos" w:hAnsi="Aptos" w:eastAsia="Aptos" w:cs="Aptos"/>
          <w:noProof w:val="0"/>
          <w:sz w:val="20"/>
          <w:szCs w:val="20"/>
          <w:lang w:val="en-GB"/>
        </w:rPr>
      </w:pPr>
    </w:p>
    <w:p xmlns:wp14="http://schemas.microsoft.com/office/word/2010/wordml" w:rsidP="62B9E71C" wp14:paraId="77EDB70B" wp14:textId="67E78FBA">
      <w:pPr>
        <w:spacing w:after="0" w:line="240" w:lineRule="auto"/>
        <w:rPr>
          <w:rFonts w:ascii="Aptos" w:hAnsi="Aptos" w:eastAsia="Aptos" w:cs="Aptos"/>
          <w:noProof w:val="0"/>
          <w:sz w:val="20"/>
          <w:szCs w:val="20"/>
          <w:lang w:val="en-GB"/>
        </w:rPr>
      </w:pPr>
      <w:r w:rsidRPr="62B9E71C" w:rsidR="0CEBC8D4">
        <w:rPr>
          <w:rFonts w:ascii="Aptos" w:hAnsi="Aptos" w:eastAsia="Aptos" w:cs="Aptos"/>
          <w:b w:val="1"/>
          <w:bCs w:val="1"/>
          <w:strike w:val="0"/>
          <w:dstrike w:val="0"/>
          <w:noProof w:val="0"/>
          <w:sz w:val="20"/>
          <w:szCs w:val="20"/>
          <w:u w:val="single"/>
          <w:lang w:val="en-GB"/>
        </w:rPr>
        <w:t>References</w:t>
      </w:r>
    </w:p>
    <w:p xmlns:wp14="http://schemas.microsoft.com/office/word/2010/wordml" w:rsidP="62B9E71C" wp14:paraId="5CBC8F35" wp14:textId="70C4189E">
      <w:pPr>
        <w:spacing w:before="240" w:after="240"/>
        <w:rPr>
          <w:rFonts w:ascii="Aptos" w:hAnsi="Aptos" w:eastAsia="Aptos" w:cs="Aptos"/>
          <w:noProof w:val="0"/>
          <w:color w:val="000000" w:themeColor="text1" w:themeTint="FF" w:themeShade="FF"/>
          <w:sz w:val="18"/>
          <w:szCs w:val="18"/>
          <w:lang w:val="en-GB"/>
        </w:rPr>
      </w:pPr>
      <w:r w:rsidRPr="62B9E71C" w:rsidR="0CEBC8D4">
        <w:rPr>
          <w:rFonts w:ascii="Aptos" w:hAnsi="Aptos" w:eastAsia="Aptos" w:cs="Aptos"/>
          <w:noProof w:val="0"/>
          <w:color w:val="000000" w:themeColor="text1" w:themeTint="FF" w:themeShade="FF"/>
          <w:sz w:val="18"/>
          <w:szCs w:val="18"/>
          <w:lang w:val="en-GB"/>
        </w:rPr>
        <w:t xml:space="preserve">Aguilar, F.J. 1967. </w:t>
      </w:r>
      <w:r w:rsidRPr="62B9E71C" w:rsidR="0CEBC8D4">
        <w:rPr>
          <w:rFonts w:ascii="Aptos" w:hAnsi="Aptos" w:eastAsia="Aptos" w:cs="Aptos"/>
          <w:i w:val="1"/>
          <w:iCs w:val="1"/>
          <w:noProof w:val="0"/>
          <w:color w:val="000000" w:themeColor="text1" w:themeTint="FF" w:themeShade="FF"/>
          <w:sz w:val="18"/>
          <w:szCs w:val="18"/>
          <w:lang w:val="en-GB"/>
        </w:rPr>
        <w:t>Scanning the business environment</w:t>
      </w:r>
      <w:r w:rsidRPr="62B9E71C" w:rsidR="0CEBC8D4">
        <w:rPr>
          <w:rFonts w:ascii="Aptos" w:hAnsi="Aptos" w:eastAsia="Aptos" w:cs="Aptos"/>
          <w:noProof w:val="0"/>
          <w:color w:val="000000" w:themeColor="text1" w:themeTint="FF" w:themeShade="FF"/>
          <w:sz w:val="18"/>
          <w:szCs w:val="18"/>
          <w:lang w:val="en-GB"/>
        </w:rPr>
        <w:t>. New York: Macmillan.</w:t>
      </w:r>
    </w:p>
    <w:p xmlns:wp14="http://schemas.microsoft.com/office/word/2010/wordml" w:rsidP="62B9E71C" wp14:paraId="2BF9AF32" wp14:textId="583E576F">
      <w:pPr>
        <w:spacing w:before="240" w:after="240"/>
        <w:rPr>
          <w:rFonts w:ascii="Aptos" w:hAnsi="Aptos" w:eastAsia="Aptos" w:cs="Aptos"/>
          <w:noProof w:val="0"/>
          <w:color w:val="000000" w:themeColor="text1" w:themeTint="FF" w:themeShade="FF"/>
          <w:sz w:val="18"/>
          <w:szCs w:val="18"/>
          <w:lang w:val="en-GB"/>
        </w:rPr>
      </w:pPr>
      <w:r w:rsidRPr="62B9E71C" w:rsidR="0CEBC8D4">
        <w:rPr>
          <w:rFonts w:ascii="Aptos" w:hAnsi="Aptos" w:eastAsia="Aptos" w:cs="Aptos"/>
          <w:noProof w:val="0"/>
          <w:color w:val="000000" w:themeColor="text1" w:themeTint="FF" w:themeShade="FF"/>
          <w:sz w:val="18"/>
          <w:szCs w:val="18"/>
          <w:lang w:val="en-GB"/>
        </w:rPr>
        <w:t xml:space="preserve">Ansoff, H.I. 1957. ‘Strategies for diversification’, </w:t>
      </w:r>
      <w:r w:rsidRPr="62B9E71C" w:rsidR="0CEBC8D4">
        <w:rPr>
          <w:rFonts w:ascii="Aptos" w:hAnsi="Aptos" w:eastAsia="Aptos" w:cs="Aptos"/>
          <w:i w:val="1"/>
          <w:iCs w:val="1"/>
          <w:noProof w:val="0"/>
          <w:color w:val="000000" w:themeColor="text1" w:themeTint="FF" w:themeShade="FF"/>
          <w:sz w:val="18"/>
          <w:szCs w:val="18"/>
          <w:lang w:val="en-GB"/>
        </w:rPr>
        <w:t>Harvard Business Review</w:t>
      </w:r>
      <w:r w:rsidRPr="62B9E71C" w:rsidR="0CEBC8D4">
        <w:rPr>
          <w:rFonts w:ascii="Aptos" w:hAnsi="Aptos" w:eastAsia="Aptos" w:cs="Aptos"/>
          <w:noProof w:val="0"/>
          <w:color w:val="000000" w:themeColor="text1" w:themeTint="FF" w:themeShade="FF"/>
          <w:sz w:val="18"/>
          <w:szCs w:val="18"/>
          <w:lang w:val="en-GB"/>
        </w:rPr>
        <w:t>, 35(5), pp. 113–124.</w:t>
      </w:r>
    </w:p>
    <w:p xmlns:wp14="http://schemas.microsoft.com/office/word/2010/wordml" w:rsidP="62B9E71C" wp14:paraId="7AD383BE" wp14:textId="01DB9D4E">
      <w:pPr>
        <w:spacing w:before="240" w:after="240"/>
        <w:rPr>
          <w:rFonts w:ascii="Aptos" w:hAnsi="Aptos" w:eastAsia="Aptos" w:cs="Aptos"/>
          <w:noProof w:val="0"/>
          <w:color w:val="000000" w:themeColor="text1" w:themeTint="FF" w:themeShade="FF"/>
          <w:sz w:val="18"/>
          <w:szCs w:val="18"/>
          <w:lang w:val="en-GB"/>
        </w:rPr>
      </w:pPr>
      <w:r w:rsidRPr="62B9E71C" w:rsidR="0CEBC8D4">
        <w:rPr>
          <w:rFonts w:ascii="Aptos" w:hAnsi="Aptos" w:eastAsia="Aptos" w:cs="Aptos"/>
          <w:noProof w:val="0"/>
          <w:color w:val="000000" w:themeColor="text1" w:themeTint="FF" w:themeShade="FF"/>
          <w:sz w:val="18"/>
          <w:szCs w:val="18"/>
          <w:lang w:val="en-GB"/>
        </w:rPr>
        <w:t xml:space="preserve">Barney, J.B. 1991. ‘Firm resources and sustained competitive advantage’, </w:t>
      </w:r>
      <w:r w:rsidRPr="62B9E71C" w:rsidR="0CEBC8D4">
        <w:rPr>
          <w:rFonts w:ascii="Aptos" w:hAnsi="Aptos" w:eastAsia="Aptos" w:cs="Aptos"/>
          <w:i w:val="1"/>
          <w:iCs w:val="1"/>
          <w:noProof w:val="0"/>
          <w:color w:val="000000" w:themeColor="text1" w:themeTint="FF" w:themeShade="FF"/>
          <w:sz w:val="18"/>
          <w:szCs w:val="18"/>
          <w:lang w:val="en-GB"/>
        </w:rPr>
        <w:t>Journal of Management</w:t>
      </w:r>
      <w:r w:rsidRPr="62B9E71C" w:rsidR="0CEBC8D4">
        <w:rPr>
          <w:rFonts w:ascii="Aptos" w:hAnsi="Aptos" w:eastAsia="Aptos" w:cs="Aptos"/>
          <w:noProof w:val="0"/>
          <w:color w:val="000000" w:themeColor="text1" w:themeTint="FF" w:themeShade="FF"/>
          <w:sz w:val="18"/>
          <w:szCs w:val="18"/>
          <w:lang w:val="en-GB"/>
        </w:rPr>
        <w:t>, 17(1), pp. 99–120. doi: 10.1177/014920639101700108.</w:t>
      </w:r>
    </w:p>
    <w:p xmlns:wp14="http://schemas.microsoft.com/office/word/2010/wordml" w:rsidP="62B9E71C" wp14:paraId="49E32CDE" wp14:textId="0B9E7E79">
      <w:pPr>
        <w:spacing w:before="240" w:after="240"/>
        <w:rPr>
          <w:rFonts w:ascii="Aptos" w:hAnsi="Aptos" w:eastAsia="Aptos" w:cs="Aptos"/>
          <w:noProof w:val="0"/>
          <w:color w:val="000000" w:themeColor="text1" w:themeTint="FF" w:themeShade="FF"/>
          <w:sz w:val="18"/>
          <w:szCs w:val="18"/>
          <w:lang w:val="en-GB"/>
        </w:rPr>
      </w:pPr>
      <w:r w:rsidRPr="62B9E71C" w:rsidR="0CEBC8D4">
        <w:rPr>
          <w:rFonts w:ascii="Aptos" w:hAnsi="Aptos" w:eastAsia="Aptos" w:cs="Aptos"/>
          <w:noProof w:val="0"/>
          <w:color w:val="000000" w:themeColor="text1" w:themeTint="FF" w:themeShade="FF"/>
          <w:sz w:val="18"/>
          <w:szCs w:val="18"/>
          <w:lang w:val="en-GB"/>
        </w:rPr>
        <w:t xml:space="preserve">Carroll, A.B. 2016. ‘Carroll’s pyramid of CSR: Taking another look’, </w:t>
      </w:r>
      <w:r w:rsidRPr="62B9E71C" w:rsidR="0CEBC8D4">
        <w:rPr>
          <w:rFonts w:ascii="Aptos" w:hAnsi="Aptos" w:eastAsia="Aptos" w:cs="Aptos"/>
          <w:i w:val="1"/>
          <w:iCs w:val="1"/>
          <w:noProof w:val="0"/>
          <w:color w:val="000000" w:themeColor="text1" w:themeTint="FF" w:themeShade="FF"/>
          <w:sz w:val="18"/>
          <w:szCs w:val="18"/>
          <w:lang w:val="en-GB"/>
        </w:rPr>
        <w:t>International Journal of Corporate Social Responsibility</w:t>
      </w:r>
      <w:r w:rsidRPr="62B9E71C" w:rsidR="0CEBC8D4">
        <w:rPr>
          <w:rFonts w:ascii="Aptos" w:hAnsi="Aptos" w:eastAsia="Aptos" w:cs="Aptos"/>
          <w:noProof w:val="0"/>
          <w:color w:val="000000" w:themeColor="text1" w:themeTint="FF" w:themeShade="FF"/>
          <w:sz w:val="18"/>
          <w:szCs w:val="18"/>
          <w:lang w:val="en-GB"/>
        </w:rPr>
        <w:t>, 1(1), p. 3.</w:t>
      </w:r>
    </w:p>
    <w:p xmlns:wp14="http://schemas.microsoft.com/office/word/2010/wordml" w:rsidP="62B9E71C" wp14:paraId="12573030" wp14:textId="4F4ACD3F">
      <w:pPr>
        <w:spacing w:before="240" w:after="240"/>
        <w:rPr>
          <w:rFonts w:ascii="Aptos" w:hAnsi="Aptos" w:eastAsia="Aptos" w:cs="Aptos"/>
          <w:noProof w:val="0"/>
          <w:color w:val="000000" w:themeColor="text1" w:themeTint="FF" w:themeShade="FF"/>
          <w:sz w:val="18"/>
          <w:szCs w:val="18"/>
          <w:lang w:val="en-GB"/>
        </w:rPr>
      </w:pPr>
      <w:r w:rsidRPr="62B9E71C" w:rsidR="0CEBC8D4">
        <w:rPr>
          <w:rFonts w:ascii="Aptos" w:hAnsi="Aptos" w:eastAsia="Aptos" w:cs="Aptos"/>
          <w:noProof w:val="0"/>
          <w:color w:val="000000" w:themeColor="text1" w:themeTint="FF" w:themeShade="FF"/>
          <w:sz w:val="18"/>
          <w:szCs w:val="18"/>
          <w:lang w:val="en-GB"/>
        </w:rPr>
        <w:t>Gorb, O.O., Dorohan-Pisarenko, L.O., Yehorova, O.V., Yasnolob, I.O. and Doroshenko, A.P. 2022. ‘Boston Consulting Group matrix: Opportunities for use in economic analysis’.</w:t>
      </w:r>
    </w:p>
    <w:p xmlns:wp14="http://schemas.microsoft.com/office/word/2010/wordml" w:rsidP="62B9E71C" wp14:paraId="3E996772" wp14:textId="72EB9533">
      <w:pPr>
        <w:spacing w:before="240" w:after="240"/>
        <w:rPr>
          <w:rFonts w:ascii="Aptos" w:hAnsi="Aptos" w:eastAsia="Aptos" w:cs="Aptos"/>
          <w:noProof w:val="0"/>
          <w:color w:val="000000" w:themeColor="text1" w:themeTint="FF" w:themeShade="FF"/>
          <w:sz w:val="18"/>
          <w:szCs w:val="18"/>
          <w:lang w:val="en-GB"/>
        </w:rPr>
      </w:pPr>
      <w:r w:rsidRPr="62B9E71C" w:rsidR="0CEBC8D4">
        <w:rPr>
          <w:rFonts w:ascii="Aptos" w:hAnsi="Aptos" w:eastAsia="Aptos" w:cs="Aptos"/>
          <w:noProof w:val="0"/>
          <w:color w:val="000000" w:themeColor="text1" w:themeTint="FF" w:themeShade="FF"/>
          <w:sz w:val="18"/>
          <w:szCs w:val="18"/>
          <w:lang w:val="en-GB"/>
        </w:rPr>
        <w:t xml:space="preserve">Grant, R.M. 2019. </w:t>
      </w:r>
      <w:r w:rsidRPr="62B9E71C" w:rsidR="0CEBC8D4">
        <w:rPr>
          <w:rFonts w:ascii="Aptos" w:hAnsi="Aptos" w:eastAsia="Aptos" w:cs="Aptos"/>
          <w:i w:val="1"/>
          <w:iCs w:val="1"/>
          <w:noProof w:val="0"/>
          <w:color w:val="000000" w:themeColor="text1" w:themeTint="FF" w:themeShade="FF"/>
          <w:sz w:val="18"/>
          <w:szCs w:val="18"/>
          <w:lang w:val="en-GB"/>
        </w:rPr>
        <w:t>Contemporary Strategy Analysis</w:t>
      </w:r>
      <w:r w:rsidRPr="62B9E71C" w:rsidR="0CEBC8D4">
        <w:rPr>
          <w:rFonts w:ascii="Aptos" w:hAnsi="Aptos" w:eastAsia="Aptos" w:cs="Aptos"/>
          <w:noProof w:val="0"/>
          <w:color w:val="000000" w:themeColor="text1" w:themeTint="FF" w:themeShade="FF"/>
          <w:sz w:val="18"/>
          <w:szCs w:val="18"/>
          <w:lang w:val="en-GB"/>
        </w:rPr>
        <w:t>. Wiley.</w:t>
      </w:r>
    </w:p>
    <w:p xmlns:wp14="http://schemas.microsoft.com/office/word/2010/wordml" w:rsidP="62B9E71C" wp14:paraId="41D0E3F7" wp14:textId="750CE767">
      <w:pPr>
        <w:spacing w:before="240" w:after="240"/>
        <w:rPr>
          <w:rFonts w:ascii="Aptos" w:hAnsi="Aptos" w:eastAsia="Aptos" w:cs="Aptos"/>
          <w:noProof w:val="0"/>
          <w:color w:val="000000" w:themeColor="text1" w:themeTint="FF" w:themeShade="FF"/>
          <w:sz w:val="18"/>
          <w:szCs w:val="18"/>
          <w:lang w:val="en-GB"/>
        </w:rPr>
      </w:pPr>
      <w:r w:rsidRPr="62B9E71C" w:rsidR="0CEBC8D4">
        <w:rPr>
          <w:rFonts w:ascii="Aptos" w:hAnsi="Aptos" w:eastAsia="Aptos" w:cs="Aptos"/>
          <w:noProof w:val="0"/>
          <w:color w:val="000000" w:themeColor="text1" w:themeTint="FF" w:themeShade="FF"/>
          <w:sz w:val="18"/>
          <w:szCs w:val="18"/>
          <w:lang w:val="en-GB"/>
        </w:rPr>
        <w:t xml:space="preserve">Kotler, P. 2017. </w:t>
      </w:r>
      <w:r w:rsidRPr="62B9E71C" w:rsidR="0CEBC8D4">
        <w:rPr>
          <w:rFonts w:ascii="Aptos" w:hAnsi="Aptos" w:eastAsia="Aptos" w:cs="Aptos"/>
          <w:i w:val="1"/>
          <w:iCs w:val="1"/>
          <w:noProof w:val="0"/>
          <w:color w:val="000000" w:themeColor="text1" w:themeTint="FF" w:themeShade="FF"/>
          <w:sz w:val="18"/>
          <w:szCs w:val="18"/>
          <w:lang w:val="en-GB"/>
        </w:rPr>
        <w:t>Marketing Management</w:t>
      </w:r>
      <w:r w:rsidRPr="62B9E71C" w:rsidR="0CEBC8D4">
        <w:rPr>
          <w:rFonts w:ascii="Aptos" w:hAnsi="Aptos" w:eastAsia="Aptos" w:cs="Aptos"/>
          <w:noProof w:val="0"/>
          <w:color w:val="000000" w:themeColor="text1" w:themeTint="FF" w:themeShade="FF"/>
          <w:sz w:val="18"/>
          <w:szCs w:val="18"/>
          <w:lang w:val="en-GB"/>
        </w:rPr>
        <w:t>. 15th edn. Pearson.</w:t>
      </w:r>
    </w:p>
    <w:p xmlns:wp14="http://schemas.microsoft.com/office/word/2010/wordml" w:rsidP="62B9E71C" wp14:paraId="56935BF2" wp14:textId="683D5BD8">
      <w:pPr>
        <w:spacing w:before="240" w:after="240"/>
        <w:rPr>
          <w:rFonts w:ascii="Aptos" w:hAnsi="Aptos" w:eastAsia="Aptos" w:cs="Aptos"/>
          <w:noProof w:val="0"/>
          <w:sz w:val="18"/>
          <w:szCs w:val="18"/>
          <w:lang w:val="en-GB"/>
        </w:rPr>
      </w:pPr>
      <w:r w:rsidRPr="62B9E71C" w:rsidR="0CEBC8D4">
        <w:rPr>
          <w:rFonts w:ascii="Aptos" w:hAnsi="Aptos" w:eastAsia="Aptos" w:cs="Aptos"/>
          <w:noProof w:val="0"/>
          <w:color w:val="000000" w:themeColor="text1" w:themeTint="FF" w:themeShade="FF"/>
          <w:sz w:val="18"/>
          <w:szCs w:val="18"/>
          <w:lang w:val="en-GB"/>
        </w:rPr>
        <w:t xml:space="preserve">Nike. 2024. </w:t>
      </w:r>
      <w:r w:rsidRPr="62B9E71C" w:rsidR="0CEBC8D4">
        <w:rPr>
          <w:rFonts w:ascii="Aptos" w:hAnsi="Aptos" w:eastAsia="Aptos" w:cs="Aptos"/>
          <w:i w:val="1"/>
          <w:iCs w:val="1"/>
          <w:noProof w:val="0"/>
          <w:color w:val="000000" w:themeColor="text1" w:themeTint="FF" w:themeShade="FF"/>
          <w:sz w:val="18"/>
          <w:szCs w:val="18"/>
          <w:lang w:val="en-GB"/>
        </w:rPr>
        <w:t>Annual Report</w:t>
      </w:r>
      <w:r w:rsidRPr="62B9E71C" w:rsidR="0CEBC8D4">
        <w:rPr>
          <w:rFonts w:ascii="Aptos" w:hAnsi="Aptos" w:eastAsia="Aptos" w:cs="Aptos"/>
          <w:noProof w:val="0"/>
          <w:color w:val="000000" w:themeColor="text1" w:themeTint="FF" w:themeShade="FF"/>
          <w:sz w:val="18"/>
          <w:szCs w:val="18"/>
          <w:lang w:val="en-GB"/>
        </w:rPr>
        <w:t xml:space="preserve">. Available at: </w:t>
      </w:r>
      <w:hyperlink r:id="Rc728fe11d1804d92">
        <w:r w:rsidRPr="62B9E71C" w:rsidR="0CEBC8D4">
          <w:rPr>
            <w:rStyle w:val="Hyperlink"/>
            <w:strike w:val="0"/>
            <w:dstrike w:val="0"/>
            <w:noProof w:val="0"/>
            <w:lang w:val="en-GB"/>
          </w:rPr>
          <w:t>Nike Investor Relations</w:t>
        </w:r>
      </w:hyperlink>
    </w:p>
    <w:p xmlns:wp14="http://schemas.microsoft.com/office/word/2010/wordml" w:rsidP="62B9E71C" wp14:paraId="4CE70F40" wp14:textId="0B0488B8">
      <w:pPr>
        <w:spacing w:before="240" w:after="240"/>
        <w:rPr>
          <w:rFonts w:ascii="Aptos" w:hAnsi="Aptos" w:eastAsia="Aptos" w:cs="Aptos"/>
          <w:noProof w:val="0"/>
          <w:color w:val="000000" w:themeColor="text1" w:themeTint="FF" w:themeShade="FF"/>
          <w:sz w:val="18"/>
          <w:szCs w:val="18"/>
          <w:lang w:val="en-GB"/>
        </w:rPr>
      </w:pPr>
      <w:r w:rsidRPr="62B9E71C" w:rsidR="0CEBC8D4">
        <w:rPr>
          <w:rFonts w:ascii="Aptos" w:hAnsi="Aptos" w:eastAsia="Aptos" w:cs="Aptos"/>
          <w:noProof w:val="0"/>
          <w:color w:val="000000" w:themeColor="text1" w:themeTint="FF" w:themeShade="FF"/>
          <w:sz w:val="18"/>
          <w:szCs w:val="18"/>
          <w:lang w:val="en-GB"/>
        </w:rPr>
        <w:t xml:space="preserve">Parmar, B.L., Freeman, R.E., Harrison, J.S., Wicks, A.C., Purnell, L. and De Colle, S. 2010. ‘Stakeholder theory: The state of the art’, </w:t>
      </w:r>
      <w:r w:rsidRPr="62B9E71C" w:rsidR="0CEBC8D4">
        <w:rPr>
          <w:rFonts w:ascii="Aptos" w:hAnsi="Aptos" w:eastAsia="Aptos" w:cs="Aptos"/>
          <w:i w:val="1"/>
          <w:iCs w:val="1"/>
          <w:noProof w:val="0"/>
          <w:color w:val="000000" w:themeColor="text1" w:themeTint="FF" w:themeShade="FF"/>
          <w:sz w:val="18"/>
          <w:szCs w:val="18"/>
          <w:lang w:val="en-GB"/>
        </w:rPr>
        <w:t>Academy of Management Annals</w:t>
      </w:r>
      <w:r w:rsidRPr="62B9E71C" w:rsidR="0CEBC8D4">
        <w:rPr>
          <w:rFonts w:ascii="Aptos" w:hAnsi="Aptos" w:eastAsia="Aptos" w:cs="Aptos"/>
          <w:noProof w:val="0"/>
          <w:color w:val="000000" w:themeColor="text1" w:themeTint="FF" w:themeShade="FF"/>
          <w:sz w:val="18"/>
          <w:szCs w:val="18"/>
          <w:lang w:val="en-GB"/>
        </w:rPr>
        <w:t>, 4(1), pp. 403–445.</w:t>
      </w:r>
    </w:p>
    <w:p xmlns:wp14="http://schemas.microsoft.com/office/word/2010/wordml" w:rsidP="62B9E71C" wp14:paraId="3F1D4344" wp14:textId="365BEA5C">
      <w:pPr>
        <w:spacing w:before="240" w:after="240"/>
        <w:rPr>
          <w:rFonts w:ascii="Aptos" w:hAnsi="Aptos" w:eastAsia="Aptos" w:cs="Aptos"/>
          <w:noProof w:val="0"/>
          <w:color w:val="000000" w:themeColor="text1" w:themeTint="FF" w:themeShade="FF"/>
          <w:sz w:val="18"/>
          <w:szCs w:val="18"/>
          <w:lang w:val="en-GB"/>
        </w:rPr>
      </w:pPr>
      <w:r w:rsidRPr="62B9E71C" w:rsidR="0CEBC8D4">
        <w:rPr>
          <w:rFonts w:ascii="Aptos" w:hAnsi="Aptos" w:eastAsia="Aptos" w:cs="Aptos"/>
          <w:noProof w:val="0"/>
          <w:color w:val="000000" w:themeColor="text1" w:themeTint="FF" w:themeShade="FF"/>
          <w:sz w:val="18"/>
          <w:szCs w:val="18"/>
          <w:lang w:val="en-GB"/>
        </w:rPr>
        <w:t xml:space="preserve">Porter, M.E. 2008. ‘The five competitive forces that shape strategy’, </w:t>
      </w:r>
      <w:r w:rsidRPr="62B9E71C" w:rsidR="0CEBC8D4">
        <w:rPr>
          <w:rFonts w:ascii="Aptos" w:hAnsi="Aptos" w:eastAsia="Aptos" w:cs="Aptos"/>
          <w:i w:val="1"/>
          <w:iCs w:val="1"/>
          <w:noProof w:val="0"/>
          <w:color w:val="000000" w:themeColor="text1" w:themeTint="FF" w:themeShade="FF"/>
          <w:sz w:val="18"/>
          <w:szCs w:val="18"/>
          <w:lang w:val="en-GB"/>
        </w:rPr>
        <w:t>Harvard Business Review</w:t>
      </w:r>
      <w:r w:rsidRPr="62B9E71C" w:rsidR="0CEBC8D4">
        <w:rPr>
          <w:rFonts w:ascii="Aptos" w:hAnsi="Aptos" w:eastAsia="Aptos" w:cs="Aptos"/>
          <w:noProof w:val="0"/>
          <w:color w:val="000000" w:themeColor="text1" w:themeTint="FF" w:themeShade="FF"/>
          <w:sz w:val="18"/>
          <w:szCs w:val="18"/>
          <w:lang w:val="en-GB"/>
        </w:rPr>
        <w:t>, 86(1), p. 78.</w:t>
      </w:r>
    </w:p>
    <w:p xmlns:wp14="http://schemas.microsoft.com/office/word/2010/wordml" w:rsidP="62B9E71C" wp14:paraId="55878A86" wp14:textId="217A8238">
      <w:pPr>
        <w:spacing w:before="240" w:after="240"/>
        <w:rPr>
          <w:rFonts w:ascii="Aptos" w:hAnsi="Aptos" w:eastAsia="Aptos" w:cs="Aptos"/>
          <w:noProof w:val="0"/>
          <w:color w:val="000000" w:themeColor="text1" w:themeTint="FF" w:themeShade="FF"/>
          <w:sz w:val="18"/>
          <w:szCs w:val="18"/>
          <w:lang w:val="en-GB"/>
        </w:rPr>
      </w:pPr>
      <w:r w:rsidRPr="62B9E71C" w:rsidR="0CEBC8D4">
        <w:rPr>
          <w:rFonts w:ascii="Aptos" w:hAnsi="Aptos" w:eastAsia="Aptos" w:cs="Aptos"/>
          <w:noProof w:val="0"/>
          <w:color w:val="000000" w:themeColor="text1" w:themeTint="FF" w:themeShade="FF"/>
          <w:sz w:val="18"/>
          <w:szCs w:val="18"/>
          <w:lang w:val="en-GB"/>
        </w:rPr>
        <w:t xml:space="preserve">Solomon, M. 2020. </w:t>
      </w:r>
      <w:r w:rsidRPr="62B9E71C" w:rsidR="0CEBC8D4">
        <w:rPr>
          <w:rFonts w:ascii="Aptos" w:hAnsi="Aptos" w:eastAsia="Aptos" w:cs="Aptos"/>
          <w:i w:val="1"/>
          <w:iCs w:val="1"/>
          <w:noProof w:val="0"/>
          <w:color w:val="000000" w:themeColor="text1" w:themeTint="FF" w:themeShade="FF"/>
          <w:sz w:val="18"/>
          <w:szCs w:val="18"/>
          <w:lang w:val="en-GB"/>
        </w:rPr>
        <w:t>Consumer Behaviour: Buying, Having, and Being</w:t>
      </w:r>
      <w:r w:rsidRPr="62B9E71C" w:rsidR="0CEBC8D4">
        <w:rPr>
          <w:rFonts w:ascii="Aptos" w:hAnsi="Aptos" w:eastAsia="Aptos" w:cs="Aptos"/>
          <w:noProof w:val="0"/>
          <w:color w:val="000000" w:themeColor="text1" w:themeTint="FF" w:themeShade="FF"/>
          <w:sz w:val="18"/>
          <w:szCs w:val="18"/>
          <w:lang w:val="en-GB"/>
        </w:rPr>
        <w:t>. Pearson.</w:t>
      </w:r>
    </w:p>
    <w:p xmlns:wp14="http://schemas.microsoft.com/office/word/2010/wordml" w:rsidP="62B9E71C" wp14:paraId="41429700" wp14:textId="5B999391">
      <w:pPr>
        <w:spacing w:before="240" w:after="240"/>
        <w:rPr>
          <w:rFonts w:ascii="Aptos" w:hAnsi="Aptos" w:eastAsia="Aptos" w:cs="Aptos"/>
          <w:noProof w:val="0"/>
          <w:color w:val="000000" w:themeColor="text1" w:themeTint="FF" w:themeShade="FF"/>
          <w:sz w:val="18"/>
          <w:szCs w:val="18"/>
          <w:lang w:val="en-GB"/>
        </w:rPr>
      </w:pPr>
      <w:r w:rsidRPr="62B9E71C" w:rsidR="0CEBC8D4">
        <w:rPr>
          <w:rFonts w:ascii="Aptos" w:hAnsi="Aptos" w:eastAsia="Aptos" w:cs="Aptos"/>
          <w:noProof w:val="0"/>
          <w:color w:val="000000" w:themeColor="text1" w:themeTint="FF" w:themeShade="FF"/>
          <w:sz w:val="18"/>
          <w:szCs w:val="18"/>
          <w:lang w:val="en-GB"/>
        </w:rPr>
        <w:t xml:space="preserve">Unilever. 2022. </w:t>
      </w:r>
      <w:r w:rsidRPr="62B9E71C" w:rsidR="0CEBC8D4">
        <w:rPr>
          <w:rFonts w:ascii="Aptos" w:hAnsi="Aptos" w:eastAsia="Aptos" w:cs="Aptos"/>
          <w:i w:val="1"/>
          <w:iCs w:val="1"/>
          <w:noProof w:val="0"/>
          <w:color w:val="000000" w:themeColor="text1" w:themeTint="FF" w:themeShade="FF"/>
          <w:sz w:val="18"/>
          <w:szCs w:val="18"/>
          <w:lang w:val="en-GB"/>
        </w:rPr>
        <w:t>Responsible Partner Policy</w:t>
      </w:r>
      <w:r w:rsidRPr="62B9E71C" w:rsidR="0CEBC8D4">
        <w:rPr>
          <w:rFonts w:ascii="Aptos" w:hAnsi="Aptos" w:eastAsia="Aptos" w:cs="Aptos"/>
          <w:noProof w:val="0"/>
          <w:color w:val="000000" w:themeColor="text1" w:themeTint="FF" w:themeShade="FF"/>
          <w:sz w:val="18"/>
          <w:szCs w:val="18"/>
          <w:lang w:val="en-GB"/>
        </w:rPr>
        <w:t xml:space="preserve">. Available at: </w:t>
      </w:r>
      <w:hyperlink r:id="R3fd30e5946b347f8">
        <w:r w:rsidRPr="62B9E71C" w:rsidR="0CEBC8D4">
          <w:rPr>
            <w:rStyle w:val="Hyperlink"/>
            <w:strike w:val="0"/>
            <w:dstrike w:val="0"/>
            <w:noProof w:val="0"/>
            <w:lang w:val="en-GB"/>
          </w:rPr>
          <w:t>Unilever Responsible Partner Policy</w:t>
        </w:r>
      </w:hyperlink>
      <w:r w:rsidRPr="62B9E71C" w:rsidR="0CEBC8D4">
        <w:rPr>
          <w:rFonts w:ascii="Aptos" w:hAnsi="Aptos" w:eastAsia="Aptos" w:cs="Aptos"/>
          <w:noProof w:val="0"/>
          <w:color w:val="000000" w:themeColor="text1" w:themeTint="FF" w:themeShade="FF"/>
          <w:sz w:val="18"/>
          <w:szCs w:val="18"/>
          <w:lang w:val="en-GB"/>
        </w:rPr>
        <w:t xml:space="preserve"> [Accessed 20 May 2026].</w:t>
      </w:r>
    </w:p>
    <w:p xmlns:wp14="http://schemas.microsoft.com/office/word/2010/wordml" wp14:paraId="5E5787A5" wp14:textId="3E6C47D9"/>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680BD0"/>
    <w:rsid w:val="0CEBC8D4"/>
    <w:rsid w:val="36363519"/>
    <w:rsid w:val="62B9E71C"/>
    <w:rsid w:val="63680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FDBDF"/>
  <w15:chartTrackingRefBased/>
  <w15:docId w15:val="{629F5607-D629-4BAC-8D2A-451E502F6D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2B9E71C"/>
    <w:rPr>
      <w:color w:val="467886"/>
      <w:u w:val="single"/>
    </w:rPr>
  </w:style>
  <w:style w:type="paragraph" w:styleId="NoSpacing">
    <w:uiPriority w:val="1"/>
    <w:name w:val="No Spacing"/>
    <w:qFormat/>
    <w:rsid w:val="62B9E71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investors.nike.com/?utm_source=chatgpt.com" TargetMode="External" Id="Rc728fe11d1804d92" /><Relationship Type="http://schemas.openxmlformats.org/officeDocument/2006/relationships/hyperlink" Target="https://www.unilever.com/files/56455dcf-0f8f-41cb-a3a9-2f77bf8a6291/unilever-responsible-partner-policy.pdf?utm_source=chatgpt.com" TargetMode="External" Id="R3fd30e5946b347f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Nathan Barlow (2318300)</dc:creator>
  <keywords/>
  <dc:description/>
  <lastModifiedBy>Nathan Barlow (2318300)</lastModifiedBy>
  <revision>2</revision>
  <dcterms:created xsi:type="dcterms:W3CDTF">2026-05-20T20:16:07.8156474Z</dcterms:created>
  <dcterms:modified xsi:type="dcterms:W3CDTF">2026-05-20T20:19:03.6787186Z</dcterms:modified>
</coreProperties>
</file>