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after="240" w:before="1540" w:line="240" w:lineRule="auto"/>
        <w:jc w:val="both"/>
        <w:rPr>
          <w:rFonts w:ascii="Calibri" w:cs="Calibri" w:eastAsia="Calibri" w:hAnsi="Calibri"/>
          <w:color w:val="5b9bd5"/>
          <w:sz w:val="22"/>
          <w:szCs w:val="22"/>
        </w:rPr>
      </w:pPr>
      <w:bookmarkStart w:colFirst="0" w:colLast="0" w:name="_gjdgxs" w:id="0"/>
      <w:bookmarkEnd w:id="0"/>
      <w:r w:rsidDel="00000000" w:rsidR="00000000" w:rsidRPr="00000000">
        <w:rPr>
          <w:rFonts w:ascii="Calibri" w:cs="Calibri" w:eastAsia="Calibri" w:hAnsi="Calibri"/>
          <w:color w:val="5b9bd5"/>
          <w:sz w:val="22"/>
          <w:szCs w:val="22"/>
        </w:rPr>
        <w:drawing>
          <wp:inline distB="0" distT="0" distL="0" distR="0">
            <wp:extent cx="1417320" cy="750898"/>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417320" cy="75089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Bdr>
          <w:top w:color="5b9bd5" w:space="6" w:sz="6" w:val="single"/>
          <w:left w:space="0" w:sz="0" w:val="nil"/>
          <w:bottom w:color="5b9bd5" w:space="6" w:sz="6" w:val="single"/>
          <w:right w:space="0" w:sz="0" w:val="nil"/>
          <w:between w:space="0" w:sz="0" w:val="nil"/>
        </w:pBdr>
        <w:spacing w:after="240" w:line="240" w:lineRule="auto"/>
        <w:jc w:val="both"/>
        <w:rPr>
          <w:rFonts w:ascii="Calibri" w:cs="Calibri" w:eastAsia="Calibri" w:hAnsi="Calibri"/>
          <w:smallCaps w:val="1"/>
          <w:color w:val="5b9bd5"/>
          <w:sz w:val="80"/>
          <w:szCs w:val="80"/>
        </w:rPr>
      </w:pPr>
      <w:r w:rsidDel="00000000" w:rsidR="00000000" w:rsidRPr="00000000">
        <w:rPr>
          <w:rFonts w:ascii="Calibri" w:cs="Calibri" w:eastAsia="Calibri" w:hAnsi="Calibri"/>
          <w:smallCaps w:val="1"/>
          <w:color w:val="5b9bd5"/>
          <w:sz w:val="72"/>
          <w:szCs w:val="72"/>
          <w:rtl w:val="0"/>
        </w:rPr>
        <w:t xml:space="preserve">Sustainable Tourism</w:t>
      </w:r>
      <w:r w:rsidDel="00000000" w:rsidR="00000000" w:rsidRPr="00000000">
        <w:rPr>
          <w:rtl w:val="0"/>
        </w:rPr>
      </w:r>
    </w:p>
    <w:p w:rsidR="00000000" w:rsidDel="00000000" w:rsidP="00000000" w:rsidRDefault="00000000" w:rsidRPr="00000000" w14:paraId="00000003">
      <w:pPr>
        <w:pBdr>
          <w:top w:space="0" w:sz="0" w:val="nil"/>
          <w:left w:space="0" w:sz="0" w:val="nil"/>
          <w:bottom w:space="0" w:sz="0" w:val="nil"/>
          <w:right w:space="0" w:sz="0" w:val="nil"/>
          <w:between w:space="0" w:sz="0" w:val="nil"/>
        </w:pBdr>
        <w:spacing w:line="240" w:lineRule="auto"/>
        <w:jc w:val="both"/>
        <w:rPr>
          <w:rFonts w:ascii="Calibri" w:cs="Calibri" w:eastAsia="Calibri" w:hAnsi="Calibri"/>
          <w:color w:val="5b9bd5"/>
          <w:sz w:val="28"/>
          <w:szCs w:val="28"/>
        </w:rPr>
      </w:pPr>
      <w:r w:rsidDel="00000000" w:rsidR="00000000" w:rsidRPr="00000000">
        <w:rPr>
          <w:rFonts w:ascii="Calibri" w:cs="Calibri" w:eastAsia="Calibri" w:hAnsi="Calibri"/>
          <w:color w:val="5b9bd5"/>
          <w:sz w:val="28"/>
          <w:szCs w:val="28"/>
          <w:rtl w:val="0"/>
        </w:rPr>
        <w:t xml:space="preserve">[University of Wales Trinity Saint David]</w:t>
      </w:r>
    </w:p>
    <w:p w:rsidR="00000000" w:rsidDel="00000000" w:rsidP="00000000" w:rsidRDefault="00000000" w:rsidRPr="00000000" w14:paraId="00000004">
      <w:pPr>
        <w:pBdr>
          <w:top w:space="0" w:sz="0" w:val="nil"/>
          <w:left w:space="0" w:sz="0" w:val="nil"/>
          <w:bottom w:space="0" w:sz="0" w:val="nil"/>
          <w:right w:space="0" w:sz="0" w:val="nil"/>
          <w:between w:space="0" w:sz="0" w:val="nil"/>
        </w:pBdr>
        <w:spacing w:before="480" w:line="240" w:lineRule="auto"/>
        <w:jc w:val="both"/>
        <w:rPr>
          <w:rFonts w:ascii="Calibri" w:cs="Calibri" w:eastAsia="Calibri" w:hAnsi="Calibri"/>
          <w:color w:val="5b9bd5"/>
          <w:sz w:val="22"/>
          <w:szCs w:val="22"/>
        </w:rPr>
      </w:pPr>
      <w:r w:rsidDel="00000000" w:rsidR="00000000" w:rsidRPr="00000000">
        <w:rPr>
          <w:rFonts w:ascii="Calibri" w:cs="Calibri" w:eastAsia="Calibri" w:hAnsi="Calibri"/>
          <w:color w:val="5b9bd5"/>
          <w:sz w:val="22"/>
          <w:szCs w:val="22"/>
        </w:rPr>
        <w:drawing>
          <wp:inline distB="0" distT="0" distL="0" distR="0">
            <wp:extent cx="758952" cy="478932"/>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758952" cy="478932"/>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pBdr>
          <w:top w:space="0" w:sz="0" w:val="nil"/>
          <w:left w:space="0" w:sz="0" w:val="nil"/>
          <w:bottom w:space="0" w:sz="0" w:val="nil"/>
          <w:right w:space="0" w:sz="0" w:val="nil"/>
          <w:between w:space="0" w:sz="0" w:val="nil"/>
        </w:pBdr>
        <w:spacing w:before="480" w:line="240" w:lineRule="auto"/>
        <w:jc w:val="both"/>
        <w:rPr>
          <w:rFonts w:ascii="Calibri" w:cs="Calibri" w:eastAsia="Calibri" w:hAnsi="Calibri"/>
          <w:color w:val="5b9bd5"/>
          <w:sz w:val="44"/>
          <w:szCs w:val="44"/>
        </w:rPr>
      </w:pPr>
      <w:r w:rsidDel="00000000" w:rsidR="00000000" w:rsidRPr="00000000">
        <w:rPr>
          <w:rFonts w:ascii="Calibri" w:cs="Calibri" w:eastAsia="Calibri" w:hAnsi="Calibri"/>
          <w:color w:val="5b9bd5"/>
          <w:sz w:val="44"/>
          <w:szCs w:val="44"/>
          <w:rtl w:val="0"/>
        </w:rPr>
        <w:t xml:space="preserve">Student Name: Abdur Rob </w:t>
      </w:r>
    </w:p>
    <w:p w:rsidR="00000000" w:rsidDel="00000000" w:rsidP="00000000" w:rsidRDefault="00000000" w:rsidRPr="00000000" w14:paraId="00000006">
      <w:pPr>
        <w:pBdr>
          <w:top w:space="0" w:sz="0" w:val="nil"/>
          <w:left w:space="0" w:sz="0" w:val="nil"/>
          <w:bottom w:space="0" w:sz="0" w:val="nil"/>
          <w:right w:space="0" w:sz="0" w:val="nil"/>
          <w:between w:space="0" w:sz="0" w:val="nil"/>
        </w:pBdr>
        <w:spacing w:before="480" w:line="240" w:lineRule="auto"/>
        <w:jc w:val="both"/>
        <w:rPr>
          <w:rFonts w:ascii="Calibri" w:cs="Calibri" w:eastAsia="Calibri" w:hAnsi="Calibri"/>
          <w:color w:val="5b9bd5"/>
          <w:sz w:val="44"/>
          <w:szCs w:val="44"/>
        </w:rPr>
      </w:pPr>
      <w:r w:rsidDel="00000000" w:rsidR="00000000" w:rsidRPr="00000000">
        <w:rPr>
          <w:rFonts w:ascii="Calibri" w:cs="Calibri" w:eastAsia="Calibri" w:hAnsi="Calibri"/>
          <w:color w:val="5b9bd5"/>
          <w:sz w:val="44"/>
          <w:szCs w:val="44"/>
          <w:rtl w:val="0"/>
        </w:rPr>
        <w:t xml:space="preserve">Student Number: 1705003 </w:t>
      </w:r>
    </w:p>
    <w:p w:rsidR="00000000" w:rsidDel="00000000" w:rsidP="00000000" w:rsidRDefault="00000000" w:rsidRPr="00000000" w14:paraId="00000007">
      <w:pPr>
        <w:pStyle w:val="Heading1"/>
        <w:jc w:val="both"/>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wp:posOffset>
                </wp:positionH>
                <wp:positionV relativeFrom="paragraph">
                  <wp:posOffset>9067800</wp:posOffset>
                </wp:positionV>
                <wp:extent cx="5886450" cy="914400"/>
                <wp:effectExtent b="0" l="0" r="0" t="0"/>
                <wp:wrapNone/>
                <wp:docPr id="1" name=""/>
                <a:graphic>
                  <a:graphicData uri="http://schemas.microsoft.com/office/word/2010/wordprocessingShape">
                    <wps:wsp>
                      <wps:cNvSpPr/>
                      <wps:cNvPr id="2" name="Shape 2"/>
                      <wps:spPr>
                        <a:xfrm>
                          <a:off x="2412300" y="3332325"/>
                          <a:ext cx="5867400" cy="895350"/>
                        </a:xfrm>
                        <a:prstGeom prst="rect">
                          <a:avLst/>
                        </a:prstGeom>
                        <a:noFill/>
                        <a:ln>
                          <a:noFill/>
                        </a:ln>
                      </wps:spPr>
                      <wps:txbx>
                        <w:txbxContent>
                          <w:p w:rsidR="00000000" w:rsidDel="00000000" w:rsidP="00000000" w:rsidRDefault="00000000" w:rsidRPr="00000000">
                            <w:pPr>
                              <w:spacing w:after="4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t xml:space="preserve">[DATE]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r>
                            <w:r w:rsidDel="00000000" w:rsidR="00000000" w:rsidRPr="00000000">
                              <w:rPr>
                                <w:rFonts w:ascii="Arial" w:cs="Arial" w:eastAsia="Arial" w:hAnsi="Arial"/>
                                <w:b w:val="0"/>
                                <w:i w:val="0"/>
                                <w:smallCaps w:val="1"/>
                                <w:strike w:val="0"/>
                                <w:color w:val="5b9bd5"/>
                                <w:sz w:val="28"/>
                                <w:vertAlign w:val="baseline"/>
                              </w:rPr>
                              <w:t xml:space="preserve">UNIVERSITY OF WALES TRINITY SAINT DAVID</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r>
                            <w:r w:rsidDel="00000000" w:rsidR="00000000" w:rsidRPr="00000000">
                              <w:rPr>
                                <w:rFonts w:ascii="Arial" w:cs="Arial" w:eastAsia="Arial" w:hAnsi="Arial"/>
                                <w:b w:val="0"/>
                                <w:i w:val="0"/>
                                <w:smallCaps w:val="0"/>
                                <w:strike w:val="0"/>
                                <w:color w:val="5b9bd5"/>
                                <w:sz w:val="28"/>
                                <w:vertAlign w:val="baseline"/>
                              </w:rPr>
                              <w:t xml:space="preserve">     </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wp:posOffset>
                </wp:positionH>
                <wp:positionV relativeFrom="paragraph">
                  <wp:posOffset>9067800</wp:posOffset>
                </wp:positionV>
                <wp:extent cx="5886450" cy="914400"/>
                <wp:effectExtent b="0" l="0" r="0" t="0"/>
                <wp:wrapNone/>
                <wp:docPr id="1"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5886450" cy="914400"/>
                        </a:xfrm>
                        <a:prstGeom prst="rect"/>
                        <a:ln/>
                      </pic:spPr>
                    </pic:pic>
                  </a:graphicData>
                </a:graphic>
              </wp:anchor>
            </w:drawing>
          </mc:Fallback>
        </mc:AlternateContent>
      </w:r>
    </w:p>
    <w:p w:rsidR="00000000" w:rsidDel="00000000" w:rsidP="00000000" w:rsidRDefault="00000000" w:rsidRPr="00000000" w14:paraId="00000008">
      <w:pPr>
        <w:jc w:val="both"/>
        <w:rPr/>
      </w:pPr>
      <w:r w:rsidDel="00000000" w:rsidR="00000000" w:rsidRPr="00000000">
        <w:rPr>
          <w:rtl w:val="0"/>
        </w:rPr>
      </w:r>
    </w:p>
    <w:p w:rsidR="00000000" w:rsidDel="00000000" w:rsidP="00000000" w:rsidRDefault="00000000" w:rsidRPr="00000000" w14:paraId="00000009">
      <w:pPr>
        <w:keepNext w:val="1"/>
        <w:keepLines w:val="1"/>
        <w:pBdr>
          <w:top w:space="0" w:sz="0" w:val="nil"/>
          <w:left w:space="0" w:sz="0" w:val="nil"/>
          <w:bottom w:space="0" w:sz="0" w:val="nil"/>
          <w:right w:space="0" w:sz="0" w:val="nil"/>
          <w:between w:space="0" w:sz="0" w:val="nil"/>
        </w:pBdr>
        <w:spacing w:before="240" w:line="259" w:lineRule="auto"/>
        <w:jc w:val="both"/>
        <w:rPr>
          <w:rFonts w:ascii="Calibri" w:cs="Calibri" w:eastAsia="Calibri" w:hAnsi="Calibri"/>
          <w:color w:val="2e75b5"/>
          <w:sz w:val="32"/>
          <w:szCs w:val="32"/>
        </w:rPr>
      </w:pPr>
      <w:r w:rsidDel="00000000" w:rsidR="00000000" w:rsidRPr="00000000">
        <w:rPr>
          <w:rFonts w:ascii="Calibri" w:cs="Calibri" w:eastAsia="Calibri" w:hAnsi="Calibri"/>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tabs>
              <w:tab w:val="right" w:pos="9030"/>
            </w:tabs>
            <w:spacing w:before="80" w:line="240" w:lineRule="auto"/>
            <w:jc w:val="both"/>
            <w:rPr>
              <w:rFonts w:ascii="Calibri" w:cs="Calibri" w:eastAsia="Calibri" w:hAnsi="Calibri"/>
              <w:color w:val="000000"/>
              <w:sz w:val="22"/>
              <w:szCs w:val="22"/>
            </w:rPr>
          </w:pPr>
          <w:r w:rsidDel="00000000" w:rsidR="00000000" w:rsidRPr="00000000">
            <w:fldChar w:fldCharType="begin"/>
            <w:instrText xml:space="preserve"> TOC \h \u \z </w:instrText>
            <w:fldChar w:fldCharType="separate"/>
          </w:r>
          <w:hyperlink w:anchor="_30j0zll">
            <w:r w:rsidDel="00000000" w:rsidR="00000000" w:rsidRPr="00000000">
              <w:rPr>
                <w:rFonts w:ascii="Calibri" w:cs="Calibri" w:eastAsia="Calibri" w:hAnsi="Calibri"/>
                <w:color w:val="000000"/>
                <w:sz w:val="22"/>
                <w:szCs w:val="22"/>
                <w:rtl w:val="0"/>
              </w:rPr>
              <w:t xml:space="preserve">Introduction</w:t>
            </w:r>
          </w:hyperlink>
          <w:r w:rsidDel="00000000" w:rsidR="00000000" w:rsidRPr="00000000">
            <w:rPr>
              <w:rFonts w:ascii="Calibri" w:cs="Calibri" w:eastAsia="Calibri" w:hAnsi="Calibri"/>
              <w:color w:val="000000"/>
              <w:sz w:val="22"/>
              <w:szCs w:val="22"/>
              <w:rtl w:val="0"/>
            </w:rPr>
            <w:tab/>
          </w:r>
          <w:r w:rsidDel="00000000" w:rsidR="00000000" w:rsidRPr="00000000">
            <w:fldChar w:fldCharType="begin"/>
            <w:instrText xml:space="preserve"> PAGEREF _30j0zll \h </w:instrText>
            <w:fldChar w:fldCharType="separate"/>
          </w:r>
          <w:r w:rsidDel="00000000" w:rsidR="00000000" w:rsidRPr="00000000">
            <w:rPr>
              <w:rFonts w:ascii="Calibri" w:cs="Calibri" w:eastAsia="Calibri" w:hAnsi="Calibri"/>
              <w:b w:val="1"/>
              <w:color w:val="000000"/>
              <w:sz w:val="22"/>
              <w:szCs w:val="22"/>
              <w:rtl w:val="0"/>
            </w:rPr>
            <w:t xml:space="preserve">2</w:t>
          </w:r>
          <w:r w:rsidDel="00000000" w:rsidR="00000000" w:rsidRPr="00000000">
            <w:fldChar w:fldCharType="begin"/>
            <w:instrText xml:space="preserve"> HYPERLINK \l "_30j0zll"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B">
          <w:pPr>
            <w:tabs>
              <w:tab w:val="right" w:pos="9030"/>
            </w:tabs>
            <w:spacing w:before="200" w:line="240" w:lineRule="auto"/>
            <w:jc w:val="both"/>
            <w:rPr>
              <w:rFonts w:ascii="Calibri" w:cs="Calibri" w:eastAsia="Calibri" w:hAnsi="Calibri"/>
              <w:b w:val="1"/>
              <w:color w:val="000000"/>
              <w:sz w:val="22"/>
              <w:szCs w:val="22"/>
            </w:rPr>
          </w:pPr>
          <w:r w:rsidDel="00000000" w:rsidR="00000000" w:rsidRPr="00000000">
            <w:fldChar w:fldCharType="end"/>
          </w:r>
          <w:hyperlink w:anchor="_1fob9te">
            <w:r w:rsidDel="00000000" w:rsidR="00000000" w:rsidRPr="00000000">
              <w:rPr>
                <w:rFonts w:ascii="Calibri" w:cs="Calibri" w:eastAsia="Calibri" w:hAnsi="Calibri"/>
                <w:b w:val="1"/>
                <w:color w:val="000000"/>
                <w:sz w:val="22"/>
                <w:szCs w:val="22"/>
                <w:rtl w:val="0"/>
              </w:rPr>
              <w:t xml:space="preserve">Sustainable Tourism</w:t>
            </w:r>
          </w:hyperlink>
          <w:r w:rsidDel="00000000" w:rsidR="00000000" w:rsidRPr="00000000">
            <w:rPr>
              <w:rFonts w:ascii="Calibri" w:cs="Calibri" w:eastAsia="Calibri" w:hAnsi="Calibri"/>
              <w:b w:val="1"/>
              <w:color w:val="000000"/>
              <w:sz w:val="22"/>
              <w:szCs w:val="22"/>
              <w:rtl w:val="0"/>
            </w:rPr>
            <w:tab/>
          </w:r>
          <w:r w:rsidDel="00000000" w:rsidR="00000000" w:rsidRPr="00000000">
            <w:fldChar w:fldCharType="begin"/>
            <w:instrText xml:space="preserve"> HYPERLINK \l "_1fob9te" </w:instrText>
            <w:fldChar w:fldCharType="separate"/>
          </w:r>
          <w:r w:rsidDel="00000000" w:rsidR="00000000" w:rsidRPr="00000000">
            <w:rPr>
              <w:rFonts w:ascii="Calibri" w:cs="Calibri" w:eastAsia="Calibri" w:hAnsi="Calibri"/>
              <w:b w:val="1"/>
              <w:color w:val="000000"/>
              <w:sz w:val="22"/>
              <w:szCs w:val="22"/>
              <w:rtl w:val="0"/>
            </w:rPr>
            <w:t xml:space="preserve">2</w:t>
          </w:r>
        </w:p>
        <w:p w:rsidR="00000000" w:rsidDel="00000000" w:rsidP="00000000" w:rsidRDefault="00000000" w:rsidRPr="00000000" w14:paraId="0000000C">
          <w:pPr>
            <w:tabs>
              <w:tab w:val="right" w:pos="9030"/>
            </w:tabs>
            <w:spacing w:before="200" w:line="240" w:lineRule="auto"/>
            <w:jc w:val="both"/>
            <w:rPr>
              <w:rFonts w:ascii="Calibri" w:cs="Calibri" w:eastAsia="Calibri" w:hAnsi="Calibri"/>
              <w:b w:val="1"/>
              <w:color w:val="000000"/>
              <w:sz w:val="22"/>
              <w:szCs w:val="22"/>
            </w:rPr>
          </w:pPr>
          <w:r w:rsidDel="00000000" w:rsidR="00000000" w:rsidRPr="00000000">
            <w:fldChar w:fldCharType="end"/>
          </w:r>
          <w:hyperlink w:anchor="_3znysh7">
            <w:r w:rsidDel="00000000" w:rsidR="00000000" w:rsidRPr="00000000">
              <w:rPr>
                <w:rFonts w:ascii="Calibri" w:cs="Calibri" w:eastAsia="Calibri" w:hAnsi="Calibri"/>
                <w:b w:val="1"/>
                <w:color w:val="000000"/>
                <w:sz w:val="22"/>
                <w:szCs w:val="22"/>
                <w:rtl w:val="0"/>
              </w:rPr>
              <w:t xml:space="preserve">Developed &amp; Emerging Nations</w:t>
            </w:r>
          </w:hyperlink>
          <w:r w:rsidDel="00000000" w:rsidR="00000000" w:rsidRPr="00000000">
            <w:rPr>
              <w:rFonts w:ascii="Calibri" w:cs="Calibri" w:eastAsia="Calibri" w:hAnsi="Calibri"/>
              <w:b w:val="1"/>
              <w:color w:val="000000"/>
              <w:sz w:val="22"/>
              <w:szCs w:val="22"/>
              <w:rtl w:val="0"/>
            </w:rPr>
            <w:tab/>
          </w:r>
          <w:r w:rsidDel="00000000" w:rsidR="00000000" w:rsidRPr="00000000">
            <w:fldChar w:fldCharType="begin"/>
            <w:instrText xml:space="preserve"> HYPERLINK \l "_3znysh7" </w:instrText>
            <w:fldChar w:fldCharType="separate"/>
          </w:r>
          <w:r w:rsidDel="00000000" w:rsidR="00000000" w:rsidRPr="00000000">
            <w:rPr>
              <w:rFonts w:ascii="Calibri" w:cs="Calibri" w:eastAsia="Calibri" w:hAnsi="Calibri"/>
              <w:b w:val="1"/>
              <w:color w:val="000000"/>
              <w:sz w:val="22"/>
              <w:szCs w:val="22"/>
              <w:rtl w:val="0"/>
            </w:rPr>
            <w:t xml:space="preserve">3</w:t>
          </w:r>
        </w:p>
        <w:p w:rsidR="00000000" w:rsidDel="00000000" w:rsidP="00000000" w:rsidRDefault="00000000" w:rsidRPr="00000000" w14:paraId="0000000D">
          <w:pPr>
            <w:tabs>
              <w:tab w:val="right" w:pos="9030"/>
            </w:tabs>
            <w:spacing w:before="200" w:line="240" w:lineRule="auto"/>
            <w:jc w:val="both"/>
            <w:rPr>
              <w:rFonts w:ascii="Calibri" w:cs="Calibri" w:eastAsia="Calibri" w:hAnsi="Calibri"/>
              <w:b w:val="1"/>
              <w:color w:val="000000"/>
              <w:sz w:val="22"/>
              <w:szCs w:val="22"/>
            </w:rPr>
          </w:pPr>
          <w:r w:rsidDel="00000000" w:rsidR="00000000" w:rsidRPr="00000000">
            <w:fldChar w:fldCharType="end"/>
          </w:r>
          <w:hyperlink w:anchor="_2et92p0">
            <w:r w:rsidDel="00000000" w:rsidR="00000000" w:rsidRPr="00000000">
              <w:rPr>
                <w:rFonts w:ascii="Calibri" w:cs="Calibri" w:eastAsia="Calibri" w:hAnsi="Calibri"/>
                <w:b w:val="1"/>
                <w:color w:val="000000"/>
                <w:sz w:val="22"/>
                <w:szCs w:val="22"/>
                <w:rtl w:val="0"/>
              </w:rPr>
              <w:t xml:space="preserve">The Synthesis.</w:t>
            </w:r>
          </w:hyperlink>
          <w:r w:rsidDel="00000000" w:rsidR="00000000" w:rsidRPr="00000000">
            <w:rPr>
              <w:rFonts w:ascii="Calibri" w:cs="Calibri" w:eastAsia="Calibri" w:hAnsi="Calibri"/>
              <w:b w:val="1"/>
              <w:color w:val="000000"/>
              <w:sz w:val="22"/>
              <w:szCs w:val="22"/>
              <w:rtl w:val="0"/>
            </w:rPr>
            <w:tab/>
          </w:r>
          <w:r w:rsidDel="00000000" w:rsidR="00000000" w:rsidRPr="00000000">
            <w:fldChar w:fldCharType="begin"/>
            <w:instrText xml:space="preserve"> HYPERLINK \l "_2et92p0" </w:instrText>
            <w:fldChar w:fldCharType="separate"/>
          </w:r>
          <w:r w:rsidDel="00000000" w:rsidR="00000000" w:rsidRPr="00000000">
            <w:rPr>
              <w:rFonts w:ascii="Calibri" w:cs="Calibri" w:eastAsia="Calibri" w:hAnsi="Calibri"/>
              <w:b w:val="1"/>
              <w:color w:val="000000"/>
              <w:sz w:val="22"/>
              <w:szCs w:val="22"/>
              <w:rtl w:val="0"/>
            </w:rPr>
            <w:t xml:space="preserve">5</w:t>
          </w:r>
        </w:p>
        <w:p w:rsidR="00000000" w:rsidDel="00000000" w:rsidP="00000000" w:rsidRDefault="00000000" w:rsidRPr="00000000" w14:paraId="0000000E">
          <w:pPr>
            <w:tabs>
              <w:tab w:val="right" w:pos="9030"/>
            </w:tabs>
            <w:spacing w:before="200" w:line="240" w:lineRule="auto"/>
            <w:jc w:val="both"/>
            <w:rPr>
              <w:rFonts w:ascii="Calibri" w:cs="Calibri" w:eastAsia="Calibri" w:hAnsi="Calibri"/>
              <w:sz w:val="22"/>
              <w:szCs w:val="22"/>
            </w:rPr>
          </w:pPr>
          <w:r w:rsidDel="00000000" w:rsidR="00000000" w:rsidRPr="00000000">
            <w:fldChar w:fldCharType="end"/>
          </w:r>
          <w:hyperlink w:anchor="_tyjcwt">
            <w:r w:rsidDel="00000000" w:rsidR="00000000" w:rsidRPr="00000000">
              <w:rPr>
                <w:rFonts w:ascii="Calibri" w:cs="Calibri" w:eastAsia="Calibri" w:hAnsi="Calibri"/>
                <w:b w:val="1"/>
                <w:sz w:val="22"/>
                <w:szCs w:val="22"/>
                <w:rtl w:val="0"/>
              </w:rPr>
              <w:t xml:space="preserve">Conclusion</w:t>
            </w:r>
          </w:hyperlink>
          <w:r w:rsidDel="00000000" w:rsidR="00000000" w:rsidRPr="00000000">
            <w:rPr>
              <w:rFonts w:ascii="Calibri" w:cs="Calibri" w:eastAsia="Calibri" w:hAnsi="Calibri"/>
              <w:b w:val="1"/>
              <w:sz w:val="22"/>
              <w:szCs w:val="22"/>
              <w:rtl w:val="0"/>
            </w:rPr>
            <w:tab/>
          </w:r>
          <w:r w:rsidDel="00000000" w:rsidR="00000000" w:rsidRPr="00000000">
            <w:fldChar w:fldCharType="begin"/>
            <w:instrText xml:space="preserve"> PAGEREF _tyjcwt \h </w:instrText>
            <w:fldChar w:fldCharType="separate"/>
          </w:r>
          <w:r w:rsidDel="00000000" w:rsidR="00000000" w:rsidRPr="00000000">
            <w:rPr>
              <w:rFonts w:ascii="Calibri" w:cs="Calibri" w:eastAsia="Calibri" w:hAnsi="Calibri"/>
              <w:b w:val="1"/>
              <w:sz w:val="22"/>
              <w:szCs w:val="22"/>
              <w:rtl w:val="0"/>
            </w:rPr>
            <w:t xml:space="preserve">6</w:t>
          </w:r>
          <w:r w:rsidDel="00000000" w:rsidR="00000000" w:rsidRPr="00000000">
            <w:fldChar w:fldCharType="begin"/>
            <w:instrText xml:space="preserve"> HYPERLINK \l "_tyjcwt"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030"/>
            </w:tabs>
            <w:spacing w:after="80" w:before="200" w:line="240" w:lineRule="auto"/>
            <w:jc w:val="both"/>
            <w:rPr>
              <w:rFonts w:ascii="Calibri" w:cs="Calibri" w:eastAsia="Calibri" w:hAnsi="Calibri"/>
              <w:sz w:val="22"/>
              <w:szCs w:val="22"/>
            </w:rPr>
          </w:pPr>
          <w:r w:rsidDel="00000000" w:rsidR="00000000" w:rsidRPr="00000000">
            <w:fldChar w:fldCharType="end"/>
          </w:r>
          <w:hyperlink w:anchor="_3dy6vkm">
            <w:r w:rsidDel="00000000" w:rsidR="00000000" w:rsidRPr="00000000">
              <w:rPr>
                <w:rFonts w:ascii="Calibri" w:cs="Calibri" w:eastAsia="Calibri" w:hAnsi="Calibri"/>
                <w:b w:val="1"/>
                <w:sz w:val="22"/>
                <w:szCs w:val="22"/>
                <w:rtl w:val="0"/>
              </w:rPr>
              <w:t xml:space="preserve">Bibliography</w:t>
            </w:r>
          </w:hyperlink>
          <w:r w:rsidDel="00000000" w:rsidR="00000000" w:rsidRPr="00000000">
            <w:rPr>
              <w:rFonts w:ascii="Calibri" w:cs="Calibri" w:eastAsia="Calibri" w:hAnsi="Calibri"/>
              <w:b w:val="1"/>
              <w:sz w:val="22"/>
              <w:szCs w:val="22"/>
              <w:rtl w:val="0"/>
            </w:rPr>
            <w:tab/>
          </w:r>
          <w:r w:rsidDel="00000000" w:rsidR="00000000" w:rsidRPr="00000000">
            <w:fldChar w:fldCharType="begin"/>
            <w:instrText xml:space="preserve"> PAGEREF _3dy6vkm \h </w:instrText>
            <w:fldChar w:fldCharType="separate"/>
          </w:r>
          <w:r w:rsidDel="00000000" w:rsidR="00000000" w:rsidRPr="00000000">
            <w:rPr>
              <w:rFonts w:ascii="Calibri" w:cs="Calibri" w:eastAsia="Calibri" w:hAnsi="Calibri"/>
              <w:b w:val="1"/>
              <w:sz w:val="22"/>
              <w:szCs w:val="22"/>
              <w:rtl w:val="0"/>
            </w:rPr>
            <w:t xml:space="preserve">7</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0">
      <w:pPr>
        <w:jc w:val="both"/>
        <w:rPr/>
      </w:pPr>
      <w:r w:rsidDel="00000000" w:rsidR="00000000" w:rsidRPr="00000000">
        <w:rPr>
          <w:rtl w:val="0"/>
        </w:rPr>
      </w:r>
    </w:p>
    <w:p w:rsidR="00000000" w:rsidDel="00000000" w:rsidP="00000000" w:rsidRDefault="00000000" w:rsidRPr="00000000" w14:paraId="00000011">
      <w:pPr>
        <w:jc w:val="both"/>
        <w:rPr/>
      </w:pPr>
      <w:r w:rsidDel="00000000" w:rsidR="00000000" w:rsidRPr="00000000">
        <w:rPr>
          <w:rtl w:val="0"/>
        </w:rPr>
      </w:r>
    </w:p>
    <w:p w:rsidR="00000000" w:rsidDel="00000000" w:rsidP="00000000" w:rsidRDefault="00000000" w:rsidRPr="00000000" w14:paraId="00000012">
      <w:pPr>
        <w:jc w:val="both"/>
        <w:rPr/>
      </w:pPr>
      <w:r w:rsidDel="00000000" w:rsidR="00000000" w:rsidRPr="00000000">
        <w:rPr>
          <w:rtl w:val="0"/>
        </w:rPr>
      </w:r>
    </w:p>
    <w:p w:rsidR="00000000" w:rsidDel="00000000" w:rsidP="00000000" w:rsidRDefault="00000000" w:rsidRPr="00000000" w14:paraId="00000013">
      <w:pPr>
        <w:jc w:val="both"/>
        <w:rPr/>
      </w:pPr>
      <w:r w:rsidDel="00000000" w:rsidR="00000000" w:rsidRPr="00000000">
        <w:rPr>
          <w:rtl w:val="0"/>
        </w:rPr>
      </w:r>
    </w:p>
    <w:p w:rsidR="00000000" w:rsidDel="00000000" w:rsidP="00000000" w:rsidRDefault="00000000" w:rsidRPr="00000000" w14:paraId="00000014">
      <w:pPr>
        <w:jc w:val="both"/>
        <w:rPr/>
      </w:pPr>
      <w:r w:rsidDel="00000000" w:rsidR="00000000" w:rsidRPr="00000000">
        <w:rPr>
          <w:rtl w:val="0"/>
        </w:rPr>
      </w:r>
    </w:p>
    <w:p w:rsidR="00000000" w:rsidDel="00000000" w:rsidP="00000000" w:rsidRDefault="00000000" w:rsidRPr="00000000" w14:paraId="00000015">
      <w:pPr>
        <w:jc w:val="both"/>
        <w:rPr/>
      </w:pPr>
      <w:r w:rsidDel="00000000" w:rsidR="00000000" w:rsidRPr="00000000">
        <w:rPr>
          <w:rtl w:val="0"/>
        </w:rPr>
      </w:r>
    </w:p>
    <w:p w:rsidR="00000000" w:rsidDel="00000000" w:rsidP="00000000" w:rsidRDefault="00000000" w:rsidRPr="00000000" w14:paraId="00000016">
      <w:pPr>
        <w:jc w:val="both"/>
        <w:rPr/>
      </w:pPr>
      <w:r w:rsidDel="00000000" w:rsidR="00000000" w:rsidRPr="00000000">
        <w:rPr>
          <w:rtl w:val="0"/>
        </w:rPr>
      </w:r>
    </w:p>
    <w:p w:rsidR="00000000" w:rsidDel="00000000" w:rsidP="00000000" w:rsidRDefault="00000000" w:rsidRPr="00000000" w14:paraId="00000017">
      <w:pPr>
        <w:jc w:val="both"/>
        <w:rPr/>
      </w:pPr>
      <w:r w:rsidDel="00000000" w:rsidR="00000000" w:rsidRPr="00000000">
        <w:rPr>
          <w:rtl w:val="0"/>
        </w:rPr>
      </w:r>
    </w:p>
    <w:p w:rsidR="00000000" w:rsidDel="00000000" w:rsidP="00000000" w:rsidRDefault="00000000" w:rsidRPr="00000000" w14:paraId="00000018">
      <w:pPr>
        <w:jc w:val="both"/>
        <w:rPr/>
      </w:pPr>
      <w:r w:rsidDel="00000000" w:rsidR="00000000" w:rsidRPr="00000000">
        <w:rPr>
          <w:rtl w:val="0"/>
        </w:rPr>
      </w:r>
    </w:p>
    <w:p w:rsidR="00000000" w:rsidDel="00000000" w:rsidP="00000000" w:rsidRDefault="00000000" w:rsidRPr="00000000" w14:paraId="00000019">
      <w:pPr>
        <w:jc w:val="both"/>
        <w:rPr/>
      </w:pPr>
      <w:r w:rsidDel="00000000" w:rsidR="00000000" w:rsidRPr="00000000">
        <w:rPr>
          <w:rtl w:val="0"/>
        </w:rPr>
      </w:r>
    </w:p>
    <w:p w:rsidR="00000000" w:rsidDel="00000000" w:rsidP="00000000" w:rsidRDefault="00000000" w:rsidRPr="00000000" w14:paraId="0000001A">
      <w:pPr>
        <w:jc w:val="both"/>
        <w:rPr/>
      </w:pPr>
      <w:r w:rsidDel="00000000" w:rsidR="00000000" w:rsidRPr="00000000">
        <w:rPr>
          <w:rtl w:val="0"/>
        </w:rPr>
      </w:r>
    </w:p>
    <w:p w:rsidR="00000000" w:rsidDel="00000000" w:rsidP="00000000" w:rsidRDefault="00000000" w:rsidRPr="00000000" w14:paraId="0000001B">
      <w:pPr>
        <w:jc w:val="both"/>
        <w:rPr/>
      </w:pPr>
      <w:r w:rsidDel="00000000" w:rsidR="00000000" w:rsidRPr="00000000">
        <w:rPr>
          <w:rtl w:val="0"/>
        </w:rPr>
      </w:r>
    </w:p>
    <w:p w:rsidR="00000000" w:rsidDel="00000000" w:rsidP="00000000" w:rsidRDefault="00000000" w:rsidRPr="00000000" w14:paraId="0000001C">
      <w:pPr>
        <w:jc w:val="both"/>
        <w:rPr/>
      </w:pPr>
      <w:r w:rsidDel="00000000" w:rsidR="00000000" w:rsidRPr="00000000">
        <w:rPr>
          <w:rtl w:val="0"/>
        </w:rPr>
      </w:r>
    </w:p>
    <w:p w:rsidR="00000000" w:rsidDel="00000000" w:rsidP="00000000" w:rsidRDefault="00000000" w:rsidRPr="00000000" w14:paraId="0000001D">
      <w:pPr>
        <w:jc w:val="both"/>
        <w:rPr/>
      </w:pPr>
      <w:r w:rsidDel="00000000" w:rsidR="00000000" w:rsidRPr="00000000">
        <w:rPr>
          <w:rtl w:val="0"/>
        </w:rPr>
      </w:r>
    </w:p>
    <w:p w:rsidR="00000000" w:rsidDel="00000000" w:rsidP="00000000" w:rsidRDefault="00000000" w:rsidRPr="00000000" w14:paraId="0000001E">
      <w:pPr>
        <w:jc w:val="both"/>
        <w:rPr/>
      </w:pPr>
      <w:r w:rsidDel="00000000" w:rsidR="00000000" w:rsidRPr="00000000">
        <w:rPr>
          <w:rtl w:val="0"/>
        </w:rPr>
      </w:r>
    </w:p>
    <w:p w:rsidR="00000000" w:rsidDel="00000000" w:rsidP="00000000" w:rsidRDefault="00000000" w:rsidRPr="00000000" w14:paraId="0000001F">
      <w:pPr>
        <w:jc w:val="both"/>
        <w:rPr/>
      </w:pPr>
      <w:r w:rsidDel="00000000" w:rsidR="00000000" w:rsidRPr="00000000">
        <w:rPr>
          <w:rtl w:val="0"/>
        </w:rPr>
      </w:r>
    </w:p>
    <w:p w:rsidR="00000000" w:rsidDel="00000000" w:rsidP="00000000" w:rsidRDefault="00000000" w:rsidRPr="00000000" w14:paraId="00000020">
      <w:pPr>
        <w:pStyle w:val="Heading1"/>
        <w:jc w:val="both"/>
        <w:rPr/>
      </w:pPr>
      <w:bookmarkStart w:colFirst="0" w:colLast="0" w:name="_30j0zll" w:id="1"/>
      <w:bookmarkEnd w:id="1"/>
      <w:r w:rsidDel="00000000" w:rsidR="00000000" w:rsidRPr="00000000">
        <w:rPr>
          <w:rtl w:val="0"/>
        </w:rPr>
        <w:t xml:space="preserve">Introduction </w:t>
      </w:r>
    </w:p>
    <w:p w:rsidR="00000000" w:rsidDel="00000000" w:rsidP="00000000" w:rsidRDefault="00000000" w:rsidRPr="00000000" w14:paraId="00000021">
      <w:pPr>
        <w:jc w:val="both"/>
        <w:rPr/>
      </w:pPr>
      <w:r w:rsidDel="00000000" w:rsidR="00000000" w:rsidRPr="00000000">
        <w:rPr>
          <w:rtl w:val="0"/>
        </w:rPr>
        <w:t xml:space="preserve">Sustainable development is essential to sustainable tourism, it ensures that the economic opportunities of the present &amp; future are maximized while minimizing the effects of the negative externalities associated with the tourism industry. The paper will analyze the role of sustainable tourism in developed &amp; emerging nations. The developed country of focus will be the United Kingdom and the emerging counterpart will be the Philippines. The theoretical assumptions of sustainable tourism may be uniform, but the material conditions both these countries face on a domestic and internal scale are vastly different. For example, climate change, although affects all countries and industry, affects the tourism industry in these two countries in unique ways, which may not necessarily entail similar solutions, regardless of theoretical assumptions. The paper will first ground the definitional claim of what “sustainable development” means. This will then be followed by descriptive claims about the material conditions of the tourism industry in both these countries. The paper will then turn to a synthesis , which would help us ground a model to leverage the positive and negative externalities to maximize sustainable development.</w:t>
      </w:r>
    </w:p>
    <w:p w:rsidR="00000000" w:rsidDel="00000000" w:rsidP="00000000" w:rsidRDefault="00000000" w:rsidRPr="00000000" w14:paraId="00000022">
      <w:pPr>
        <w:pStyle w:val="Heading1"/>
        <w:jc w:val="both"/>
        <w:rPr/>
      </w:pPr>
      <w:bookmarkStart w:colFirst="0" w:colLast="0" w:name="_1fob9te" w:id="2"/>
      <w:bookmarkEnd w:id="2"/>
      <w:r w:rsidDel="00000000" w:rsidR="00000000" w:rsidRPr="00000000">
        <w:rPr>
          <w:rtl w:val="0"/>
        </w:rPr>
        <w:t xml:space="preserve">Sustainable Tourism</w:t>
      </w:r>
    </w:p>
    <w:p w:rsidR="00000000" w:rsidDel="00000000" w:rsidP="00000000" w:rsidRDefault="00000000" w:rsidRPr="00000000" w14:paraId="00000023">
      <w:pPr>
        <w:jc w:val="both"/>
        <w:rPr/>
      </w:pPr>
      <w:r w:rsidDel="00000000" w:rsidR="00000000" w:rsidRPr="00000000">
        <w:rPr>
          <w:rtl w:val="0"/>
        </w:rPr>
        <w:t xml:space="preserve">The United Nations has outlined 17 development goals that every nation ought to strive towards to achieve a desirable outcome for all nations with the goal of achieving them by 2030 (United Nations). This does not exclusively aid sustainable tourism, but rather all industries. Sustainable Tourism is a framework that creates value to all aspects of tourism (Mafutah &amp; Wirjoatmodjo, 2017). p .1) It is a system that ensures the sustainability of natural resources, socio-cultural life &amp; the economy for the present and future generations (Mafutah &amp; Wirjoatmodjo, 2017). p .1) Sustainable tourism is able to benefit the local economy &amp; socio-culture while simultaneously meeting the needs of tourists, &amp; the industry(Mafutah &amp; Wirjoatmodjo, 2017). p .1). In essence, sustainability consists of three parts, social-culture, economy, and the environment (Mafutah &amp; Wirjoatmodjo, 2017). p .1) There are various ways in which these factors can be prioritised, but their relevance depends on the material conditions of the tourism industry. To support the development of sustainable tourism, five factors must be adopted. According to Cooper, four of those pillars are, Attraction, Accessibility, Amenity and Ancillary (Mafutah &amp; Wirjoatmodjo, 2017). p .2.) The final factor emphasised by UNWTO &amp; UNEP is community involvement, with the goal of consensus building across a broad coalition of interests (Mafutah &amp; Wirjoatmodjo, 2017. p .2)</w:t>
      </w:r>
    </w:p>
    <w:p w:rsidR="00000000" w:rsidDel="00000000" w:rsidP="00000000" w:rsidRDefault="00000000" w:rsidRPr="00000000" w14:paraId="00000024">
      <w:pPr>
        <w:pStyle w:val="Heading1"/>
        <w:jc w:val="both"/>
        <w:rPr/>
      </w:pPr>
      <w:bookmarkStart w:colFirst="0" w:colLast="0" w:name="_3znysh7" w:id="3"/>
      <w:bookmarkEnd w:id="3"/>
      <w:r w:rsidDel="00000000" w:rsidR="00000000" w:rsidRPr="00000000">
        <w:rPr>
          <w:rtl w:val="0"/>
        </w:rPr>
        <w:t xml:space="preserve">Developed &amp; Emerging Nations</w:t>
      </w:r>
    </w:p>
    <w:p w:rsidR="00000000" w:rsidDel="00000000" w:rsidP="00000000" w:rsidRDefault="00000000" w:rsidRPr="00000000" w14:paraId="00000025">
      <w:pPr>
        <w:jc w:val="both"/>
        <w:rPr/>
      </w:pPr>
      <w:r w:rsidDel="00000000" w:rsidR="00000000" w:rsidRPr="00000000">
        <w:rPr>
          <w:rtl w:val="0"/>
        </w:rPr>
        <w:t xml:space="preserve">In 2018, tourism accounted for 10.4% of global GDP and the industry employed 10%, 319 million individuals, of the world’s working population (WTTC, 2019. p.1). Within that 10.4% number, the United Kingdom had the 5th largest contribution (WTTC, 2019. p.1). The ASEAN countries, including the Philippines, accounted for $373 billion in economic activity, which represents 12.6% of the global 10.4% (WTTC, 2019. p.1). The challenges facing the United Kingdom and the Philippine are uniquely different. Brexit has had a significant effect on shaping the potential tourist’s perception of the UK. Survey data from STR’s Consumer Travel Insight team suggest that Brexit has negatively impacted their perception of the UK with 11% Europeans  reporting that Brexit has significantly affected their travel plans (Fox, 2019)  And 10% Europeans reporting that they are less likely to visit the UK because of Brexit and Non-European travellers reported at 17% (Fox, 2019) This could not only have significant social impact as viewing the UK as a non-welcoming place, which would likely translate over to poor economic condition. Sustainable Tourism not only requires the local population to feel content with the industry, but also, more importantly, the tourist need to include in that question. If there are no tourists, there is no tourism industry regardless of how sustainable or unsustainable it may be. A common myth is that a warmer climate will make parts of the United Kingdom more attractive to tourists, but that change in temperature is likely to create erratic weather patterns which can negatively affect the industry (Francis, 2019). Even if it does not affect the United Kingdom, it can affect other countries, thus undermining the goal of sustainable development. Philippine in 2019 has the highest number of foreign incoming tourists among any country, with South Korea, China &amp; United States tourists accounting for the bulk of the incoming numbers (Sanches, 2020). The total number stood over 8 million foreign visitors in 2019, which indicated a figure of over 12% of the country’s economic activity (Hui, 2019) Philippines is seeing a significant increase in foreign tourist, especially from China, where as United Kingdom is seeing a significant rise in anxiety of foreign tourist coming into the country. In creating a sustainable framework, the United Kingdom has to mitigate that anxiety from foreign tourists and the Philippines has to mitigate new problems domestic population may face because of the surge of new foreign tourists. Although the global tourism sector was expected to see increase in economic activity, the current pandemic could uniquely devastate the economy. The unique challenge being that not travelling is no longer an economic choice, but rather one based on limiting the spread of COVID-19, thus appealing to health rather than economics. The fallout from which could give rise to unique challenges to both developed and emerging countries.</w:t>
      </w:r>
    </w:p>
    <w:p w:rsidR="00000000" w:rsidDel="00000000" w:rsidP="00000000" w:rsidRDefault="00000000" w:rsidRPr="00000000" w14:paraId="00000026">
      <w:pPr>
        <w:jc w:val="both"/>
        <w:rPr/>
      </w:pPr>
      <w:r w:rsidDel="00000000" w:rsidR="00000000" w:rsidRPr="00000000">
        <w:rPr>
          <w:rtl w:val="0"/>
        </w:rPr>
      </w:r>
    </w:p>
    <w:p w:rsidR="00000000" w:rsidDel="00000000" w:rsidP="00000000" w:rsidRDefault="00000000" w:rsidRPr="00000000" w14:paraId="00000027">
      <w:pPr>
        <w:pStyle w:val="Heading1"/>
        <w:jc w:val="both"/>
        <w:rPr/>
      </w:pPr>
      <w:bookmarkStart w:colFirst="0" w:colLast="0" w:name="_2et92p0" w:id="4"/>
      <w:bookmarkEnd w:id="4"/>
      <w:r w:rsidDel="00000000" w:rsidR="00000000" w:rsidRPr="00000000">
        <w:rPr>
          <w:rtl w:val="0"/>
        </w:rPr>
        <w:t xml:space="preserve">The Synthesis.</w:t>
      </w:r>
    </w:p>
    <w:p w:rsidR="00000000" w:rsidDel="00000000" w:rsidP="00000000" w:rsidRDefault="00000000" w:rsidRPr="00000000" w14:paraId="00000028">
      <w:pPr>
        <w:jc w:val="both"/>
        <w:rPr/>
      </w:pPr>
      <w:r w:rsidDel="00000000" w:rsidR="00000000" w:rsidRPr="00000000">
        <w:rPr>
          <w:rtl w:val="0"/>
        </w:rPr>
        <w:t xml:space="preserve">The declaration of the PPSRNP by UNESCO as a world heritage site provided a significant opportunity for the Philippine to engage in sustainable tourism. (P.Manalo, 2017. p.3558) The carrying capacity of countries can have a drastic impact on the Philippines with the new surge of tourists. The initial number of foreign tourists may be welcomed by the locals, but exceeding the carrying capacity can lead to rising tensions with the locals, which could lead to negative experiences for tourists, leading to decrease in tourists coming in (P.Manalo, 2017. p.3559) .In Boracay and the city of Puerto Princesa, ecotourism has led to sustainable development through the help of private and government institutions, which has significantly helped the local population economically (P.Manalo, 2017. p.3561). If the pollution can be mitigated and the carrying capacity is recognised, ecotourism can be a significant outlet for sustainable development. The Boracay Island is unlikely to become a tourist metropolis because of its environmental conditions (Smith, 2011. p.241) Further highlight the need to maintain its environment, which can be prone to damage as the influx increases. But the United Kingdom is unique in the sense that it may nor necessarily have hit its peak carrying capacity in the tourism industry, but the political climate made it so that significant numbers of tourists may no longer feel welcomed. The United Kingdom &amp; Philippines both have significant challenges in regards to rising sea levels. They may both have a significantly different carbon footprint, but the problem of global warming rings true for them both. </w:t>
      </w:r>
    </w:p>
    <w:p w:rsidR="00000000" w:rsidDel="00000000" w:rsidP="00000000" w:rsidRDefault="00000000" w:rsidRPr="00000000" w14:paraId="00000029">
      <w:pPr>
        <w:jc w:val="both"/>
        <w:rPr/>
      </w:pPr>
      <w:r w:rsidDel="00000000" w:rsidR="00000000" w:rsidRPr="00000000">
        <w:rPr>
          <w:rtl w:val="0"/>
        </w:rPr>
      </w:r>
    </w:p>
    <w:p w:rsidR="00000000" w:rsidDel="00000000" w:rsidP="00000000" w:rsidRDefault="00000000" w:rsidRPr="00000000" w14:paraId="0000002A">
      <w:pPr>
        <w:jc w:val="both"/>
        <w:rPr/>
      </w:pPr>
      <w:r w:rsidDel="00000000" w:rsidR="00000000" w:rsidRPr="00000000">
        <w:rPr>
          <w:rtl w:val="0"/>
        </w:rPr>
        <w:t xml:space="preserve">Sustainable tourism is significantly affected by transportation, which has significant negative externalities that hurt the industry in the long run. This unmitigated growth for the tourism industry will also lead to significant environmental degradation (Peters et al, 2018. p.176-177), negatively affecting ecotourism which is an effective mechanism in sustainable tourism. The social desirability of sustainable policies is based on fairness and justice (Peters et al, 2018. p.178). The richer population may be able to do things with a higher negative externality, while the poor, who do have the capacity to mitigate this foreign negative externality suffer. The economic desirability revolved around the global economic infrastructure (Peters et al, 2018. p.178). If the economy of the Philippines is hurt because of the negative externalities of the United Kingdom, it may lead to less Philippine tourists able to afford a trip to the United Kingdom, thus highlighting the interdependence and the potential for unsustainable actions hurting everyone. Political Consumerism highlights the way in which consumers exert their political influence through their choice of consumption (Lamers et al, 2018) Strong pockets of political consumerism, are dominated by the discourse of slow travel, conservation tourism, and voluntourism , where deliberate choices for particular products or services are made to uphold public virtues, like environmental or social sustainability(Lamers et al, 2018). Weaker forms of political consumerism involve conversations regarding transportation (Lamers et al, 2018) Consumers are able to change the dialogues through their behavioural characteristics. If they desire a more sustainable form of travel and they express it through their choices, the markets would have to adjust to this new demand, helping sustainable tourism in the long run. The UN recommends that before countries are affected from the negative externalities, they are to take preemptive steps to mitigate the issues (UNCTAD, 2013). </w:t>
      </w:r>
    </w:p>
    <w:p w:rsidR="00000000" w:rsidDel="00000000" w:rsidP="00000000" w:rsidRDefault="00000000" w:rsidRPr="00000000" w14:paraId="0000002B">
      <w:pPr>
        <w:jc w:val="both"/>
        <w:rPr/>
      </w:pPr>
      <w:r w:rsidDel="00000000" w:rsidR="00000000" w:rsidRPr="00000000">
        <w:rPr>
          <w:rtl w:val="0"/>
        </w:rPr>
      </w:r>
    </w:p>
    <w:p w:rsidR="00000000" w:rsidDel="00000000" w:rsidP="00000000" w:rsidRDefault="00000000" w:rsidRPr="00000000" w14:paraId="0000002C">
      <w:pPr>
        <w:pStyle w:val="Heading1"/>
        <w:jc w:val="both"/>
        <w:rPr/>
      </w:pPr>
      <w:bookmarkStart w:colFirst="0" w:colLast="0" w:name="_tyjcwt" w:id="5"/>
      <w:bookmarkEnd w:id="5"/>
      <w:r w:rsidDel="00000000" w:rsidR="00000000" w:rsidRPr="00000000">
        <w:rPr>
          <w:rtl w:val="0"/>
        </w:rPr>
        <w:t xml:space="preserve">Conclusion</w:t>
      </w:r>
    </w:p>
    <w:p w:rsidR="00000000" w:rsidDel="00000000" w:rsidP="00000000" w:rsidRDefault="00000000" w:rsidRPr="00000000" w14:paraId="0000002D">
      <w:pPr>
        <w:jc w:val="both"/>
        <w:rPr/>
      </w:pPr>
      <w:r w:rsidDel="00000000" w:rsidR="00000000" w:rsidRPr="00000000">
        <w:rPr>
          <w:rtl w:val="0"/>
        </w:rPr>
        <w:t xml:space="preserve">The term sustainable tourism needs to be understood on a global scale, rather than just being localised. Developed countries disproportionately have a higher carbon footprint, which can hurt the sustainable aspiration of emerging countries. The distinction in sustainable development in developed countries versus emerging nations, continues to be increasingly inapplicable as the globalising world ensures that negative externalities can be felt by countries on the other side of the planet. Both these countries have different challenges in terms of sustainability, but one disproportionately hampers the aspirations of the other, not necessarily out of nefarious means, but because the way in which the reward structure of the global markets is assembled. It seeks localised profits while ignoring the global impact. Political consumerism and ecotourism will likely need to play a significant role in building a globally sustainable tourist industry.</w:t>
      </w:r>
    </w:p>
    <w:p w:rsidR="00000000" w:rsidDel="00000000" w:rsidP="00000000" w:rsidRDefault="00000000" w:rsidRPr="00000000" w14:paraId="0000002E">
      <w:pPr>
        <w:jc w:val="both"/>
        <w:rPr/>
      </w:pPr>
      <w:r w:rsidDel="00000000" w:rsidR="00000000" w:rsidRPr="00000000">
        <w:rPr>
          <w:rtl w:val="0"/>
        </w:rPr>
      </w:r>
    </w:p>
    <w:p w:rsidR="00000000" w:rsidDel="00000000" w:rsidP="00000000" w:rsidRDefault="00000000" w:rsidRPr="00000000" w14:paraId="0000002F">
      <w:pPr>
        <w:jc w:val="both"/>
        <w:rPr/>
      </w:pPr>
      <w:r w:rsidDel="00000000" w:rsidR="00000000" w:rsidRPr="00000000">
        <w:rPr>
          <w:rtl w:val="0"/>
        </w:rPr>
      </w:r>
    </w:p>
    <w:p w:rsidR="00000000" w:rsidDel="00000000" w:rsidP="00000000" w:rsidRDefault="00000000" w:rsidRPr="00000000" w14:paraId="00000030">
      <w:pPr>
        <w:jc w:val="both"/>
        <w:rPr/>
      </w:pPr>
      <w:r w:rsidDel="00000000" w:rsidR="00000000" w:rsidRPr="00000000">
        <w:rPr>
          <w:rtl w:val="0"/>
        </w:rPr>
      </w:r>
    </w:p>
    <w:p w:rsidR="00000000" w:rsidDel="00000000" w:rsidP="00000000" w:rsidRDefault="00000000" w:rsidRPr="00000000" w14:paraId="00000031">
      <w:pPr>
        <w:pStyle w:val="Heading1"/>
        <w:jc w:val="both"/>
        <w:rPr/>
      </w:pPr>
      <w:bookmarkStart w:colFirst="0" w:colLast="0" w:name="_3dy6vkm" w:id="6"/>
      <w:bookmarkEnd w:id="6"/>
      <w:r w:rsidDel="00000000" w:rsidR="00000000" w:rsidRPr="00000000">
        <w:rPr>
          <w:rtl w:val="0"/>
        </w:rPr>
      </w:r>
    </w:p>
    <w:p w:rsidR="00000000" w:rsidDel="00000000" w:rsidP="00000000" w:rsidRDefault="00000000" w:rsidRPr="00000000" w14:paraId="00000032">
      <w:pPr>
        <w:pStyle w:val="Heading1"/>
        <w:jc w:val="both"/>
        <w:rPr/>
      </w:pPr>
      <w:bookmarkStart w:colFirst="0" w:colLast="0" w:name="_1t3h5sf" w:id="7"/>
      <w:bookmarkEnd w:id="7"/>
      <w:r w:rsidDel="00000000" w:rsidR="00000000" w:rsidRPr="00000000">
        <w:rPr>
          <w:rtl w:val="0"/>
        </w:rPr>
      </w:r>
    </w:p>
    <w:p w:rsidR="00000000" w:rsidDel="00000000" w:rsidP="00000000" w:rsidRDefault="00000000" w:rsidRPr="00000000" w14:paraId="00000033">
      <w:pPr>
        <w:jc w:val="both"/>
        <w:rPr/>
      </w:pPr>
      <w:r w:rsidDel="00000000" w:rsidR="00000000" w:rsidRPr="00000000">
        <w:rPr>
          <w:rtl w:val="0"/>
        </w:rPr>
      </w:r>
    </w:p>
    <w:p w:rsidR="00000000" w:rsidDel="00000000" w:rsidP="00000000" w:rsidRDefault="00000000" w:rsidRPr="00000000" w14:paraId="00000034">
      <w:pPr>
        <w:pStyle w:val="Heading1"/>
        <w:jc w:val="both"/>
        <w:rPr/>
      </w:pPr>
      <w:bookmarkStart w:colFirst="0" w:colLast="0" w:name="_4d34og8" w:id="8"/>
      <w:bookmarkEnd w:id="8"/>
      <w:r w:rsidDel="00000000" w:rsidR="00000000" w:rsidRPr="00000000">
        <w:rPr>
          <w:rtl w:val="0"/>
        </w:rPr>
      </w:r>
    </w:p>
    <w:p w:rsidR="00000000" w:rsidDel="00000000" w:rsidP="00000000" w:rsidRDefault="00000000" w:rsidRPr="00000000" w14:paraId="00000035">
      <w:pPr>
        <w:jc w:val="both"/>
        <w:rPr/>
      </w:pPr>
      <w:r w:rsidDel="00000000" w:rsidR="00000000" w:rsidRPr="00000000">
        <w:rPr>
          <w:rtl w:val="0"/>
        </w:rPr>
      </w:r>
    </w:p>
    <w:p w:rsidR="00000000" w:rsidDel="00000000" w:rsidP="00000000" w:rsidRDefault="00000000" w:rsidRPr="00000000" w14:paraId="00000036">
      <w:pPr>
        <w:jc w:val="both"/>
        <w:rPr/>
      </w:pPr>
      <w:r w:rsidDel="00000000" w:rsidR="00000000" w:rsidRPr="00000000">
        <w:rPr>
          <w:rtl w:val="0"/>
        </w:rPr>
      </w:r>
    </w:p>
    <w:p w:rsidR="00000000" w:rsidDel="00000000" w:rsidP="00000000" w:rsidRDefault="00000000" w:rsidRPr="00000000" w14:paraId="00000037">
      <w:pPr>
        <w:pStyle w:val="Heading1"/>
        <w:jc w:val="both"/>
        <w:rPr/>
      </w:pPr>
      <w:bookmarkStart w:colFirst="0" w:colLast="0" w:name="_2s8eyo1" w:id="9"/>
      <w:bookmarkEnd w:id="9"/>
      <w:r w:rsidDel="00000000" w:rsidR="00000000" w:rsidRPr="00000000">
        <w:rPr>
          <w:rtl w:val="0"/>
        </w:rPr>
        <w:t xml:space="preserve">Bibliography</w:t>
      </w:r>
    </w:p>
    <w:p w:rsidR="00000000" w:rsidDel="00000000" w:rsidP="00000000" w:rsidRDefault="00000000" w:rsidRPr="00000000" w14:paraId="00000038">
      <w:pPr>
        <w:jc w:val="both"/>
        <w:rPr/>
      </w:pPr>
      <w:r w:rsidDel="00000000" w:rsidR="00000000" w:rsidRPr="00000000">
        <w:rPr>
          <w:rtl w:val="0"/>
        </w:rPr>
      </w:r>
    </w:p>
    <w:p w:rsidR="00000000" w:rsidDel="00000000" w:rsidP="00000000" w:rsidRDefault="00000000" w:rsidRPr="00000000" w14:paraId="00000039">
      <w:pPr>
        <w:numPr>
          <w:ilvl w:val="0"/>
          <w:numId w:val="1"/>
        </w:numPr>
        <w:spacing w:after="180" w:lineRule="auto"/>
        <w:ind w:left="1440" w:hanging="360"/>
        <w:jc w:val="both"/>
        <w:rPr/>
      </w:pPr>
      <w:r w:rsidDel="00000000" w:rsidR="00000000" w:rsidRPr="00000000">
        <w:rPr>
          <w:rtl w:val="0"/>
        </w:rPr>
        <w:t xml:space="preserve">Fox, J. (2020). </w:t>
      </w:r>
      <w:r w:rsidDel="00000000" w:rsidR="00000000" w:rsidRPr="00000000">
        <w:rPr>
          <w:i w:val="1"/>
          <w:rtl w:val="0"/>
        </w:rPr>
        <w:t xml:space="preserve">Study shows Brexit has hurt travelers' perception of the UK</w:t>
      </w:r>
      <w:r w:rsidDel="00000000" w:rsidR="00000000" w:rsidRPr="00000000">
        <w:rPr>
          <w:rtl w:val="0"/>
        </w:rPr>
        <w:t xml:space="preserve">. [online] Hotel Management. Available at: https://www.hotelmanagement.net/legal/no-deal-brexit-could-hurt-uk-perception-among-travelers [Accessed 20 May. 2020].</w:t>
      </w:r>
    </w:p>
    <w:p w:rsidR="00000000" w:rsidDel="00000000" w:rsidP="00000000" w:rsidRDefault="00000000" w:rsidRPr="00000000" w14:paraId="0000003A">
      <w:pPr>
        <w:numPr>
          <w:ilvl w:val="0"/>
          <w:numId w:val="1"/>
        </w:numPr>
        <w:spacing w:after="180" w:lineRule="auto"/>
        <w:ind w:left="1440" w:hanging="360"/>
        <w:jc w:val="both"/>
        <w:rPr/>
      </w:pPr>
      <w:r w:rsidDel="00000000" w:rsidR="00000000" w:rsidRPr="00000000">
        <w:rPr>
          <w:rtl w:val="0"/>
        </w:rPr>
        <w:t xml:space="preserve">Francis, J. (2020). </w:t>
      </w:r>
      <w:r w:rsidDel="00000000" w:rsidR="00000000" w:rsidRPr="00000000">
        <w:rPr>
          <w:i w:val="1"/>
          <w:rtl w:val="0"/>
        </w:rPr>
        <w:t xml:space="preserve">The idea that climate change will boost UK tourism is a dangerous myth</w:t>
      </w:r>
      <w:r w:rsidDel="00000000" w:rsidR="00000000" w:rsidRPr="00000000">
        <w:rPr>
          <w:rtl w:val="0"/>
        </w:rPr>
        <w:t xml:space="preserve">. [online] The Telegraph. Available at: https://www.telegraph.co.uk/travel/comment/climate-change-tourism-uk/ [Accessed 20 May. 2020].</w:t>
      </w:r>
    </w:p>
    <w:p w:rsidR="00000000" w:rsidDel="00000000" w:rsidP="00000000" w:rsidRDefault="00000000" w:rsidRPr="00000000" w14:paraId="0000003B">
      <w:pPr>
        <w:numPr>
          <w:ilvl w:val="0"/>
          <w:numId w:val="1"/>
        </w:numPr>
        <w:spacing w:after="180" w:lineRule="auto"/>
        <w:ind w:left="1440" w:hanging="360"/>
        <w:jc w:val="both"/>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Hui, L., 2019. </w:t>
      </w:r>
      <w:r w:rsidDel="00000000" w:rsidR="00000000" w:rsidRPr="00000000">
        <w:rPr>
          <w:rFonts w:ascii="Arial" w:cs="Arial" w:eastAsia="Arial" w:hAnsi="Arial"/>
          <w:i w:val="1"/>
          <w:sz w:val="20"/>
          <w:szCs w:val="20"/>
          <w:highlight w:val="white"/>
          <w:rtl w:val="0"/>
        </w:rPr>
        <w:t xml:space="preserve">Philippines Records 8 Mln Foreign Tourists In 2019 - Xinhua | English.News.Cn</w:t>
      </w:r>
      <w:r w:rsidDel="00000000" w:rsidR="00000000" w:rsidRPr="00000000">
        <w:rPr>
          <w:rFonts w:ascii="Arial" w:cs="Arial" w:eastAsia="Arial" w:hAnsi="Arial"/>
          <w:sz w:val="20"/>
          <w:szCs w:val="20"/>
          <w:highlight w:val="white"/>
          <w:rtl w:val="0"/>
        </w:rPr>
        <w:t xml:space="preserve">. [online] Xinhuanet.com. Available at: &lt;http://www.xinhuanet.com/english/2019-12/28/c_138663091.htm&gt; [Accessed 21 May 2020].</w:t>
      </w:r>
    </w:p>
    <w:p w:rsidR="00000000" w:rsidDel="00000000" w:rsidP="00000000" w:rsidRDefault="00000000" w:rsidRPr="00000000" w14:paraId="0000003C">
      <w:pPr>
        <w:numPr>
          <w:ilvl w:val="0"/>
          <w:numId w:val="1"/>
        </w:numPr>
        <w:spacing w:after="180" w:lineRule="auto"/>
        <w:ind w:left="1440" w:hanging="360"/>
        <w:jc w:val="both"/>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Lamers, M. Nawijn, J. and Eijgelaar, E. (2018). Political Consumerism for Sustainable Tourism: A Review. In: The Oxford Handbook of Political Consumerism, edited by Magnus Boström, Michele Micheletti, and Peter Oosterveer. Oxford University Press.</w:t>
      </w:r>
    </w:p>
    <w:p w:rsidR="00000000" w:rsidDel="00000000" w:rsidP="00000000" w:rsidRDefault="00000000" w:rsidRPr="00000000" w14:paraId="0000003D">
      <w:pPr>
        <w:numPr>
          <w:ilvl w:val="0"/>
          <w:numId w:val="1"/>
        </w:numPr>
        <w:spacing w:after="180" w:lineRule="auto"/>
        <w:ind w:left="1440" w:hanging="360"/>
        <w:jc w:val="both"/>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Maftuhah, D. and Wirjodirdjo, B., 2018. Model for developing five key pillars of sustainable tourism: A literature review.</w:t>
      </w:r>
    </w:p>
    <w:p w:rsidR="00000000" w:rsidDel="00000000" w:rsidP="00000000" w:rsidRDefault="00000000" w:rsidRPr="00000000" w14:paraId="0000003E">
      <w:pPr>
        <w:numPr>
          <w:ilvl w:val="0"/>
          <w:numId w:val="1"/>
        </w:numPr>
        <w:spacing w:after="180" w:lineRule="auto"/>
        <w:ind w:left="1440" w:hanging="360"/>
        <w:jc w:val="both"/>
        <w:rPr/>
      </w:pPr>
      <w:r w:rsidDel="00000000" w:rsidR="00000000" w:rsidRPr="00000000">
        <w:rPr>
          <w:rFonts w:ascii="Arial" w:cs="Arial" w:eastAsia="Arial" w:hAnsi="Arial"/>
          <w:sz w:val="20"/>
          <w:szCs w:val="20"/>
          <w:highlight w:val="white"/>
          <w:rtl w:val="0"/>
        </w:rPr>
        <w:t xml:space="preserve">P. Manalo, J., (2017). RELEVANCE OF SUSTAINABLE TOURISM IN THE PHILIPPINES: CASE OF BORACAY ISLAND AND PUERTO PRINCESA CITY. </w:t>
      </w:r>
      <w:r w:rsidDel="00000000" w:rsidR="00000000" w:rsidRPr="00000000">
        <w:rPr>
          <w:rFonts w:ascii="Arial" w:cs="Arial" w:eastAsia="Arial" w:hAnsi="Arial"/>
          <w:i w:val="1"/>
          <w:sz w:val="20"/>
          <w:szCs w:val="20"/>
          <w:highlight w:val="white"/>
          <w:rtl w:val="0"/>
        </w:rPr>
        <w:t xml:space="preserve">International Journal of Information Research and Review</w:t>
      </w:r>
      <w:r w:rsidDel="00000000" w:rsidR="00000000" w:rsidRPr="00000000">
        <w:rPr>
          <w:rFonts w:ascii="Arial" w:cs="Arial" w:eastAsia="Arial" w:hAnsi="Arial"/>
          <w:sz w:val="20"/>
          <w:szCs w:val="20"/>
          <w:highlight w:val="white"/>
          <w:rtl w:val="0"/>
        </w:rPr>
        <w:t xml:space="preserve">, Vol. 04,(Issue, 01), pp.pp.3558-3562.</w:t>
      </w:r>
      <w:r w:rsidDel="00000000" w:rsidR="00000000" w:rsidRPr="00000000">
        <w:rPr>
          <w:rtl w:val="0"/>
        </w:rPr>
      </w:r>
    </w:p>
    <w:p w:rsidR="00000000" w:rsidDel="00000000" w:rsidP="00000000" w:rsidRDefault="00000000" w:rsidRPr="00000000" w14:paraId="0000003F">
      <w:pPr>
        <w:numPr>
          <w:ilvl w:val="0"/>
          <w:numId w:val="1"/>
        </w:numPr>
        <w:spacing w:after="180" w:lineRule="auto"/>
        <w:ind w:left="1440" w:hanging="360"/>
        <w:jc w:val="both"/>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Peeters, P., Higham, J., Cohen, S., Eijgelaar, E. and Gössling, S., (2018). Desirable tourism transport futures. </w:t>
      </w:r>
      <w:r w:rsidDel="00000000" w:rsidR="00000000" w:rsidRPr="00000000">
        <w:rPr>
          <w:rFonts w:ascii="Arial" w:cs="Arial" w:eastAsia="Arial" w:hAnsi="Arial"/>
          <w:i w:val="1"/>
          <w:sz w:val="20"/>
          <w:szCs w:val="20"/>
          <w:highlight w:val="white"/>
          <w:rtl w:val="0"/>
        </w:rPr>
        <w:t xml:space="preserve">Journal of Sustainable Tourism</w:t>
      </w:r>
      <w:r w:rsidDel="00000000" w:rsidR="00000000" w:rsidRPr="00000000">
        <w:rPr>
          <w:rFonts w:ascii="Arial" w:cs="Arial" w:eastAsia="Arial" w:hAnsi="Arial"/>
          <w:sz w:val="20"/>
          <w:szCs w:val="20"/>
          <w:highlight w:val="white"/>
          <w:rtl w:val="0"/>
        </w:rPr>
        <w:t xml:space="preserve">, 27(2), pp.173-188.</w:t>
      </w:r>
    </w:p>
    <w:p w:rsidR="00000000" w:rsidDel="00000000" w:rsidP="00000000" w:rsidRDefault="00000000" w:rsidRPr="00000000" w14:paraId="00000040">
      <w:pPr>
        <w:numPr>
          <w:ilvl w:val="0"/>
          <w:numId w:val="1"/>
        </w:numPr>
        <w:ind w:left="1440" w:hanging="360"/>
        <w:jc w:val="both"/>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Sanchez, M., 2020. </w:t>
      </w:r>
      <w:r w:rsidDel="00000000" w:rsidR="00000000" w:rsidRPr="00000000">
        <w:rPr>
          <w:rFonts w:ascii="Arial" w:cs="Arial" w:eastAsia="Arial" w:hAnsi="Arial"/>
          <w:i w:val="1"/>
          <w:sz w:val="20"/>
          <w:szCs w:val="20"/>
          <w:highlight w:val="white"/>
          <w:rtl w:val="0"/>
        </w:rPr>
        <w:t xml:space="preserve">Philippines: Leading Countries Of Tourist Arrivals 2019 | Statista</w:t>
      </w:r>
      <w:r w:rsidDel="00000000" w:rsidR="00000000" w:rsidRPr="00000000">
        <w:rPr>
          <w:rFonts w:ascii="Arial" w:cs="Arial" w:eastAsia="Arial" w:hAnsi="Arial"/>
          <w:sz w:val="20"/>
          <w:szCs w:val="20"/>
          <w:highlight w:val="white"/>
          <w:rtl w:val="0"/>
        </w:rPr>
        <w:t xml:space="preserve">. [online] Statista. Available at: &lt;https://www.statista.com/statistics/1097216/philippines-tourist-arrivals-by-country-of-residence/&gt; [Accessed 21 May 2020].</w:t>
      </w:r>
    </w:p>
    <w:p w:rsidR="00000000" w:rsidDel="00000000" w:rsidP="00000000" w:rsidRDefault="00000000" w:rsidRPr="00000000" w14:paraId="00000041">
      <w:pPr>
        <w:numPr>
          <w:ilvl w:val="0"/>
          <w:numId w:val="1"/>
        </w:numPr>
        <w:spacing w:after="180" w:lineRule="auto"/>
        <w:ind w:left="1440" w:hanging="360"/>
        <w:jc w:val="both"/>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Smith, R., Henderson, J., Chong, V., Tay, C. and Jingwen, Y., (2011). The Development and Management of Beach Resorts: Boracay Island, The Philippines. </w:t>
      </w:r>
      <w:r w:rsidDel="00000000" w:rsidR="00000000" w:rsidRPr="00000000">
        <w:rPr>
          <w:rFonts w:ascii="Arial" w:cs="Arial" w:eastAsia="Arial" w:hAnsi="Arial"/>
          <w:i w:val="1"/>
          <w:sz w:val="20"/>
          <w:szCs w:val="20"/>
          <w:highlight w:val="white"/>
          <w:rtl w:val="0"/>
        </w:rPr>
        <w:t xml:space="preserve">Asia Pacific Journal of Tourism Research</w:t>
      </w:r>
      <w:r w:rsidDel="00000000" w:rsidR="00000000" w:rsidRPr="00000000">
        <w:rPr>
          <w:rFonts w:ascii="Arial" w:cs="Arial" w:eastAsia="Arial" w:hAnsi="Arial"/>
          <w:sz w:val="20"/>
          <w:szCs w:val="20"/>
          <w:highlight w:val="white"/>
          <w:rtl w:val="0"/>
        </w:rPr>
        <w:t xml:space="preserve">, 16(2), pp.229-245.</w:t>
      </w:r>
    </w:p>
    <w:p w:rsidR="00000000" w:rsidDel="00000000" w:rsidP="00000000" w:rsidRDefault="00000000" w:rsidRPr="00000000" w14:paraId="00000042">
      <w:pPr>
        <w:numPr>
          <w:ilvl w:val="0"/>
          <w:numId w:val="1"/>
        </w:numPr>
        <w:spacing w:after="180" w:lineRule="auto"/>
        <w:ind w:left="1440" w:hanging="360"/>
        <w:jc w:val="both"/>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UN, n.d. </w:t>
      </w:r>
      <w:r w:rsidDel="00000000" w:rsidR="00000000" w:rsidRPr="00000000">
        <w:rPr>
          <w:rFonts w:ascii="Arial" w:cs="Arial" w:eastAsia="Arial" w:hAnsi="Arial"/>
          <w:i w:val="1"/>
          <w:sz w:val="20"/>
          <w:szCs w:val="20"/>
          <w:highlight w:val="white"/>
          <w:rtl w:val="0"/>
        </w:rPr>
        <w:t xml:space="preserve">About The Sustainable Development Goals</w:t>
      </w:r>
      <w:r w:rsidDel="00000000" w:rsidR="00000000" w:rsidRPr="00000000">
        <w:rPr>
          <w:rFonts w:ascii="Arial" w:cs="Arial" w:eastAsia="Arial" w:hAnsi="Arial"/>
          <w:sz w:val="20"/>
          <w:szCs w:val="20"/>
          <w:highlight w:val="white"/>
          <w:rtl w:val="0"/>
        </w:rPr>
        <w:t xml:space="preserve">. [online] United Nations Sustainable Development. Available at: &lt;https://www.un.org/sustainabledevelopment/sustainable-development-goals/&gt; [Accessed 21 May 2020].</w:t>
      </w:r>
    </w:p>
    <w:p w:rsidR="00000000" w:rsidDel="00000000" w:rsidP="00000000" w:rsidRDefault="00000000" w:rsidRPr="00000000" w14:paraId="00000043">
      <w:pPr>
        <w:numPr>
          <w:ilvl w:val="0"/>
          <w:numId w:val="1"/>
        </w:numPr>
        <w:spacing w:after="180" w:lineRule="auto"/>
        <w:ind w:left="1440" w:hanging="360"/>
        <w:jc w:val="both"/>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UNCTAD, 2013. </w:t>
      </w:r>
      <w:r w:rsidDel="00000000" w:rsidR="00000000" w:rsidRPr="00000000">
        <w:rPr>
          <w:rFonts w:ascii="Arial" w:cs="Arial" w:eastAsia="Arial" w:hAnsi="Arial"/>
          <w:i w:val="1"/>
          <w:sz w:val="20"/>
          <w:szCs w:val="20"/>
          <w:highlight w:val="white"/>
          <w:rtl w:val="0"/>
        </w:rPr>
        <w:t xml:space="preserve">Sustainable Tourism: Contribution To Economic Growth And Sustainable Development</w:t>
      </w:r>
      <w:r w:rsidDel="00000000" w:rsidR="00000000" w:rsidRPr="00000000">
        <w:rPr>
          <w:rFonts w:ascii="Arial" w:cs="Arial" w:eastAsia="Arial" w:hAnsi="Arial"/>
          <w:sz w:val="20"/>
          <w:szCs w:val="20"/>
          <w:highlight w:val="white"/>
          <w:rtl w:val="0"/>
        </w:rPr>
        <w:t xml:space="preserve">. Trade and Development Board.</w:t>
      </w:r>
    </w:p>
    <w:p w:rsidR="00000000" w:rsidDel="00000000" w:rsidP="00000000" w:rsidRDefault="00000000" w:rsidRPr="00000000" w14:paraId="00000044">
      <w:pPr>
        <w:numPr>
          <w:ilvl w:val="0"/>
          <w:numId w:val="1"/>
        </w:numPr>
        <w:spacing w:after="180" w:lineRule="auto"/>
        <w:ind w:left="1440" w:hanging="360"/>
        <w:jc w:val="both"/>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WTTC. 2019. </w:t>
      </w:r>
      <w:r w:rsidDel="00000000" w:rsidR="00000000" w:rsidRPr="00000000">
        <w:rPr>
          <w:rFonts w:ascii="Arial" w:cs="Arial" w:eastAsia="Arial" w:hAnsi="Arial"/>
          <w:i w:val="1"/>
          <w:sz w:val="20"/>
          <w:szCs w:val="20"/>
          <w:highlight w:val="white"/>
          <w:rtl w:val="0"/>
        </w:rPr>
        <w:t xml:space="preserve">TRAVEL &amp; TOURISM ECONOMIC IMPACT 2019 WORLD</w:t>
      </w:r>
      <w:r w:rsidDel="00000000" w:rsidR="00000000" w:rsidRPr="00000000">
        <w:rPr>
          <w:rFonts w:ascii="Arial" w:cs="Arial" w:eastAsia="Arial" w:hAnsi="Arial"/>
          <w:sz w:val="20"/>
          <w:szCs w:val="20"/>
          <w:highlight w:val="white"/>
          <w:rtl w:val="0"/>
        </w:rPr>
        <w:t xml:space="preserve">.</w:t>
      </w:r>
    </w:p>
    <w:p w:rsidR="00000000" w:rsidDel="00000000" w:rsidP="00000000" w:rsidRDefault="00000000" w:rsidRPr="00000000" w14:paraId="00000045">
      <w:pPr>
        <w:jc w:val="both"/>
        <w:rPr/>
      </w:pPr>
      <w:r w:rsidDel="00000000" w:rsidR="00000000" w:rsidRPr="00000000">
        <w:rPr>
          <w:rtl w:val="0"/>
        </w:rPr>
      </w:r>
    </w:p>
    <w:sectPr>
      <w:headerReference r:id="rId9" w:type="default"/>
      <w:footerReference r:id="rId10" w:type="default"/>
      <w:pgSz w:h="16838" w:w="11906"/>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7">
    <w:pPr>
      <w:pBdr>
        <w:top w:space="0" w:sz="0" w:val="nil"/>
        <w:left w:space="0" w:sz="0" w:val="nil"/>
        <w:bottom w:space="0" w:sz="0" w:val="nil"/>
        <w:right w:space="0" w:sz="0" w:val="nil"/>
        <w:between w:space="0" w:sz="0" w:val="nil"/>
      </w:pBdr>
      <w:tabs>
        <w:tab w:val="center" w:pos="4513"/>
        <w:tab w:val="right" w:pos="9026"/>
      </w:tabs>
      <w:spacing w:line="240" w:lineRule="auto"/>
      <w:jc w:val="center"/>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8">
    <w:pPr>
      <w:pBdr>
        <w:top w:space="0" w:sz="0" w:val="nil"/>
        <w:left w:space="0" w:sz="0" w:val="nil"/>
        <w:bottom w:space="0" w:sz="0" w:val="nil"/>
        <w:right w:space="0" w:sz="0" w:val="nil"/>
        <w:between w:space="0" w:sz="0" w:val="nil"/>
      </w:pBdr>
      <w:tabs>
        <w:tab w:val="center" w:pos="4513"/>
        <w:tab w:val="right" w:pos="9026"/>
      </w:tabs>
      <w:spacing w:line="240" w:lineRule="auto"/>
      <w:rPr>
        <w:rFonts w:ascii="Calibri" w:cs="Calibri" w:eastAsia="Calibri" w:hAnsi="Calibri"/>
        <w:color w:val="000000"/>
        <w:sz w:val="22"/>
        <w:szCs w:val="22"/>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48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