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3A19" w:rsidRPr="00193A19" w:rsidRDefault="00193A19" w:rsidP="00193A19">
      <w:pPr>
        <w:rPr>
          <w:rFonts w:ascii="Arial" w:hAnsi="Arial" w:cs="Arial"/>
          <w:sz w:val="24"/>
          <w:szCs w:val="24"/>
          <w:u w:val="single"/>
        </w:rPr>
      </w:pPr>
      <w:r w:rsidRPr="00193A19">
        <w:rPr>
          <w:rFonts w:ascii="Arial" w:hAnsi="Arial" w:cs="Arial"/>
          <w:sz w:val="24"/>
          <w:szCs w:val="24"/>
          <w:u w:val="single"/>
        </w:rPr>
        <w:t>Reflection on Quality Education</w:t>
      </w:r>
    </w:p>
    <w:p w:rsidR="00193A19" w:rsidRPr="00193A19" w:rsidRDefault="00193A19" w:rsidP="00193A19">
      <w:pPr>
        <w:rPr>
          <w:rFonts w:ascii="Arial" w:hAnsi="Arial" w:cs="Arial"/>
          <w:sz w:val="24"/>
          <w:szCs w:val="24"/>
        </w:rPr>
      </w:pPr>
      <w:r w:rsidRPr="00193A19">
        <w:rPr>
          <w:rFonts w:ascii="Arial" w:hAnsi="Arial" w:cs="Arial"/>
          <w:sz w:val="24"/>
          <w:szCs w:val="24"/>
        </w:rPr>
        <w:t>In 2012 United Nations former secretary –General Ban Ki-moon stated that quality education is more than just literacy and numeracy – it is also about environment and educators. He believed that educators play a critical role in helping people to forge more just, peaceful and tolerant societies which will provide a benchmark for high quality education (United Nations 2012). Moving forward quality education is still at the forefront of government policies and global debate. A bold statement to the world from the United Nations specified that their 4th sustainable development goal would be quality education for all, stating that by 2030 all children should receive quality early years development and care in all countries (</w:t>
      </w:r>
      <w:proofErr w:type="spellStart"/>
      <w:r w:rsidRPr="00193A19">
        <w:rPr>
          <w:rFonts w:ascii="Arial" w:hAnsi="Arial" w:cs="Arial"/>
          <w:sz w:val="24"/>
          <w:szCs w:val="24"/>
        </w:rPr>
        <w:t>Unicef</w:t>
      </w:r>
      <w:proofErr w:type="spellEnd"/>
      <w:r w:rsidRPr="00193A19">
        <w:rPr>
          <w:rFonts w:ascii="Arial" w:hAnsi="Arial" w:cs="Arial"/>
          <w:sz w:val="24"/>
          <w:szCs w:val="24"/>
        </w:rPr>
        <w:t>, 2019).This paper will discuss what we mean by ‘Quality Education’ why is it important and how we measure it? It will critically reflect on the benefits of quality assurance methods and analyse their use in early childcare settings.</w:t>
      </w:r>
    </w:p>
    <w:p w:rsidR="00193A19" w:rsidRPr="00193A19" w:rsidRDefault="00193A19" w:rsidP="00193A19">
      <w:pPr>
        <w:rPr>
          <w:rFonts w:ascii="Arial" w:hAnsi="Arial" w:cs="Arial"/>
          <w:sz w:val="24"/>
          <w:szCs w:val="24"/>
        </w:rPr>
      </w:pPr>
      <w:r w:rsidRPr="00193A19">
        <w:rPr>
          <w:rFonts w:ascii="Arial" w:hAnsi="Arial" w:cs="Arial"/>
          <w:sz w:val="24"/>
          <w:szCs w:val="24"/>
        </w:rPr>
        <w:t>Ward (2022) stated that there is no single definition of quality education; it is determined by the person defining it. Every person has a unique perspective on quality. When determining quality in education, each person takes a different factor into account. A practitioner may define quality as authentic resources and space in a setting, a politician may state that adequate funding will determine quality settings and parents and carers may believe that increased staff ratio and plentiful resources provide a quality education. A combination of this is what possibly makes delivering quality education more challenging especially getting the balance right between education and care (Archer &amp; Merrick</w:t>
      </w:r>
      <w:proofErr w:type="gramStart"/>
      <w:r w:rsidRPr="00193A19">
        <w:rPr>
          <w:rFonts w:ascii="Arial" w:hAnsi="Arial" w:cs="Arial"/>
          <w:sz w:val="24"/>
          <w:szCs w:val="24"/>
        </w:rPr>
        <w:t>,2020</w:t>
      </w:r>
      <w:proofErr w:type="gramEnd"/>
      <w:r w:rsidRPr="00193A19">
        <w:rPr>
          <w:rFonts w:ascii="Arial" w:hAnsi="Arial" w:cs="Arial"/>
          <w:sz w:val="24"/>
          <w:szCs w:val="24"/>
        </w:rPr>
        <w:t>).  Due to this lack of clarity of how one defines quality education the Education Policy Institute (EPI) and the Early Intervention Foundation (EIF) commissioned research into examining key features of quality in early year’s childcare and education (Bonetti, 2018).They interpret quality in education in two ways; structural quality which refers to inputs that are easier to monitor, measure, and regulate, such as staff-child ratio, group size and staff professional development. Then process quality which documents a child’s daily experiences, the types of interactions between the child and adults and how the child’s care needs are met. However, the Welsh Government (2017) states that it’s predominately the quality of its teachers who can independently drive quality education. They believe that the quality of teachers determines the quality of an education system, and the curriculum cannot be implemented without an aspirational teaching profession.</w:t>
      </w:r>
    </w:p>
    <w:p w:rsidR="00193A19" w:rsidRPr="00193A19" w:rsidRDefault="00193A19" w:rsidP="00193A19">
      <w:pPr>
        <w:rPr>
          <w:rFonts w:ascii="Arial" w:hAnsi="Arial" w:cs="Arial"/>
          <w:sz w:val="24"/>
          <w:szCs w:val="24"/>
        </w:rPr>
      </w:pPr>
      <w:r w:rsidRPr="00193A19">
        <w:rPr>
          <w:rFonts w:ascii="Arial" w:hAnsi="Arial" w:cs="Arial"/>
          <w:sz w:val="24"/>
          <w:szCs w:val="24"/>
        </w:rPr>
        <w:t xml:space="preserve">Firstly we need to look at why quality education is important. Studies such as the ‘Effective Provision of Pre-School Educational (EPPE) project’ (Sylva et al. 2004) looked at child development and how practice in early years settings influence outcomes of a child. Their research indicated that high quality provision and a play based ethos in early years is critical for good outcomes and that by attending a high quality pre-school with opportunities for play, improved both attainment and progress in early school careers and sets children on particularly effective learning pathways as teenagers. The research also showed that having positive early year’s </w:t>
      </w:r>
      <w:r w:rsidRPr="00193A19">
        <w:rPr>
          <w:rFonts w:ascii="Arial" w:hAnsi="Arial" w:cs="Arial"/>
          <w:sz w:val="24"/>
          <w:szCs w:val="24"/>
        </w:rPr>
        <w:lastRenderedPageBreak/>
        <w:t>experiences in a setting shaped the children’s lives beyond compulsory school age. In support of this according to the ‘Early Intervention: Next Steps report’ (Allan,2011), a child's development score at 22 months can accurately predict their educational outcomes when they reach 26 years of age. This highlights the crucial significance of a child's formative years. Action Education (2022) says quality education is vital for social, health, economic, and political growth throughout the world and is fundamental for future generations.</w:t>
      </w:r>
    </w:p>
    <w:p w:rsidR="00193A19" w:rsidRPr="00193A19" w:rsidRDefault="00193A19" w:rsidP="00193A19">
      <w:pPr>
        <w:rPr>
          <w:rFonts w:ascii="Arial" w:hAnsi="Arial" w:cs="Arial"/>
          <w:sz w:val="24"/>
          <w:szCs w:val="24"/>
        </w:rPr>
      </w:pPr>
      <w:r w:rsidRPr="00193A19">
        <w:rPr>
          <w:rFonts w:ascii="Arial" w:hAnsi="Arial" w:cs="Arial"/>
          <w:sz w:val="24"/>
          <w:szCs w:val="24"/>
        </w:rPr>
        <w:t>However, there is still a lack of clarity on how to provide that quality with</w:t>
      </w:r>
      <w:r>
        <w:rPr>
          <w:rFonts w:ascii="Arial" w:hAnsi="Arial" w:cs="Arial"/>
          <w:sz w:val="24"/>
          <w:szCs w:val="24"/>
        </w:rPr>
        <w:t xml:space="preserve"> The Guardian (2018) reporting that Ofsted issued</w:t>
      </w:r>
      <w:r w:rsidRPr="00193A19">
        <w:rPr>
          <w:rFonts w:ascii="Arial" w:hAnsi="Arial" w:cs="Arial"/>
          <w:sz w:val="24"/>
          <w:szCs w:val="24"/>
        </w:rPr>
        <w:t xml:space="preserve"> a rep</w:t>
      </w:r>
      <w:r>
        <w:rPr>
          <w:rFonts w:ascii="Arial" w:hAnsi="Arial" w:cs="Arial"/>
          <w:sz w:val="24"/>
          <w:szCs w:val="24"/>
        </w:rPr>
        <w:t xml:space="preserve">ort ‘Bold Beginnings’ which stated </w:t>
      </w:r>
      <w:bookmarkStart w:id="0" w:name="_GoBack"/>
      <w:bookmarkEnd w:id="0"/>
      <w:r w:rsidRPr="00193A19">
        <w:rPr>
          <w:rFonts w:ascii="Arial" w:hAnsi="Arial" w:cs="Arial"/>
          <w:sz w:val="24"/>
          <w:szCs w:val="24"/>
        </w:rPr>
        <w:t xml:space="preserve"> that schools are failing  children with their early year’s experiences of play and informal settings especially in reception classes. Ofsted stated that children should be more formally instructed in phonics and that children should be made to sit at tables to learn to write. These conflicting views indicates that one should therefore look at other measures of quality and not just government backed institutions and the National minimum standards (NMS) of childcare (WG 2023) to gain a true insight to what quality education is and how to achieve it. Going beyond the statutory requirements is crucial for achieving learning experiences that will have a positive effect on children’s outcomes (</w:t>
      </w:r>
      <w:proofErr w:type="spellStart"/>
      <w:r w:rsidRPr="00193A19">
        <w:rPr>
          <w:rFonts w:ascii="Arial" w:hAnsi="Arial" w:cs="Arial"/>
          <w:sz w:val="24"/>
          <w:szCs w:val="24"/>
        </w:rPr>
        <w:t>Mutebi</w:t>
      </w:r>
      <w:proofErr w:type="spellEnd"/>
      <w:r w:rsidRPr="00193A19">
        <w:rPr>
          <w:rFonts w:ascii="Arial" w:hAnsi="Arial" w:cs="Arial"/>
          <w:sz w:val="24"/>
          <w:szCs w:val="24"/>
        </w:rPr>
        <w:t xml:space="preserve"> and Hobbs, 2021).</w:t>
      </w:r>
    </w:p>
    <w:p w:rsidR="00193A19" w:rsidRPr="00193A19" w:rsidRDefault="00193A19" w:rsidP="00193A19">
      <w:pPr>
        <w:rPr>
          <w:rFonts w:ascii="Arial" w:hAnsi="Arial" w:cs="Arial"/>
          <w:sz w:val="24"/>
          <w:szCs w:val="24"/>
        </w:rPr>
      </w:pPr>
      <w:r w:rsidRPr="00193A19">
        <w:rPr>
          <w:rFonts w:ascii="Arial" w:hAnsi="Arial" w:cs="Arial"/>
          <w:sz w:val="24"/>
          <w:szCs w:val="24"/>
        </w:rPr>
        <w:t xml:space="preserve"> Mathers et al. (2012) summarised quality practice must be measured in a variety of methods and times as this will guarantee that one will see an accurate representation of all elements of practice. It goes beyond a snapshot or regulation inspection visit. Most settings of Early Year Childhood Education and Care (ECEC) </w:t>
      </w:r>
      <w:proofErr w:type="gramStart"/>
      <w:r w:rsidRPr="00193A19">
        <w:rPr>
          <w:rFonts w:ascii="Arial" w:hAnsi="Arial" w:cs="Arial"/>
          <w:sz w:val="24"/>
          <w:szCs w:val="24"/>
        </w:rPr>
        <w:t>uses</w:t>
      </w:r>
      <w:proofErr w:type="gramEnd"/>
      <w:r w:rsidRPr="00193A19">
        <w:rPr>
          <w:rFonts w:ascii="Arial" w:hAnsi="Arial" w:cs="Arial"/>
          <w:sz w:val="24"/>
          <w:szCs w:val="24"/>
        </w:rPr>
        <w:t xml:space="preserve"> a variety of methods and tools to improve and expand quality. The potential of a child’s involvement as a marker of quality provision links to  Piaget’s learning theory and </w:t>
      </w:r>
      <w:proofErr w:type="spellStart"/>
      <w:r w:rsidRPr="00193A19">
        <w:rPr>
          <w:rFonts w:ascii="Arial" w:hAnsi="Arial" w:cs="Arial"/>
          <w:sz w:val="24"/>
          <w:szCs w:val="24"/>
        </w:rPr>
        <w:t>Gendlin’s</w:t>
      </w:r>
      <w:proofErr w:type="spellEnd"/>
      <w:r w:rsidRPr="00193A19">
        <w:rPr>
          <w:rFonts w:ascii="Arial" w:hAnsi="Arial" w:cs="Arial"/>
          <w:sz w:val="24"/>
          <w:szCs w:val="24"/>
        </w:rPr>
        <w:t xml:space="preserve"> notion of ‘felt sense’  (</w:t>
      </w:r>
      <w:proofErr w:type="spellStart"/>
      <w:r w:rsidRPr="00193A19">
        <w:rPr>
          <w:rFonts w:ascii="Arial" w:hAnsi="Arial" w:cs="Arial"/>
          <w:sz w:val="24"/>
          <w:szCs w:val="24"/>
        </w:rPr>
        <w:t>Laevers</w:t>
      </w:r>
      <w:proofErr w:type="spellEnd"/>
      <w:r w:rsidRPr="00193A19">
        <w:rPr>
          <w:rFonts w:ascii="Arial" w:hAnsi="Arial" w:cs="Arial"/>
          <w:sz w:val="24"/>
          <w:szCs w:val="24"/>
        </w:rPr>
        <w:t>, 2005) which makes the Leuven Scale an increasing popular tool for evaluating quality in settings (</w:t>
      </w:r>
      <w:proofErr w:type="spellStart"/>
      <w:r w:rsidRPr="00193A19">
        <w:rPr>
          <w:rFonts w:ascii="Arial" w:hAnsi="Arial" w:cs="Arial"/>
          <w:sz w:val="24"/>
          <w:szCs w:val="24"/>
        </w:rPr>
        <w:t>MacRae</w:t>
      </w:r>
      <w:proofErr w:type="spellEnd"/>
      <w:r w:rsidRPr="00193A19">
        <w:rPr>
          <w:rFonts w:ascii="Arial" w:hAnsi="Arial" w:cs="Arial"/>
          <w:sz w:val="24"/>
          <w:szCs w:val="24"/>
        </w:rPr>
        <w:t xml:space="preserve"> and Jones 2023).</w:t>
      </w:r>
    </w:p>
    <w:p w:rsidR="00193A19" w:rsidRPr="00193A19" w:rsidRDefault="00193A19" w:rsidP="00193A19">
      <w:pPr>
        <w:rPr>
          <w:rFonts w:ascii="Arial" w:hAnsi="Arial" w:cs="Arial"/>
          <w:sz w:val="24"/>
          <w:szCs w:val="24"/>
        </w:rPr>
      </w:pPr>
      <w:r w:rsidRPr="00193A19">
        <w:rPr>
          <w:rFonts w:ascii="Arial" w:hAnsi="Arial" w:cs="Arial"/>
          <w:sz w:val="24"/>
          <w:szCs w:val="24"/>
        </w:rPr>
        <w:t>The Leuven Scale's has two main advantages over other quality assurance methods (</w:t>
      </w:r>
      <w:proofErr w:type="spellStart"/>
      <w:r w:rsidRPr="00193A19">
        <w:rPr>
          <w:rFonts w:ascii="Arial" w:hAnsi="Arial" w:cs="Arial"/>
          <w:sz w:val="24"/>
          <w:szCs w:val="24"/>
        </w:rPr>
        <w:t>MacRae</w:t>
      </w:r>
      <w:proofErr w:type="spellEnd"/>
      <w:r w:rsidRPr="00193A19">
        <w:rPr>
          <w:rFonts w:ascii="Arial" w:hAnsi="Arial" w:cs="Arial"/>
          <w:sz w:val="24"/>
          <w:szCs w:val="24"/>
        </w:rPr>
        <w:t xml:space="preserve">, 2020). Firstly, it puts the child as the core of their own learning which forces staff to be adaptive and reactive to a child’s needs by observing the individual.  It offers a consistent, useful method for measuring engagement using a simple scoring system that can be used by all practitioners at any time. Secondly, is the fact that it is an observational tool which measures a child’s mental, social and emotional </w:t>
      </w:r>
      <w:proofErr w:type="gramStart"/>
      <w:r w:rsidRPr="00193A19">
        <w:rPr>
          <w:rFonts w:ascii="Arial" w:hAnsi="Arial" w:cs="Arial"/>
          <w:sz w:val="24"/>
          <w:szCs w:val="24"/>
        </w:rPr>
        <w:t>wellbeing.</w:t>
      </w:r>
      <w:proofErr w:type="gramEnd"/>
      <w:r w:rsidRPr="00193A19">
        <w:rPr>
          <w:rFonts w:ascii="Arial" w:hAnsi="Arial" w:cs="Arial"/>
          <w:sz w:val="24"/>
          <w:szCs w:val="24"/>
        </w:rPr>
        <w:t xml:space="preserve"> A review carried out by </w:t>
      </w:r>
      <w:proofErr w:type="spellStart"/>
      <w:r w:rsidRPr="00193A19">
        <w:rPr>
          <w:rFonts w:ascii="Arial" w:hAnsi="Arial" w:cs="Arial"/>
          <w:sz w:val="24"/>
          <w:szCs w:val="24"/>
        </w:rPr>
        <w:t>Ritoša</w:t>
      </w:r>
      <w:proofErr w:type="spellEnd"/>
      <w:r w:rsidRPr="00193A19">
        <w:rPr>
          <w:rFonts w:ascii="Arial" w:hAnsi="Arial" w:cs="Arial"/>
          <w:sz w:val="24"/>
          <w:szCs w:val="24"/>
        </w:rPr>
        <w:t xml:space="preserve"> et al. (2023) states that a child’s engagement with an activity highlights the quality of provision and learning taking place and that when a child is highly engaged then their well-being and potential to learn is increased. However, is the Leuven 5 point scale on which engagement is measured open to interpretation from practitioners so therefore is it a valid measure of quality? McInnes et al.(2011) states that previous studies have found that there are differences in understanding what is defined as ‘play and engagement’ between practitioners due to their inexperience or being unqualified which could undermine the results. This is supported by </w:t>
      </w:r>
      <w:proofErr w:type="spellStart"/>
      <w:r w:rsidRPr="00193A19">
        <w:rPr>
          <w:rFonts w:ascii="Arial" w:hAnsi="Arial" w:cs="Arial"/>
          <w:sz w:val="24"/>
          <w:szCs w:val="24"/>
        </w:rPr>
        <w:t>Ritoša</w:t>
      </w:r>
      <w:proofErr w:type="spellEnd"/>
      <w:r w:rsidRPr="00193A19">
        <w:rPr>
          <w:rFonts w:ascii="Arial" w:hAnsi="Arial" w:cs="Arial"/>
          <w:sz w:val="24"/>
          <w:szCs w:val="24"/>
        </w:rPr>
        <w:t xml:space="preserve"> et al. (2023) whose review show that recent </w:t>
      </w:r>
      <w:r w:rsidRPr="00193A19">
        <w:rPr>
          <w:rFonts w:ascii="Arial" w:hAnsi="Arial" w:cs="Arial"/>
          <w:sz w:val="24"/>
          <w:szCs w:val="24"/>
        </w:rPr>
        <w:lastRenderedPageBreak/>
        <w:t>quantitative research lack a specific definition of child engagement in early years settings with practitioners showing variations in their understanding of child engagement.  A large amount of research also recognises the impact of a higher qualified workforce within the sector for increasing quality of early childhood education and children’s outcomes (</w:t>
      </w:r>
      <w:proofErr w:type="spellStart"/>
      <w:r w:rsidRPr="00193A19">
        <w:rPr>
          <w:rFonts w:ascii="Arial" w:hAnsi="Arial" w:cs="Arial"/>
          <w:sz w:val="24"/>
          <w:szCs w:val="24"/>
        </w:rPr>
        <w:t>Cottle</w:t>
      </w:r>
      <w:proofErr w:type="spellEnd"/>
      <w:r w:rsidRPr="00193A19">
        <w:rPr>
          <w:rFonts w:ascii="Arial" w:hAnsi="Arial" w:cs="Arial"/>
          <w:sz w:val="24"/>
          <w:szCs w:val="24"/>
        </w:rPr>
        <w:t>, 2012.Phillips et al .2016, Waters, 2016 Archer and Merrick 2020). One criticism of the Leuven scale is that it fails to adequately account for children with special educational needs or impairments as the prescriptive nature of the observations can be somewhat restricting and inaccurate. The behaviours described in the scale are not always present or visible in children with special educational needs, particularly nonverbal children (Learning Journals, no date). However, McCormack (2024) disagrees and says you are able to modify the scale to fit each child's unique requirements and communication preferences. If a practitioner is fully aware of the facial expressions and subtle sounds or body movements of a child with disabilities or impairment then they would be able to distinguish differences in movement and sounds which could indicate a higher or lower level of well-being. If this method of adapting the scale is being used then could it be delivered with children from different cultures as according to Bowlby’s theory of attachment children behaviour differently across different cultures? (O'Shaughnessy et al. 2023). Allingham (no date) argues that it is not practical to adjust the Leuven scale for each individual and believes that the scale is being used incorrectly in settings as a one off tick box observation and assessment tool which she believes does not give a deeper understanding of the child. Allingham believes that if it is used properly then it can be a powerful tool for observation and assessment. Allingham advocates that Practitioners use the scale regularly and use the results as part of your reflection practice which will increase a deeper knowledge of the child.</w:t>
      </w:r>
    </w:p>
    <w:p w:rsidR="00193A19" w:rsidRPr="00193A19" w:rsidRDefault="00193A19" w:rsidP="00193A19">
      <w:pPr>
        <w:rPr>
          <w:rFonts w:ascii="Arial" w:hAnsi="Arial" w:cs="Arial"/>
          <w:sz w:val="24"/>
          <w:szCs w:val="24"/>
        </w:rPr>
      </w:pPr>
      <w:r w:rsidRPr="00193A19">
        <w:rPr>
          <w:rFonts w:ascii="Arial" w:hAnsi="Arial" w:cs="Arial"/>
          <w:sz w:val="24"/>
          <w:szCs w:val="24"/>
        </w:rPr>
        <w:t>Another form of assessing quality education in EYEC is ‘The Environment Rating Scales (ERS)’ which are used in many countries around the world for assessing space, resources and curriculum provision. In the UK, the Early Childhood Environment Rating Scales (ECERS) and the Infant/Toddler Environment Rating Scales (ITERS) have been used in many research studies and government-funded evaluations, including the EPPE research and REPEY (Sylva et al, 2010).In contrast to the Leuven scale the ECERS-R and ITERS-R focuses on the overall quality of the physical learning and social environment in which the learning is to take place. Its success has been observed as a reliable predictor of a child’s cognitive and social development which in turn increases the potential for positive child outcomes (Sylva, 2006). However, it is not without criticism with some practitioners saying that the complicated scoring of the 7 point scale covering up to 43 areas (dependant on which ECER is used) can be misused by assessors with limited training or experience and therefore portray an incorrect view of a setting (</w:t>
      </w:r>
      <w:proofErr w:type="spellStart"/>
      <w:r w:rsidRPr="00193A19">
        <w:rPr>
          <w:rFonts w:ascii="Arial" w:hAnsi="Arial" w:cs="Arial"/>
          <w:sz w:val="24"/>
          <w:szCs w:val="24"/>
        </w:rPr>
        <w:t>Brunsek</w:t>
      </w:r>
      <w:proofErr w:type="spellEnd"/>
      <w:r w:rsidRPr="00193A19">
        <w:rPr>
          <w:rFonts w:ascii="Arial" w:hAnsi="Arial" w:cs="Arial"/>
          <w:sz w:val="24"/>
          <w:szCs w:val="24"/>
        </w:rPr>
        <w:t xml:space="preserve"> et al</w:t>
      </w:r>
      <w:proofErr w:type="gramStart"/>
      <w:r w:rsidRPr="00193A19">
        <w:rPr>
          <w:rFonts w:ascii="Arial" w:hAnsi="Arial" w:cs="Arial"/>
          <w:sz w:val="24"/>
          <w:szCs w:val="24"/>
        </w:rPr>
        <w:t>.(</w:t>
      </w:r>
      <w:proofErr w:type="gramEnd"/>
      <w:r w:rsidRPr="00193A19">
        <w:rPr>
          <w:rFonts w:ascii="Arial" w:hAnsi="Arial" w:cs="Arial"/>
          <w:sz w:val="24"/>
          <w:szCs w:val="24"/>
        </w:rPr>
        <w:t xml:space="preserve">2017).This aligns with the critique previously mentioned of practitioners that use the Leuven scale. A systematic review by </w:t>
      </w:r>
      <w:proofErr w:type="spellStart"/>
      <w:r w:rsidRPr="00193A19">
        <w:rPr>
          <w:rFonts w:ascii="Arial" w:hAnsi="Arial" w:cs="Arial"/>
          <w:sz w:val="24"/>
          <w:szCs w:val="24"/>
        </w:rPr>
        <w:t>Brunsek</w:t>
      </w:r>
      <w:proofErr w:type="spellEnd"/>
      <w:r w:rsidRPr="00193A19">
        <w:rPr>
          <w:rFonts w:ascii="Arial" w:hAnsi="Arial" w:cs="Arial"/>
          <w:sz w:val="24"/>
          <w:szCs w:val="24"/>
        </w:rPr>
        <w:t xml:space="preserve"> et al. (2017) suggests that investment in the measurement of other quality indicators such as staff training and </w:t>
      </w:r>
      <w:r w:rsidRPr="00193A19">
        <w:rPr>
          <w:rFonts w:ascii="Arial" w:hAnsi="Arial" w:cs="Arial"/>
          <w:sz w:val="24"/>
          <w:szCs w:val="24"/>
        </w:rPr>
        <w:lastRenderedPageBreak/>
        <w:t>development should be considered when measuring quality in an educational setting. Additionally, the ECERS scales are also not designed to assess further aspects of provision that Estyn and Ofsted consider, such as child interactions, leadership, management and self-evaluation (Mathers et al. 2012). Since then a new scale has been developed called the ‘Sustained Shared Thinking and Emotional Well-Being’ (SSTEW) and provides a more in depth look at well-being, self-regulation and focused thinking through interactions with others. The 15 elements on this scale are clearly defined 'indicators' that reflect an increase in quality in practice (Siraj et al. 2023). A recent longitudinal study has been published (</w:t>
      </w:r>
      <w:proofErr w:type="spellStart"/>
      <w:r w:rsidRPr="00193A19">
        <w:rPr>
          <w:rFonts w:ascii="Arial" w:hAnsi="Arial" w:cs="Arial"/>
          <w:sz w:val="24"/>
          <w:szCs w:val="24"/>
        </w:rPr>
        <w:t>Melhuish</w:t>
      </w:r>
      <w:proofErr w:type="spellEnd"/>
      <w:r w:rsidRPr="00193A19">
        <w:rPr>
          <w:rFonts w:ascii="Arial" w:hAnsi="Arial" w:cs="Arial"/>
          <w:sz w:val="24"/>
          <w:szCs w:val="24"/>
        </w:rPr>
        <w:t xml:space="preserve"> and Gardiner, 2021) which finds that all of the above tools for measuring quality (ECERS, ITERS and SSTEW) may not provide the best indications of a child’s development outcomes. The study recommended developing an alternative scale which uses fewer scale indicators which would see a reduction in assessment time and reduce costs. </w:t>
      </w:r>
    </w:p>
    <w:p w:rsidR="00193A19" w:rsidRPr="00193A19" w:rsidRDefault="00193A19" w:rsidP="00193A19">
      <w:pPr>
        <w:rPr>
          <w:rFonts w:ascii="Arial" w:hAnsi="Arial" w:cs="Arial"/>
          <w:sz w:val="24"/>
          <w:szCs w:val="24"/>
        </w:rPr>
      </w:pPr>
      <w:r w:rsidRPr="00193A19">
        <w:rPr>
          <w:rFonts w:ascii="Arial" w:hAnsi="Arial" w:cs="Arial"/>
          <w:sz w:val="24"/>
          <w:szCs w:val="24"/>
        </w:rPr>
        <w:t>This paper has discussed the difficulties in defining ‘Quality Education’ and why it is at the heart of policy makers and educators worldwide. It has critically reflected on different assessment tools to measure quality above statutory regulations. It has shown that many elements make up a high quality childcare setting and that well-being has a positive effect on child outcomes. However, what stands out is that despite having all the different quality assurance tools and quality environmental resources the biggest impact on a child’s development is the child –  adult interaction which gives a huge responsibility to practitioners to be knowledgeable, qualified and have a passion for learning.</w:t>
      </w:r>
    </w:p>
    <w:p w:rsidR="00467D0B" w:rsidRDefault="00467D0B"/>
    <w:sectPr w:rsidR="00467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577B"/>
    <w:rsid w:val="00193A19"/>
    <w:rsid w:val="00467D0B"/>
    <w:rsid w:val="00A15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Pages>
  <Words>1772</Words>
  <Characters>10107</Characters>
  <Application>Microsoft Office Word</Application>
  <DocSecurity>0</DocSecurity>
  <Lines>84</Lines>
  <Paragraphs>23</Paragraphs>
  <ScaleCrop>false</ScaleCrop>
  <Company/>
  <LinksUpToDate>false</LinksUpToDate>
  <CharactersWithSpaces>11856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2</cp:revision>
  <dcterms:created xsi:type="dcterms:W3CDTF">2024-04-03T14:19:00Z</dcterms:created>
  <dcterms:modified xsi:type="dcterms:W3CDTF">2024-04-03T14:29:00Z</dcterms:modified>
</cp:coreProperties>
</file>