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276"/>
        <w:ind w:right="0" w:left="0" w:firstLine="0"/>
        <w:jc w:val="both"/>
        <w:rPr>
          <w:rFonts w:ascii="Calibri" w:hAnsi="Calibri" w:cs="Calibri" w:eastAsia="Calibri"/>
          <w:color w:val="auto"/>
          <w:spacing w:val="0"/>
          <w:position w:val="0"/>
          <w:sz w:val="28"/>
          <w:shd w:fill="auto" w:val="clear"/>
        </w:rPr>
      </w:pPr>
    </w:p>
    <w:p>
      <w:pPr>
        <w:spacing w:before="0" w:after="200" w:line="276"/>
        <w:ind w:right="0" w:left="0" w:firstLine="0"/>
        <w:jc w:val="both"/>
        <w:rPr>
          <w:rFonts w:ascii="Calibri" w:hAnsi="Calibri" w:cs="Calibri" w:eastAsia="Calibri"/>
          <w:color w:val="auto"/>
          <w:spacing w:val="0"/>
          <w:position w:val="0"/>
          <w:sz w:val="28"/>
          <w:shd w:fill="auto" w:val="clear"/>
        </w:rPr>
      </w:pPr>
    </w:p>
    <w:p>
      <w:pPr>
        <w:spacing w:before="0" w:after="200" w:line="276"/>
        <w:ind w:right="0" w:left="0" w:firstLine="0"/>
        <w:jc w:val="both"/>
        <w:rPr>
          <w:rFonts w:ascii="Calibri" w:hAnsi="Calibri" w:cs="Calibri" w:eastAsia="Calibri"/>
          <w:color w:val="auto"/>
          <w:spacing w:val="0"/>
          <w:position w:val="0"/>
          <w:sz w:val="28"/>
          <w:shd w:fill="auto" w:val="clear"/>
        </w:rPr>
      </w:pPr>
    </w:p>
    <w:p>
      <w:pPr>
        <w:spacing w:before="0" w:after="200" w:line="276"/>
        <w:ind w:right="0" w:left="0" w:firstLine="0"/>
        <w:jc w:val="both"/>
        <w:rPr>
          <w:rFonts w:ascii="Calibri" w:hAnsi="Calibri" w:cs="Calibri" w:eastAsia="Calibri"/>
          <w:color w:val="auto"/>
          <w:spacing w:val="0"/>
          <w:position w:val="0"/>
          <w:sz w:val="28"/>
          <w:shd w:fill="auto" w:val="clear"/>
        </w:rPr>
      </w:pPr>
    </w:p>
    <w:p>
      <w:pPr>
        <w:spacing w:before="0" w:after="200" w:line="276"/>
        <w:ind w:right="0" w:left="0" w:firstLine="0"/>
        <w:jc w:val="both"/>
        <w:rPr>
          <w:rFonts w:ascii="Calibri" w:hAnsi="Calibri" w:cs="Calibri" w:eastAsia="Calibri"/>
          <w:color w:val="auto"/>
          <w:spacing w:val="0"/>
          <w:position w:val="0"/>
          <w:sz w:val="28"/>
          <w:shd w:fill="auto" w:val="clear"/>
        </w:rPr>
      </w:pPr>
    </w:p>
    <w:p>
      <w:pPr>
        <w:spacing w:before="0" w:after="200" w:line="276"/>
        <w:ind w:right="0" w:left="0" w:firstLine="0"/>
        <w:jc w:val="both"/>
        <w:rPr>
          <w:rFonts w:ascii="Calibri" w:hAnsi="Calibri" w:cs="Calibri" w:eastAsia="Calibri"/>
          <w:color w:val="auto"/>
          <w:spacing w:val="0"/>
          <w:position w:val="0"/>
          <w:sz w:val="28"/>
          <w:shd w:fill="auto" w:val="clear"/>
        </w:rPr>
      </w:pPr>
    </w:p>
    <w:p>
      <w:pPr>
        <w:spacing w:before="0" w:after="200" w:line="276"/>
        <w:ind w:right="0" w:left="0" w:firstLine="0"/>
        <w:jc w:val="both"/>
        <w:rPr>
          <w:rFonts w:ascii="Calibri" w:hAnsi="Calibri" w:cs="Calibri" w:eastAsia="Calibri"/>
          <w:color w:val="auto"/>
          <w:spacing w:val="0"/>
          <w:position w:val="0"/>
          <w:sz w:val="28"/>
          <w:shd w:fill="auto" w:val="clear"/>
        </w:rPr>
      </w:pPr>
    </w:p>
    <w:p>
      <w:pPr>
        <w:spacing w:before="0" w:after="200" w:line="276"/>
        <w:ind w:right="0" w:left="0" w:firstLine="0"/>
        <w:jc w:val="both"/>
        <w:rPr>
          <w:rFonts w:ascii="Calibri" w:hAnsi="Calibri" w:cs="Calibri" w:eastAsia="Calibri"/>
          <w:color w:val="auto"/>
          <w:spacing w:val="0"/>
          <w:position w:val="0"/>
          <w:sz w:val="28"/>
          <w:shd w:fill="auto" w:val="clear"/>
        </w:rPr>
      </w:pPr>
    </w:p>
    <w:p>
      <w:pPr>
        <w:spacing w:before="0" w:after="200" w:line="276"/>
        <w:ind w:right="0" w:left="0" w:firstLine="0"/>
        <w:jc w:val="both"/>
        <w:rPr>
          <w:rFonts w:ascii="Calibri" w:hAnsi="Calibri" w:cs="Calibri" w:eastAsia="Calibri"/>
          <w:color w:val="auto"/>
          <w:spacing w:val="0"/>
          <w:position w:val="0"/>
          <w:sz w:val="28"/>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32"/>
          <w:shd w:fill="auto" w:val="clear"/>
        </w:rPr>
        <w:t xml:space="preserve">King of Hungary During Crusades</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both"/>
        <w:rPr>
          <w:rFonts w:ascii="Calibri" w:hAnsi="Calibri" w:cs="Calibri" w:eastAsia="Calibri"/>
          <w:color w:val="auto"/>
          <w:spacing w:val="0"/>
          <w:position w:val="0"/>
          <w:sz w:val="28"/>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i/>
          <w:color w:val="auto"/>
          <w:spacing w:val="0"/>
          <w:position w:val="0"/>
          <w:sz w:val="24"/>
          <w:shd w:fill="auto" w:val="clear"/>
        </w:rPr>
      </w:pPr>
    </w:p>
    <w:p>
      <w:pPr>
        <w:keepNext w:val="true"/>
        <w:keepLines w:val="true"/>
        <w:spacing w:before="240" w:after="0" w:line="48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Introduction</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Crusades represent a significant series of military events in Middle Age European history, in which most of the Christian society participated in a long war to recover the Holy Land from Muslim control. The crusading movement was not only harnessed and reinforced by the medieval church (the Popes and the leadership of the wealthy kingdoms of France and England) but also by many other Christian regions that helped financially. Among these, in the Medieval Kingdom of Hungary, rulers filled with zeal led and more frequently accompanied the main crusades for nearly 200 years (Bak, et al., 2023). The appearance of Hungarian kings proves the power of their religious conviction as Christian sovereigns and the hidden but significant role that Hungary fulfilled within the immense sphere of the Crusades.</w:t>
      </w:r>
    </w:p>
    <w:p>
      <w:pPr>
        <w:keepNext w:val="true"/>
        <w:keepLines w:val="true"/>
        <w:spacing w:before="240" w:after="0" w:line="48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Commentary </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influential rulers of a powerful medieval Christian kingdom, the kings of Hungary played a notable role in several of the significant Crusades to the Holy Land. One of the first Hungarian monarchs to take the cross was Géza II, who reigned from 1141 to 1162. Géza II prepared to join the Second Crusade in 1147, launched by Pope Eugene III and led by King Louis VII of France and King Conrad III of Germany (Terplán, 2022). However, Géza II fell seriously ill and could not personally lead his Hungarian forces, who ended up travelling separately and re-joining the main crusader army in Constantinople. The Hungarian contingent went on to take part in the disastrous crusade expedition, which failed to recapture Edessa and was ultimately defeated at the Battle of Dorylaeum in 1147. During the reign of Béla III (1172-1196), Hungary became heavily involved in crusading efforts. Béla III was the first Hungarian king to personally lead crusaders from his kingdom (Véber, 2024). </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1189, he answered the call by joining the forces of Holy Roman Emperor Frederick Barbarossa and King Richard I of England for the momentous Third Crusade, which aimed to recapture Jerusalem from Saladin and the Ayyubid dynasty. Béla III commanded an army of over 10,000 Hungarian knights and soldiers across the Bosporus and through Anatolia. However, after making good initial progress, the Hungarian troops were beset by</w:t>
      </w:r>
      <w:r>
        <w:rPr>
          <w:rFonts w:ascii="MS Gothic" w:hAnsi="MS Gothic" w:cs="MS Gothic" w:eastAsia="MS Gothic"/>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infectious diseases and diminishing supplies as they reached the Cilician territories (Károly, 2020). Béla was forced to turn back without ever reaching the Holy Land, leaving a reserve force of around 700 Hungarian soldiers to join the remaining Crusaders under Richard the Lionheart. Those who stayed on took part in victorious coastal sieges like the Siege of Acre in 1191, though the ultimate goal of retaking Jerusalem eluded the Third Crusade. King Andrew II (1205-1235), who took power about a decade after the Fourth Crusade's controversial sack of Constantinople in 1204, vowed to lead a new crusade to fulfil the penance imposed on him by Pope Innocent III (Uzelac, 2021). </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In 1217, he assembled the first sizable crusader force raised in Hungary, consisting of over 10,000 Hungarian knights, archers and footmen, supplemented by additional forces from Germany, Flanders and France. Under Andrew II's command, this Fifth Crusade expedition would become notorious for its failure and controversies. Intending to aid the crusader forces already fighting in the Holy Land, Andrew II's army launched an assault against the port of Damietta in Egypt, held by the Ayyubid dynasty (Ölbei, 2020). Despite early successes in capturing the fortress in 1219, a combination of fierce Muslim counter-attacks, lack of support, disease and chaotic disorder led to the abandoning of this foothold. Andrew II ignited outrage by negotiating a separate truce and leaving a small contingent of Hungarian soldiers behind in 1218 before the bulk of his army had to return home across hostile territories. This pullout from Damietta, viewed as desertion by his fellow crusaders, permanently stained Andrew II's reputation (Madgearu, 2021). </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late 13th century, the fervent crusading zeal of 20-year-old Ladislaus IV (1272-1290) led him to take the cross and journey to the Holy Land, though his path was ultimately obstructed before he could join the faltering Ninth Crusade. Ladislaus mustered a crusader force of thousands, including nobles and knights from Hungary and contingents from Bavaria, Austria, Carinthia and other neighbouring regions (Rakova, 2021). However, by the time Ladislaus' crusade army departed in 1287, intending to reinforce Western armies fighting in Acre and other remaining crusader territories, their path was blocked after making it only as far as the Dalmatian city of Zadar on the Adriatic coast. A massive Mongol invasion into Hungary from the east forced Ladislaus to turn his army's efforts towards defending the homeland from the devastating onslaught. The young king's crusading ambitions were doomed by military crises much closer to home despite his willingness (Veszprémy, L., 2022).</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contrast, the Hungarian kings, with Hungary’s wealthy ruling class firmly behind them, actively organised and participated in crusade forces from the kingdom. Greek Fire or Inferno's contributions were based on their resources, and they often sent significant numbers to the Holy Land. However, their total record reveals some success but significant failures and setbacks (Zupka, 2023). On the one hand, it is important to mention that Hungarian contingents and king-led troops also contributed to the crusader victories when they arrived, just as they did when they were a part of the famous siege of Acre and early accomplishments such as the conquest of temporary Damietta.  Hungary was a country located in a critical position where a threat and invasion might come, which means sometimes the rulers had to prioritise the country's safety before they would try for a holy war. This is an example of failure, as the attempt of the young Ladislaus before the crusade failed (Karras, 2023). </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Thereby, despite their powers being smaller than the giant ones of the English, French or Holy Roman Empire, these Hungarian monarchs for centuries had made possible the survival of the broader crusade movement through their soldiers’ and other resources’ constant devotion and personal leadership (Gauthier, 2023).</w:t>
      </w:r>
    </w:p>
    <w:p>
      <w:pPr>
        <w:keepNext w:val="true"/>
        <w:keepLines w:val="true"/>
        <w:spacing w:before="240" w:after="0" w:line="48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Conclusion </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Thus, it can be concluded that the rulers of the Kingdom of Hungary were eager Crusade supporters for centuries and, therefore, mustered and contributed armies and funds while, in many cases, taking the lead over the fighting forces. Despite some of these moderately substantial successes now and then, their contributions helped to continue the more significant crusading movement. We have seen these problems through the case of Hungarians: mission is not easy regarding supply, logistics, and cooperation even though they earn money to conduct their fight. Though the kings' enthusiasm to reconquer the land of the Holy Grail ended up in a failure, it is precisely one of the reasons that they deserved to be portrayed as prominent figures who have achieved some goals and, at the same time, acted as a starting point for some mistakes to be elucidated in later attempts during the historic Crusades; and thus, has become the part of the destiny of Christians in the Middle Ages.</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48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References </w:t>
      </w:r>
    </w:p>
    <w:p>
      <w:pPr>
        <w:spacing w:before="0" w:after="160" w:line="48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Bak, J.M., Nagy, B. and Klaniczay, G., 2023. Hungary and crusading in the fifteenth century. In </w:t>
      </w:r>
      <w:r>
        <w:rPr>
          <w:rFonts w:ascii="Times New Roman" w:hAnsi="Times New Roman" w:cs="Times New Roman" w:eastAsia="Times New Roman"/>
          <w:i/>
          <w:color w:val="auto"/>
          <w:spacing w:val="0"/>
          <w:position w:val="0"/>
          <w:sz w:val="24"/>
          <w:shd w:fill="auto" w:val="clear"/>
        </w:rPr>
        <w:t xml:space="preserve">Studying Medieval Rulers and Their Subjects</w:t>
      </w:r>
      <w:r>
        <w:rPr>
          <w:rFonts w:ascii="Times New Roman" w:hAnsi="Times New Roman" w:cs="Times New Roman" w:eastAsia="Times New Roman"/>
          <w:color w:val="auto"/>
          <w:spacing w:val="0"/>
          <w:position w:val="0"/>
          <w:sz w:val="24"/>
          <w:shd w:fill="auto" w:val="clear"/>
        </w:rPr>
        <w:t xml:space="preserve"> (pp. XIV-116). Routledge.</w:t>
      </w:r>
    </w:p>
    <w:p>
      <w:pPr>
        <w:spacing w:before="0" w:after="160" w:line="48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Gauthier, C., 2023. King Henry VII and the case of the missing treaty: Anglo-Hungarian crusading diplomacy reconsidered. </w:t>
      </w:r>
      <w:r>
        <w:rPr>
          <w:rFonts w:ascii="Times New Roman" w:hAnsi="Times New Roman" w:cs="Times New Roman" w:eastAsia="Times New Roman"/>
          <w:i/>
          <w:color w:val="auto"/>
          <w:spacing w:val="0"/>
          <w:position w:val="0"/>
          <w:sz w:val="24"/>
          <w:shd w:fill="auto" w:val="clear"/>
        </w:rPr>
        <w:t xml:space="preserve">Historical Research</w:t>
      </w:r>
      <w:r>
        <w:rPr>
          <w:rFonts w:ascii="Times New Roman" w:hAnsi="Times New Roman" w:cs="Times New Roman" w:eastAsia="Times New Roman"/>
          <w:color w:val="auto"/>
          <w:spacing w:val="0"/>
          <w:position w:val="0"/>
          <w:sz w:val="24"/>
          <w:shd w:fill="auto" w:val="clear"/>
        </w:rPr>
        <w:t xml:space="preserve">, p.htad030.</w:t>
      </w:r>
    </w:p>
    <w:p>
      <w:pPr>
        <w:spacing w:before="0" w:after="160" w:line="48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Károly, K., 2020. The Road to Nicopolis, Part 1.: The Route of the Crusade of 1396 through Hungary. </w:t>
      </w:r>
      <w:r>
        <w:rPr>
          <w:rFonts w:ascii="Times New Roman" w:hAnsi="Times New Roman" w:cs="Times New Roman" w:eastAsia="Times New Roman"/>
          <w:i/>
          <w:color w:val="auto"/>
          <w:spacing w:val="0"/>
          <w:position w:val="0"/>
          <w:sz w:val="24"/>
          <w:shd w:fill="auto" w:val="clear"/>
        </w:rPr>
        <w:t xml:space="preserve">Hadtudományi Szemle</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13</w:t>
      </w:r>
      <w:r>
        <w:rPr>
          <w:rFonts w:ascii="Times New Roman" w:hAnsi="Times New Roman" w:cs="Times New Roman" w:eastAsia="Times New Roman"/>
          <w:color w:val="auto"/>
          <w:spacing w:val="0"/>
          <w:position w:val="0"/>
          <w:sz w:val="24"/>
          <w:shd w:fill="auto" w:val="clear"/>
        </w:rPr>
        <w:t xml:space="preserve">(2), pp.129-141.</w:t>
      </w:r>
    </w:p>
    <w:p>
      <w:pPr>
        <w:spacing w:before="0" w:after="160" w:line="48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Karras, R.M., 2023. Crusading and Religious Conversion. </w:t>
      </w:r>
      <w:r>
        <w:rPr>
          <w:rFonts w:ascii="Times New Roman" w:hAnsi="Times New Roman" w:cs="Times New Roman" w:eastAsia="Times New Roman"/>
          <w:i/>
          <w:color w:val="auto"/>
          <w:spacing w:val="0"/>
          <w:position w:val="0"/>
          <w:sz w:val="24"/>
          <w:shd w:fill="auto" w:val="clear"/>
        </w:rPr>
        <w:t xml:space="preserve">RELIGION AND WORLD CIVILIZATIONS</w:t>
      </w:r>
      <w:r>
        <w:rPr>
          <w:rFonts w:ascii="Times New Roman" w:hAnsi="Times New Roman" w:cs="Times New Roman" w:eastAsia="Times New Roman"/>
          <w:color w:val="auto"/>
          <w:spacing w:val="0"/>
          <w:position w:val="0"/>
          <w:sz w:val="24"/>
          <w:shd w:fill="auto" w:val="clear"/>
        </w:rPr>
        <w:t xml:space="preserve">, p.10.</w:t>
      </w:r>
    </w:p>
    <w:p>
      <w:pPr>
        <w:spacing w:before="0" w:after="160" w:line="48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Madgearu, A., 2021. Christianity and War in Medieval East Central Europe and Scandinavia.</w:t>
      </w:r>
    </w:p>
    <w:p>
      <w:pPr>
        <w:spacing w:before="0" w:after="160" w:line="48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Ölbei, T., 2020. Crusading Companies in the 1365th Year of Our Lord. </w:t>
      </w:r>
      <w:r>
        <w:rPr>
          <w:rFonts w:ascii="Times New Roman" w:hAnsi="Times New Roman" w:cs="Times New Roman" w:eastAsia="Times New Roman"/>
          <w:i/>
          <w:color w:val="auto"/>
          <w:spacing w:val="0"/>
          <w:position w:val="0"/>
          <w:sz w:val="24"/>
          <w:shd w:fill="auto" w:val="clear"/>
        </w:rPr>
        <w:t xml:space="preserve">East Central Europe</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47</w:t>
      </w:r>
      <w:r>
        <w:rPr>
          <w:rFonts w:ascii="Times New Roman" w:hAnsi="Times New Roman" w:cs="Times New Roman" w:eastAsia="Times New Roman"/>
          <w:color w:val="auto"/>
          <w:spacing w:val="0"/>
          <w:position w:val="0"/>
          <w:sz w:val="24"/>
          <w:shd w:fill="auto" w:val="clear"/>
        </w:rPr>
        <w:t xml:space="preserve">(1), pp.67-88.</w:t>
      </w:r>
    </w:p>
    <w:p>
      <w:pPr>
        <w:spacing w:before="0" w:after="160" w:line="48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Rakova, S., 2021. The Last Crusaders: Felix Petan</w:t>
      </w:r>
      <w:r>
        <w:rPr>
          <w:rFonts w:ascii="Times New Roman" w:hAnsi="Times New Roman" w:cs="Times New Roman" w:eastAsia="Times New Roman"/>
          <w:color w:val="auto"/>
          <w:spacing w:val="0"/>
          <w:position w:val="0"/>
          <w:sz w:val="24"/>
          <w:shd w:fill="auto" w:val="clear"/>
        </w:rPr>
        <w:t xml:space="preserve">čić and the Unfulfilled Crusade of 1502.</w:t>
      </w:r>
    </w:p>
    <w:p>
      <w:pPr>
        <w:spacing w:before="0" w:after="160" w:line="48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Terplán, Z., 2022. Diplomatic interactions between the Crusades and the Árpád-era Kingdom of Hungary.</w:t>
      </w:r>
    </w:p>
    <w:p>
      <w:pPr>
        <w:spacing w:before="0" w:after="160" w:line="48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Uzelac, A., 2021. Crusades and Eastern Europe. In </w:t>
      </w:r>
      <w:r>
        <w:rPr>
          <w:rFonts w:ascii="Times New Roman" w:hAnsi="Times New Roman" w:cs="Times New Roman" w:eastAsia="Times New Roman"/>
          <w:i/>
          <w:color w:val="auto"/>
          <w:spacing w:val="0"/>
          <w:position w:val="0"/>
          <w:sz w:val="24"/>
          <w:shd w:fill="auto" w:val="clear"/>
        </w:rPr>
        <w:t xml:space="preserve">The Routledge Handbook of East Central and Eastern Europe in the Middle Ages, 500-1300</w:t>
      </w:r>
      <w:r>
        <w:rPr>
          <w:rFonts w:ascii="Times New Roman" w:hAnsi="Times New Roman" w:cs="Times New Roman" w:eastAsia="Times New Roman"/>
          <w:color w:val="auto"/>
          <w:spacing w:val="0"/>
          <w:position w:val="0"/>
          <w:sz w:val="24"/>
          <w:shd w:fill="auto" w:val="clear"/>
        </w:rPr>
        <w:t xml:space="preserve"> (pp. 374-392). Routledge.</w:t>
      </w:r>
    </w:p>
    <w:p>
      <w:pPr>
        <w:spacing w:before="0" w:after="160" w:line="48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Véber, Z., 2024. Hungarians and the Crusade from the fall of Constantinople to the Regensburg Reichstag.</w:t>
      </w:r>
    </w:p>
    <w:p>
      <w:pPr>
        <w:spacing w:before="0" w:after="160" w:line="48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Veszprémy, L., 2022. Military Auxiliaries in Twelfth-and Thirteenth-Century Hungary: Nomads vs. Crusader Knights. In </w:t>
      </w:r>
      <w:r>
        <w:rPr>
          <w:rFonts w:ascii="Times New Roman" w:hAnsi="Times New Roman" w:cs="Times New Roman" w:eastAsia="Times New Roman"/>
          <w:i/>
          <w:color w:val="auto"/>
          <w:spacing w:val="0"/>
          <w:position w:val="0"/>
          <w:sz w:val="24"/>
          <w:shd w:fill="auto" w:val="clear"/>
        </w:rPr>
        <w:t xml:space="preserve">Military Diasporas</w:t>
      </w:r>
      <w:r>
        <w:rPr>
          <w:rFonts w:ascii="Times New Roman" w:hAnsi="Times New Roman" w:cs="Times New Roman" w:eastAsia="Times New Roman"/>
          <w:color w:val="auto"/>
          <w:spacing w:val="0"/>
          <w:position w:val="0"/>
          <w:sz w:val="24"/>
          <w:shd w:fill="auto" w:val="clear"/>
        </w:rPr>
        <w:t xml:space="preserve"> (pp. 280-300). Routledge.</w:t>
      </w:r>
    </w:p>
    <w:p>
      <w:pPr>
        <w:spacing w:before="0" w:after="160" w:line="48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Zupka, D., 2023. Religious Warfare at the Eastern Borders of Latin Christendom: The Case of the Kingdom of Hungary in the Later Middle Ages. In </w:t>
      </w:r>
      <w:r>
        <w:rPr>
          <w:rFonts w:ascii="Times New Roman" w:hAnsi="Times New Roman" w:cs="Times New Roman" w:eastAsia="Times New Roman"/>
          <w:i/>
          <w:color w:val="auto"/>
          <w:spacing w:val="0"/>
          <w:position w:val="0"/>
          <w:sz w:val="24"/>
          <w:shd w:fill="auto" w:val="clear"/>
        </w:rPr>
        <w:t xml:space="preserve">Religious Rites of War beyond the Medieval West</w:t>
      </w:r>
      <w:r>
        <w:rPr>
          <w:rFonts w:ascii="Times New Roman" w:hAnsi="Times New Roman" w:cs="Times New Roman" w:eastAsia="Times New Roman"/>
          <w:color w:val="auto"/>
          <w:spacing w:val="0"/>
          <w:position w:val="0"/>
          <w:sz w:val="24"/>
          <w:shd w:fill="auto" w:val="clear"/>
        </w:rPr>
        <w:t xml:space="preserve"> (pp. 209-243). Brill.</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