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81C7D" w14:textId="0595A9DB" w:rsidR="00345442" w:rsidRDefault="001C1B0E" w:rsidP="001C1B0E">
      <w:pPr>
        <w:jc w:val="center"/>
        <w:rPr>
          <w:sz w:val="24"/>
          <w:szCs w:val="24"/>
          <w:u w:val="single"/>
        </w:rPr>
      </w:pPr>
      <w:r>
        <w:rPr>
          <w:sz w:val="24"/>
          <w:szCs w:val="24"/>
          <w:u w:val="single"/>
        </w:rPr>
        <w:t>Children, young people, and families</w:t>
      </w:r>
    </w:p>
    <w:p w14:paraId="43F67821" w14:textId="0394A8A7" w:rsidR="001C1B0E" w:rsidRDefault="001C1B0E" w:rsidP="001C1B0E">
      <w:pPr>
        <w:jc w:val="center"/>
        <w:rPr>
          <w:sz w:val="24"/>
          <w:szCs w:val="24"/>
          <w:u w:val="single"/>
        </w:rPr>
      </w:pPr>
      <w:r>
        <w:rPr>
          <w:sz w:val="24"/>
          <w:szCs w:val="24"/>
          <w:u w:val="single"/>
        </w:rPr>
        <w:t>Assignment 2</w:t>
      </w:r>
    </w:p>
    <w:p w14:paraId="7916C7FC" w14:textId="7A030D06" w:rsidR="001C1B0E" w:rsidRDefault="001C1B0E" w:rsidP="001C1B0E">
      <w:pPr>
        <w:jc w:val="center"/>
        <w:rPr>
          <w:sz w:val="24"/>
          <w:szCs w:val="24"/>
          <w:u w:val="single"/>
        </w:rPr>
      </w:pPr>
    </w:p>
    <w:p w14:paraId="62179065" w14:textId="68DA1B8E" w:rsidR="001C1B0E" w:rsidRDefault="001C1B0E" w:rsidP="001C1B0E">
      <w:pPr>
        <w:rPr>
          <w:sz w:val="24"/>
          <w:szCs w:val="24"/>
        </w:rPr>
      </w:pPr>
      <w:r>
        <w:rPr>
          <w:sz w:val="24"/>
          <w:szCs w:val="24"/>
        </w:rPr>
        <w:t>Rebecca Davies</w:t>
      </w:r>
    </w:p>
    <w:p w14:paraId="126002B6" w14:textId="724223BD" w:rsidR="001C1B0E" w:rsidRDefault="001C1B0E" w:rsidP="001C1B0E">
      <w:pPr>
        <w:rPr>
          <w:sz w:val="24"/>
          <w:szCs w:val="24"/>
        </w:rPr>
      </w:pPr>
      <w:r>
        <w:rPr>
          <w:sz w:val="24"/>
          <w:szCs w:val="24"/>
        </w:rPr>
        <w:t>Student number 2103819</w:t>
      </w:r>
    </w:p>
    <w:p w14:paraId="6E621014" w14:textId="430FCA5F" w:rsidR="001C1B0E" w:rsidRDefault="001C1B0E" w:rsidP="001C1B0E">
      <w:pPr>
        <w:rPr>
          <w:sz w:val="24"/>
          <w:szCs w:val="24"/>
        </w:rPr>
      </w:pPr>
    </w:p>
    <w:p w14:paraId="4FD38922" w14:textId="0140C967" w:rsidR="001C1B0E" w:rsidRDefault="001C1B0E" w:rsidP="001C1B0E">
      <w:pPr>
        <w:rPr>
          <w:sz w:val="24"/>
          <w:szCs w:val="24"/>
        </w:rPr>
      </w:pPr>
    </w:p>
    <w:p w14:paraId="2D7B250C" w14:textId="181A3484" w:rsidR="001C1B0E" w:rsidRDefault="001C1B0E" w:rsidP="001C1B0E">
      <w:pPr>
        <w:rPr>
          <w:sz w:val="24"/>
          <w:szCs w:val="24"/>
        </w:rPr>
      </w:pPr>
      <w:r>
        <w:rPr>
          <w:sz w:val="24"/>
          <w:szCs w:val="24"/>
        </w:rPr>
        <w:t>This essay will explore and investigate children, their lives, and families from the late Victorian era to</w:t>
      </w:r>
      <w:r w:rsidR="002A7804">
        <w:rPr>
          <w:sz w:val="24"/>
          <w:szCs w:val="24"/>
        </w:rPr>
        <w:t xml:space="preserve"> the</w:t>
      </w:r>
      <w:r>
        <w:rPr>
          <w:sz w:val="24"/>
          <w:szCs w:val="24"/>
        </w:rPr>
        <w:t xml:space="preserve"> present day</w:t>
      </w:r>
      <w:r w:rsidR="005938A1">
        <w:rPr>
          <w:sz w:val="24"/>
          <w:szCs w:val="24"/>
        </w:rPr>
        <w:t>, in the United Kingdom</w:t>
      </w:r>
      <w:r w:rsidR="002A7804">
        <w:rPr>
          <w:sz w:val="24"/>
          <w:szCs w:val="24"/>
        </w:rPr>
        <w:t xml:space="preserve"> (</w:t>
      </w:r>
      <w:r w:rsidR="00917C09">
        <w:rPr>
          <w:sz w:val="24"/>
          <w:szCs w:val="24"/>
        </w:rPr>
        <w:t>UK)</w:t>
      </w:r>
      <w:r>
        <w:rPr>
          <w:sz w:val="24"/>
          <w:szCs w:val="24"/>
        </w:rPr>
        <w:t>. It aims to outline social construct</w:t>
      </w:r>
      <w:r w:rsidR="00917C09">
        <w:rPr>
          <w:sz w:val="24"/>
          <w:szCs w:val="24"/>
        </w:rPr>
        <w:t>ion</w:t>
      </w:r>
      <w:r w:rsidR="000973DB">
        <w:rPr>
          <w:sz w:val="24"/>
          <w:szCs w:val="24"/>
        </w:rPr>
        <w:t xml:space="preserve">, </w:t>
      </w:r>
      <w:r w:rsidR="009A5760">
        <w:rPr>
          <w:sz w:val="24"/>
          <w:szCs w:val="24"/>
        </w:rPr>
        <w:t>societies views on children</w:t>
      </w:r>
      <w:r>
        <w:rPr>
          <w:sz w:val="24"/>
          <w:szCs w:val="24"/>
        </w:rPr>
        <w:t xml:space="preserve"> and </w:t>
      </w:r>
      <w:r w:rsidR="00836968">
        <w:rPr>
          <w:sz w:val="24"/>
          <w:szCs w:val="24"/>
        </w:rPr>
        <w:t xml:space="preserve">particularly on </w:t>
      </w:r>
      <w:r>
        <w:rPr>
          <w:sz w:val="24"/>
          <w:szCs w:val="24"/>
        </w:rPr>
        <w:t>how children’s health and disabilities have changed from social aspects</w:t>
      </w:r>
      <w:r w:rsidR="00917C09">
        <w:rPr>
          <w:sz w:val="24"/>
          <w:szCs w:val="24"/>
        </w:rPr>
        <w:t>,</w:t>
      </w:r>
      <w:r>
        <w:rPr>
          <w:sz w:val="24"/>
          <w:szCs w:val="24"/>
        </w:rPr>
        <w:t xml:space="preserve"> to laws and legislations put into place to protect the rights of the child and how society now views children in </w:t>
      </w:r>
      <w:r w:rsidR="00917C09">
        <w:rPr>
          <w:sz w:val="24"/>
          <w:szCs w:val="24"/>
        </w:rPr>
        <w:t xml:space="preserve">the </w:t>
      </w:r>
      <w:r>
        <w:rPr>
          <w:sz w:val="24"/>
          <w:szCs w:val="24"/>
        </w:rPr>
        <w:t xml:space="preserve">present. </w:t>
      </w:r>
      <w:r w:rsidR="00836968">
        <w:rPr>
          <w:sz w:val="24"/>
          <w:szCs w:val="24"/>
        </w:rPr>
        <w:t xml:space="preserve">It will </w:t>
      </w:r>
      <w:r w:rsidR="002A7804">
        <w:rPr>
          <w:sz w:val="24"/>
          <w:szCs w:val="24"/>
        </w:rPr>
        <w:t xml:space="preserve">briefly overview childrens education and youth justice. </w:t>
      </w:r>
      <w:r>
        <w:rPr>
          <w:sz w:val="24"/>
          <w:szCs w:val="24"/>
        </w:rPr>
        <w:t xml:space="preserve">The historical time frame the research and information explored in this essay is from the late 1800’s to early 1900’s and compared to </w:t>
      </w:r>
      <w:r w:rsidR="009A5760">
        <w:rPr>
          <w:sz w:val="24"/>
          <w:szCs w:val="24"/>
        </w:rPr>
        <w:t>recent research and publications</w:t>
      </w:r>
      <w:r>
        <w:rPr>
          <w:sz w:val="24"/>
          <w:szCs w:val="24"/>
        </w:rPr>
        <w:t xml:space="preserve">. </w:t>
      </w:r>
    </w:p>
    <w:p w14:paraId="365338CD" w14:textId="48FFA114" w:rsidR="006A19ED" w:rsidRDefault="001C1B0E" w:rsidP="001C1B0E">
      <w:pPr>
        <w:rPr>
          <w:sz w:val="24"/>
          <w:szCs w:val="24"/>
        </w:rPr>
      </w:pPr>
      <w:r>
        <w:rPr>
          <w:sz w:val="24"/>
          <w:szCs w:val="24"/>
        </w:rPr>
        <w:t>To start by defining a child, one view on a child</w:t>
      </w:r>
      <w:r w:rsidR="00BF061E">
        <w:rPr>
          <w:sz w:val="24"/>
          <w:szCs w:val="24"/>
        </w:rPr>
        <w:t xml:space="preserve"> from</w:t>
      </w:r>
      <w:r>
        <w:rPr>
          <w:sz w:val="24"/>
          <w:szCs w:val="24"/>
        </w:rPr>
        <w:t xml:space="preserve"> Sharma (2019) believes</w:t>
      </w:r>
      <w:r w:rsidR="00BF061E">
        <w:rPr>
          <w:sz w:val="24"/>
          <w:szCs w:val="24"/>
        </w:rPr>
        <w:t>,</w:t>
      </w:r>
      <w:r>
        <w:rPr>
          <w:sz w:val="24"/>
          <w:szCs w:val="24"/>
        </w:rPr>
        <w:t xml:space="preserve"> a child is defined</w:t>
      </w:r>
      <w:r w:rsidR="00BF061E">
        <w:rPr>
          <w:sz w:val="24"/>
          <w:szCs w:val="24"/>
        </w:rPr>
        <w:t xml:space="preserve"> solely</w:t>
      </w:r>
      <w:r>
        <w:rPr>
          <w:sz w:val="24"/>
          <w:szCs w:val="24"/>
        </w:rPr>
        <w:t xml:space="preserve"> scientifically </w:t>
      </w:r>
      <w:r w:rsidR="00BF061E">
        <w:rPr>
          <w:sz w:val="24"/>
          <w:szCs w:val="24"/>
        </w:rPr>
        <w:t>of a</w:t>
      </w:r>
      <w:r>
        <w:rPr>
          <w:sz w:val="24"/>
          <w:szCs w:val="24"/>
        </w:rPr>
        <w:t xml:space="preserve"> developing human</w:t>
      </w:r>
      <w:r w:rsidR="00BF061E">
        <w:rPr>
          <w:sz w:val="24"/>
          <w:szCs w:val="24"/>
        </w:rPr>
        <w:t xml:space="preserve"> </w:t>
      </w:r>
      <w:r>
        <w:rPr>
          <w:sz w:val="24"/>
          <w:szCs w:val="24"/>
        </w:rPr>
        <w:t xml:space="preserve">under the age of 18, the age between infancy and puberty, while the convention of the rights of the child (1989) </w:t>
      </w:r>
      <w:r w:rsidR="00CD1F4F">
        <w:rPr>
          <w:sz w:val="24"/>
          <w:szCs w:val="24"/>
        </w:rPr>
        <w:t xml:space="preserve">explain </w:t>
      </w:r>
      <w:r w:rsidR="00F42495">
        <w:rPr>
          <w:sz w:val="24"/>
          <w:szCs w:val="24"/>
        </w:rPr>
        <w:t xml:space="preserve">a child is defined as someone vulnerable who needs care and nurture, </w:t>
      </w:r>
      <w:r w:rsidR="00CD1F4F">
        <w:rPr>
          <w:sz w:val="24"/>
          <w:szCs w:val="24"/>
        </w:rPr>
        <w:t xml:space="preserve">while the </w:t>
      </w:r>
      <w:r w:rsidR="00F42495">
        <w:rPr>
          <w:sz w:val="24"/>
          <w:szCs w:val="24"/>
        </w:rPr>
        <w:t xml:space="preserve">United Nations Children Fund (2020) summarises there is no universal agreement on the word child, a child is someone who should be protected and have their rights advocated. </w:t>
      </w:r>
    </w:p>
    <w:p w14:paraId="0AEE1588" w14:textId="18D5E28F" w:rsidR="001C1B0E" w:rsidRDefault="00F42495" w:rsidP="001C1B0E">
      <w:pPr>
        <w:rPr>
          <w:sz w:val="24"/>
          <w:szCs w:val="24"/>
        </w:rPr>
      </w:pPr>
      <w:r>
        <w:rPr>
          <w:sz w:val="24"/>
          <w:szCs w:val="24"/>
        </w:rPr>
        <w:t xml:space="preserve">The term childhood is also as controversial with many different views and beliefs on childhood, such as Wynes (2019) maintains it as a social and cultural </w:t>
      </w:r>
      <w:r w:rsidR="005938A1">
        <w:rPr>
          <w:sz w:val="24"/>
          <w:szCs w:val="24"/>
        </w:rPr>
        <w:t>phenomenon</w:t>
      </w:r>
      <w:r>
        <w:rPr>
          <w:sz w:val="24"/>
          <w:szCs w:val="24"/>
        </w:rPr>
        <w:t>, only constructed as the children as smaller in size and not fully developed</w:t>
      </w:r>
      <w:r w:rsidR="00833EB9">
        <w:rPr>
          <w:sz w:val="24"/>
          <w:szCs w:val="24"/>
        </w:rPr>
        <w:t>. This is</w:t>
      </w:r>
      <w:r>
        <w:rPr>
          <w:sz w:val="24"/>
          <w:szCs w:val="24"/>
        </w:rPr>
        <w:t xml:space="preserve"> a view strongly disagreed by Jenks (2005), who views childhood is natural rather than social, and no childhoods are experienced the same, eve</w:t>
      </w:r>
      <w:r w:rsidR="005938A1">
        <w:rPr>
          <w:sz w:val="24"/>
          <w:szCs w:val="24"/>
        </w:rPr>
        <w:t xml:space="preserve">n </w:t>
      </w:r>
      <w:r>
        <w:rPr>
          <w:sz w:val="24"/>
          <w:szCs w:val="24"/>
        </w:rPr>
        <w:t xml:space="preserve">within siblings, due to personality, genetics, culture and environment. Another outlook on childhood is Nelson (2017) who </w:t>
      </w:r>
      <w:r w:rsidR="00836968">
        <w:rPr>
          <w:sz w:val="24"/>
          <w:szCs w:val="24"/>
        </w:rPr>
        <w:t xml:space="preserve">disagrees that </w:t>
      </w:r>
      <w:r>
        <w:rPr>
          <w:sz w:val="24"/>
          <w:szCs w:val="24"/>
        </w:rPr>
        <w:t>childhood can be defined or measured</w:t>
      </w:r>
      <w:r w:rsidR="00836968">
        <w:rPr>
          <w:sz w:val="24"/>
          <w:szCs w:val="24"/>
        </w:rPr>
        <w:t>,</w:t>
      </w:r>
      <w:r>
        <w:rPr>
          <w:sz w:val="24"/>
          <w:szCs w:val="24"/>
        </w:rPr>
        <w:t xml:space="preserve"> as it is ever changing with new research and evidence being explored by psychologists so frequently. Statham (2012) supports this by reflecting with the considerable amount of work going into </w:t>
      </w:r>
      <w:r w:rsidR="005938A1">
        <w:rPr>
          <w:sz w:val="24"/>
          <w:szCs w:val="24"/>
        </w:rPr>
        <w:t>children’s</w:t>
      </w:r>
      <w:r>
        <w:rPr>
          <w:sz w:val="24"/>
          <w:szCs w:val="24"/>
        </w:rPr>
        <w:t xml:space="preserve"> well being in the United Kingdom, the term </w:t>
      </w:r>
      <w:r w:rsidR="005938A1">
        <w:rPr>
          <w:sz w:val="24"/>
          <w:szCs w:val="24"/>
        </w:rPr>
        <w:t xml:space="preserve">childhood is different in every individual, Pout (2003) calls this an emergent paradigm, which is best to describe changes and transitions which occur through scientific development and changes in society, that contribute to the knowledge of a topic. </w:t>
      </w:r>
    </w:p>
    <w:p w14:paraId="0EB1DE6F" w14:textId="5D05800A" w:rsidR="009A5760" w:rsidRDefault="009A5760" w:rsidP="001C1B0E">
      <w:pPr>
        <w:rPr>
          <w:sz w:val="24"/>
          <w:szCs w:val="24"/>
        </w:rPr>
      </w:pPr>
      <w:r>
        <w:rPr>
          <w:sz w:val="24"/>
          <w:szCs w:val="24"/>
        </w:rPr>
        <w:t xml:space="preserve">These views on child and childhood are in great contrast to how the Victorians perceived </w:t>
      </w:r>
      <w:r w:rsidR="00896AE8">
        <w:rPr>
          <w:sz w:val="24"/>
          <w:szCs w:val="24"/>
        </w:rPr>
        <w:t>children and their definition</w:t>
      </w:r>
      <w:r>
        <w:rPr>
          <w:sz w:val="24"/>
          <w:szCs w:val="24"/>
        </w:rPr>
        <w:t xml:space="preserve">, with the </w:t>
      </w:r>
      <w:r w:rsidR="00896AE8">
        <w:rPr>
          <w:sz w:val="24"/>
          <w:szCs w:val="24"/>
        </w:rPr>
        <w:t>historical</w:t>
      </w:r>
      <w:r>
        <w:rPr>
          <w:sz w:val="24"/>
          <w:szCs w:val="24"/>
        </w:rPr>
        <w:t xml:space="preserve"> society having</w:t>
      </w:r>
      <w:r w:rsidR="00896AE8">
        <w:rPr>
          <w:sz w:val="24"/>
          <w:szCs w:val="24"/>
        </w:rPr>
        <w:t xml:space="preserve"> either a</w:t>
      </w:r>
      <w:r>
        <w:rPr>
          <w:sz w:val="24"/>
          <w:szCs w:val="24"/>
        </w:rPr>
        <w:t xml:space="preserve"> low or little regard for children’s needs to play and develop and expecting them to behave like adults (Jordan, 1987). Sacks (2010) shows that the Victorians had no concept on childhood and expected them to work and provide as an adult would. With wealthier families who may not need the children to work and provide for the family, they would hire nannies and wet nurses and </w:t>
      </w:r>
      <w:r>
        <w:rPr>
          <w:sz w:val="24"/>
          <w:szCs w:val="24"/>
        </w:rPr>
        <w:lastRenderedPageBreak/>
        <w:t xml:space="preserve">would not form the maternal bonds we see today, with treating their children as more of an inconvenience than the way society now loves and cherishes their children </w:t>
      </w:r>
      <w:r w:rsidRPr="00FC29AD">
        <w:rPr>
          <w:sz w:val="24"/>
          <w:szCs w:val="24"/>
        </w:rPr>
        <w:t>(Sheetz-Nguyen, 2012)</w:t>
      </w:r>
      <w:r>
        <w:rPr>
          <w:sz w:val="24"/>
          <w:szCs w:val="24"/>
        </w:rPr>
        <w:t>.</w:t>
      </w:r>
    </w:p>
    <w:p w14:paraId="1C50DE06" w14:textId="5411C440" w:rsidR="005938A1" w:rsidRDefault="005938A1" w:rsidP="001C1B0E">
      <w:pPr>
        <w:rPr>
          <w:sz w:val="24"/>
          <w:szCs w:val="24"/>
        </w:rPr>
      </w:pPr>
      <w:r>
        <w:rPr>
          <w:sz w:val="24"/>
          <w:szCs w:val="24"/>
        </w:rPr>
        <w:t xml:space="preserve">During the Victorian ages, the family construct was typically made up from the nuclear family, which Tradmor (2017) describes of mother, </w:t>
      </w:r>
      <w:r w:rsidR="00670902">
        <w:rPr>
          <w:sz w:val="24"/>
          <w:szCs w:val="24"/>
        </w:rPr>
        <w:t>father,</w:t>
      </w:r>
      <w:r>
        <w:rPr>
          <w:sz w:val="24"/>
          <w:szCs w:val="24"/>
        </w:rPr>
        <w:t xml:space="preserve"> and children in the home, Kilmek (2020) shows that this family set up would usually have the father and sons working, while the mother and/or older daughters caring for the home and all the </w:t>
      </w:r>
      <w:r w:rsidR="00670902">
        <w:rPr>
          <w:sz w:val="24"/>
          <w:szCs w:val="24"/>
        </w:rPr>
        <w:t>family’s needs</w:t>
      </w:r>
      <w:r>
        <w:rPr>
          <w:sz w:val="24"/>
          <w:szCs w:val="24"/>
        </w:rPr>
        <w:t xml:space="preserve">. In comparison to </w:t>
      </w:r>
      <w:r w:rsidR="00575370">
        <w:rPr>
          <w:sz w:val="24"/>
          <w:szCs w:val="24"/>
        </w:rPr>
        <w:t>today’s</w:t>
      </w:r>
      <w:r>
        <w:rPr>
          <w:sz w:val="24"/>
          <w:szCs w:val="24"/>
        </w:rPr>
        <w:t xml:space="preserve"> </w:t>
      </w:r>
      <w:r w:rsidR="00670902">
        <w:rPr>
          <w:sz w:val="24"/>
          <w:szCs w:val="24"/>
        </w:rPr>
        <w:t>society,</w:t>
      </w:r>
      <w:r>
        <w:rPr>
          <w:sz w:val="24"/>
          <w:szCs w:val="24"/>
        </w:rPr>
        <w:t xml:space="preserve"> it is clear to see there is wider diversity in present family set up (Larossa, 2002). Newman and Cornell (2015) give some examples of diverse family life as being single parents, unmarried cohabitation, same sex parents, children in local authority care and surroga</w:t>
      </w:r>
      <w:r w:rsidR="002E6A63">
        <w:rPr>
          <w:sz w:val="24"/>
          <w:szCs w:val="24"/>
        </w:rPr>
        <w:t>te pregnancies.</w:t>
      </w:r>
    </w:p>
    <w:p w14:paraId="169EC58E" w14:textId="2312E890" w:rsidR="00D74DAB" w:rsidRDefault="002E6A63" w:rsidP="001C1B0E">
      <w:pPr>
        <w:rPr>
          <w:sz w:val="24"/>
          <w:szCs w:val="24"/>
        </w:rPr>
      </w:pPr>
      <w:r>
        <w:rPr>
          <w:sz w:val="24"/>
          <w:szCs w:val="24"/>
        </w:rPr>
        <w:t xml:space="preserve">During the Victorian ages, </w:t>
      </w:r>
      <w:r w:rsidR="00E560C0">
        <w:rPr>
          <w:sz w:val="24"/>
          <w:szCs w:val="24"/>
        </w:rPr>
        <w:t xml:space="preserve">Turner (2012) describes a lack of awareness around </w:t>
      </w:r>
      <w:r w:rsidR="00575370">
        <w:rPr>
          <w:sz w:val="24"/>
          <w:szCs w:val="24"/>
        </w:rPr>
        <w:t>children’s</w:t>
      </w:r>
      <w:r w:rsidR="00E560C0">
        <w:rPr>
          <w:sz w:val="24"/>
          <w:szCs w:val="24"/>
        </w:rPr>
        <w:t xml:space="preserve"> health and wellbeing, particularly identifiable for those with disabilities</w:t>
      </w:r>
      <w:r w:rsidR="00CB1C3E">
        <w:rPr>
          <w:sz w:val="24"/>
          <w:szCs w:val="24"/>
        </w:rPr>
        <w:t xml:space="preserve">, </w:t>
      </w:r>
      <w:r w:rsidR="00575370">
        <w:rPr>
          <w:sz w:val="24"/>
          <w:szCs w:val="24"/>
        </w:rPr>
        <w:t>children’s</w:t>
      </w:r>
      <w:r w:rsidR="00CB1C3E">
        <w:rPr>
          <w:sz w:val="24"/>
          <w:szCs w:val="24"/>
        </w:rPr>
        <w:t xml:space="preserve"> mortality rate was around 33% due to lack of healthcare and </w:t>
      </w:r>
      <w:r w:rsidR="00CB063F">
        <w:rPr>
          <w:sz w:val="24"/>
          <w:szCs w:val="24"/>
        </w:rPr>
        <w:t xml:space="preserve">understanding of medical conditions (Woods, Watterson and Woodward, </w:t>
      </w:r>
      <w:r w:rsidR="00180D9B">
        <w:rPr>
          <w:sz w:val="24"/>
          <w:szCs w:val="24"/>
        </w:rPr>
        <w:t xml:space="preserve">1989). </w:t>
      </w:r>
      <w:r w:rsidR="00575370">
        <w:rPr>
          <w:sz w:val="24"/>
          <w:szCs w:val="24"/>
        </w:rPr>
        <w:t>Generally,</w:t>
      </w:r>
      <w:r w:rsidR="00180D9B">
        <w:rPr>
          <w:sz w:val="24"/>
          <w:szCs w:val="24"/>
        </w:rPr>
        <w:t xml:space="preserve"> children from impoverished backgrounds would have been worst affected from lack of nutrition, basic needs like shelter and warmth and hygiene issues</w:t>
      </w:r>
      <w:r w:rsidR="002610B3">
        <w:rPr>
          <w:sz w:val="24"/>
          <w:szCs w:val="24"/>
        </w:rPr>
        <w:t xml:space="preserve"> and facing dangerous conditions in the work place</w:t>
      </w:r>
      <w:r w:rsidR="00C33B92">
        <w:rPr>
          <w:sz w:val="24"/>
          <w:szCs w:val="24"/>
        </w:rPr>
        <w:t xml:space="preserve"> </w:t>
      </w:r>
      <w:r w:rsidR="00951AE0" w:rsidRPr="00951AE0">
        <w:rPr>
          <w:sz w:val="24"/>
          <w:szCs w:val="24"/>
        </w:rPr>
        <w:t>(Wilson, 2008)</w:t>
      </w:r>
      <w:r w:rsidR="00951AE0">
        <w:rPr>
          <w:sz w:val="24"/>
          <w:szCs w:val="24"/>
        </w:rPr>
        <w:t xml:space="preserve">. </w:t>
      </w:r>
    </w:p>
    <w:p w14:paraId="5021C2C0" w14:textId="43046DD6" w:rsidR="00971247" w:rsidRDefault="002A04BC" w:rsidP="001C1B0E">
      <w:pPr>
        <w:rPr>
          <w:sz w:val="24"/>
          <w:szCs w:val="24"/>
        </w:rPr>
      </w:pPr>
      <w:r>
        <w:rPr>
          <w:sz w:val="24"/>
          <w:szCs w:val="24"/>
        </w:rPr>
        <w:t xml:space="preserve">Children who were orphaned during this era would find themselves </w:t>
      </w:r>
      <w:r w:rsidR="00D74DAB">
        <w:rPr>
          <w:sz w:val="24"/>
          <w:szCs w:val="24"/>
        </w:rPr>
        <w:t>either on the streets</w:t>
      </w:r>
      <w:r w:rsidR="00443815">
        <w:rPr>
          <w:sz w:val="24"/>
          <w:szCs w:val="24"/>
        </w:rPr>
        <w:t xml:space="preserve">, </w:t>
      </w:r>
      <w:r w:rsidR="00BE37D5">
        <w:rPr>
          <w:sz w:val="24"/>
          <w:szCs w:val="24"/>
        </w:rPr>
        <w:t>where</w:t>
      </w:r>
      <w:r w:rsidR="00443815">
        <w:rPr>
          <w:sz w:val="24"/>
          <w:szCs w:val="24"/>
        </w:rPr>
        <w:t xml:space="preserve"> Pearce (2009) </w:t>
      </w:r>
      <w:r w:rsidR="005E12D6">
        <w:rPr>
          <w:sz w:val="24"/>
          <w:szCs w:val="24"/>
        </w:rPr>
        <w:t>explains</w:t>
      </w:r>
      <w:r w:rsidR="00BE37D5">
        <w:rPr>
          <w:sz w:val="24"/>
          <w:szCs w:val="24"/>
        </w:rPr>
        <w:t xml:space="preserve"> there was a high likelihood of them becoming child </w:t>
      </w:r>
      <w:r w:rsidR="00C93183">
        <w:rPr>
          <w:sz w:val="24"/>
          <w:szCs w:val="24"/>
        </w:rPr>
        <w:t>prostitutes</w:t>
      </w:r>
      <w:r w:rsidR="00BE37D5">
        <w:rPr>
          <w:sz w:val="24"/>
          <w:szCs w:val="24"/>
        </w:rPr>
        <w:t xml:space="preserve"> or involved in criminal activities to survive these harsh conditions</w:t>
      </w:r>
      <w:r w:rsidR="005E12D6">
        <w:rPr>
          <w:sz w:val="24"/>
          <w:szCs w:val="24"/>
        </w:rPr>
        <w:t xml:space="preserve">, </w:t>
      </w:r>
      <w:r w:rsidR="005F3DEB">
        <w:rPr>
          <w:sz w:val="24"/>
          <w:szCs w:val="24"/>
        </w:rPr>
        <w:t xml:space="preserve">children who would be arrested for these </w:t>
      </w:r>
      <w:r w:rsidR="00971247">
        <w:rPr>
          <w:sz w:val="24"/>
          <w:szCs w:val="24"/>
        </w:rPr>
        <w:t xml:space="preserve">offences would have been tried as adults, </w:t>
      </w:r>
      <w:r w:rsidR="00172EBB" w:rsidRPr="00172EBB">
        <w:rPr>
          <w:sz w:val="24"/>
          <w:szCs w:val="24"/>
        </w:rPr>
        <w:t>Gilfillan</w:t>
      </w:r>
      <w:r w:rsidR="00172EBB">
        <w:rPr>
          <w:sz w:val="24"/>
          <w:szCs w:val="24"/>
        </w:rPr>
        <w:t xml:space="preserve"> (</w:t>
      </w:r>
      <w:r w:rsidR="00172EBB" w:rsidRPr="00172EBB">
        <w:rPr>
          <w:sz w:val="24"/>
          <w:szCs w:val="24"/>
        </w:rPr>
        <w:t>2014)</w:t>
      </w:r>
      <w:r w:rsidR="00172EBB">
        <w:rPr>
          <w:sz w:val="24"/>
          <w:szCs w:val="24"/>
        </w:rPr>
        <w:t xml:space="preserve"> expands that children would be locked up or even executed for </w:t>
      </w:r>
      <w:r w:rsidR="006D1402">
        <w:rPr>
          <w:sz w:val="24"/>
          <w:szCs w:val="24"/>
        </w:rPr>
        <w:t xml:space="preserve">the pettiest of crimes, including theft and </w:t>
      </w:r>
      <w:r w:rsidR="00C93183">
        <w:rPr>
          <w:sz w:val="24"/>
          <w:szCs w:val="24"/>
        </w:rPr>
        <w:t>misdemeanours</w:t>
      </w:r>
      <w:r w:rsidR="006E031C">
        <w:rPr>
          <w:sz w:val="24"/>
          <w:szCs w:val="24"/>
        </w:rPr>
        <w:t xml:space="preserve">. </w:t>
      </w:r>
      <w:r w:rsidR="006D1402">
        <w:rPr>
          <w:sz w:val="24"/>
          <w:szCs w:val="24"/>
        </w:rPr>
        <w:t xml:space="preserve">Parsole (2017) </w:t>
      </w:r>
      <w:r w:rsidR="009A6B96">
        <w:rPr>
          <w:sz w:val="24"/>
          <w:szCs w:val="24"/>
        </w:rPr>
        <w:t xml:space="preserve">believes significant changes to the youth justice system started taking shape during </w:t>
      </w:r>
      <w:r w:rsidR="00C93183">
        <w:rPr>
          <w:sz w:val="24"/>
          <w:szCs w:val="24"/>
        </w:rPr>
        <w:t>1925 when the first juvenile court took place in Liverpool</w:t>
      </w:r>
      <w:r w:rsidR="00AC6482">
        <w:rPr>
          <w:sz w:val="24"/>
          <w:szCs w:val="24"/>
        </w:rPr>
        <w:t xml:space="preserve">, which </w:t>
      </w:r>
      <w:r w:rsidR="00EC483B">
        <w:rPr>
          <w:sz w:val="24"/>
          <w:szCs w:val="24"/>
        </w:rPr>
        <w:t xml:space="preserve">laid the </w:t>
      </w:r>
      <w:r w:rsidR="00243CDC">
        <w:rPr>
          <w:sz w:val="24"/>
          <w:szCs w:val="24"/>
        </w:rPr>
        <w:t xml:space="preserve">foundation for </w:t>
      </w:r>
      <w:r w:rsidR="006729EE">
        <w:rPr>
          <w:sz w:val="24"/>
          <w:szCs w:val="24"/>
        </w:rPr>
        <w:t>the youth justice and criminal act 1999</w:t>
      </w:r>
      <w:r w:rsidR="00243CDC">
        <w:rPr>
          <w:sz w:val="24"/>
          <w:szCs w:val="24"/>
        </w:rPr>
        <w:t>.</w:t>
      </w:r>
    </w:p>
    <w:p w14:paraId="7A149664" w14:textId="77777777" w:rsidR="004871AE" w:rsidRDefault="0006259C" w:rsidP="001C1B0E">
      <w:pPr>
        <w:rPr>
          <w:sz w:val="24"/>
          <w:szCs w:val="24"/>
        </w:rPr>
      </w:pPr>
      <w:r>
        <w:rPr>
          <w:sz w:val="24"/>
          <w:szCs w:val="24"/>
        </w:rPr>
        <w:t xml:space="preserve">Children who were brought in from the streets were sent to live in workhouses, also there were children who were born into these </w:t>
      </w:r>
      <w:r w:rsidR="007D002F">
        <w:rPr>
          <w:sz w:val="24"/>
          <w:szCs w:val="24"/>
        </w:rPr>
        <w:t>institutions and</w:t>
      </w:r>
      <w:r w:rsidR="0050250F">
        <w:rPr>
          <w:sz w:val="24"/>
          <w:szCs w:val="24"/>
        </w:rPr>
        <w:t xml:space="preserve"> put to work as young as the age of four (Hutchinson, 2016). </w:t>
      </w:r>
      <w:r w:rsidR="007D002F">
        <w:rPr>
          <w:sz w:val="24"/>
          <w:szCs w:val="24"/>
        </w:rPr>
        <w:t>Workhouses are defined by Higginbottom (2012) as a public institute where hard labour was carried out in exchange for lodging and inadequate nutrition.</w:t>
      </w:r>
      <w:r w:rsidR="00D93BFB">
        <w:rPr>
          <w:sz w:val="24"/>
          <w:szCs w:val="24"/>
        </w:rPr>
        <w:t xml:space="preserve"> </w:t>
      </w:r>
      <w:r w:rsidR="00152E35">
        <w:rPr>
          <w:sz w:val="24"/>
          <w:szCs w:val="24"/>
        </w:rPr>
        <w:t xml:space="preserve">Honeyman (2016) describes the working conditions for children in these institutes as </w:t>
      </w:r>
      <w:r w:rsidR="004871AE">
        <w:rPr>
          <w:sz w:val="24"/>
          <w:szCs w:val="24"/>
        </w:rPr>
        <w:t>awful, with very long working hours and typically using dangerous materials and machinery.</w:t>
      </w:r>
    </w:p>
    <w:p w14:paraId="5903117F" w14:textId="35477E0A" w:rsidR="002E6A63" w:rsidRDefault="00D74DAB" w:rsidP="001C1B0E">
      <w:pPr>
        <w:rPr>
          <w:sz w:val="24"/>
          <w:szCs w:val="24"/>
        </w:rPr>
      </w:pPr>
      <w:r>
        <w:rPr>
          <w:sz w:val="24"/>
          <w:szCs w:val="24"/>
        </w:rPr>
        <w:t xml:space="preserve"> </w:t>
      </w:r>
      <w:r w:rsidR="000E41A9">
        <w:rPr>
          <w:sz w:val="24"/>
          <w:szCs w:val="24"/>
        </w:rPr>
        <w:t xml:space="preserve">Children who were disabled in these establishment, faced major hardship and lack of care, as during this </w:t>
      </w:r>
      <w:r w:rsidR="00EC3B6C">
        <w:rPr>
          <w:sz w:val="24"/>
          <w:szCs w:val="24"/>
        </w:rPr>
        <w:t>era all disabilities were treated the same, regardless whether they had mental or physical disabilities</w:t>
      </w:r>
      <w:r w:rsidR="0004608E">
        <w:rPr>
          <w:sz w:val="24"/>
          <w:szCs w:val="24"/>
        </w:rPr>
        <w:t>, King (2015) describes the lives of disabled children in workhouses as being shut away in rooms, to be cared for by disabled adults who lacked capacity to provide adequate care, often resulting in premature and preventable deaths with these children</w:t>
      </w:r>
      <w:r w:rsidR="00A35D8B">
        <w:rPr>
          <w:sz w:val="24"/>
          <w:szCs w:val="24"/>
        </w:rPr>
        <w:t xml:space="preserve">. </w:t>
      </w:r>
    </w:p>
    <w:p w14:paraId="12BB1AFB" w14:textId="13C6C48F" w:rsidR="00DB4EB8" w:rsidRDefault="00DB4EB8" w:rsidP="001C1B0E">
      <w:pPr>
        <w:rPr>
          <w:sz w:val="24"/>
          <w:szCs w:val="24"/>
        </w:rPr>
      </w:pPr>
      <w:r>
        <w:rPr>
          <w:sz w:val="24"/>
          <w:szCs w:val="24"/>
        </w:rPr>
        <w:t>During 1902, reform for disabled children started taking shape under the work of Mary D</w:t>
      </w:r>
      <w:r w:rsidR="006D440C">
        <w:rPr>
          <w:sz w:val="24"/>
          <w:szCs w:val="24"/>
        </w:rPr>
        <w:t xml:space="preserve">endy, who Carter, </w:t>
      </w:r>
      <w:r w:rsidR="00575370">
        <w:rPr>
          <w:sz w:val="24"/>
          <w:szCs w:val="24"/>
        </w:rPr>
        <w:t>James,</w:t>
      </w:r>
      <w:r w:rsidR="006D440C">
        <w:rPr>
          <w:sz w:val="24"/>
          <w:szCs w:val="24"/>
        </w:rPr>
        <w:t xml:space="preserve"> and King (2019) describe as a pioneer of t</w:t>
      </w:r>
      <w:r w:rsidR="00C05708">
        <w:rPr>
          <w:sz w:val="24"/>
          <w:szCs w:val="24"/>
        </w:rPr>
        <w:t xml:space="preserve">he treatment of disabled children. </w:t>
      </w:r>
      <w:r w:rsidR="00575370">
        <w:rPr>
          <w:sz w:val="24"/>
          <w:szCs w:val="24"/>
        </w:rPr>
        <w:t>Dendy from North Wales</w:t>
      </w:r>
      <w:r w:rsidR="00C05708">
        <w:rPr>
          <w:sz w:val="24"/>
          <w:szCs w:val="24"/>
        </w:rPr>
        <w:t xml:space="preserve"> opened the first residential schools for what </w:t>
      </w:r>
      <w:r w:rsidR="00C05708">
        <w:rPr>
          <w:sz w:val="24"/>
          <w:szCs w:val="24"/>
        </w:rPr>
        <w:lastRenderedPageBreak/>
        <w:t xml:space="preserve">they </w:t>
      </w:r>
      <w:r w:rsidR="003764D7">
        <w:rPr>
          <w:sz w:val="24"/>
          <w:szCs w:val="24"/>
        </w:rPr>
        <w:t>labelled</w:t>
      </w:r>
      <w:r w:rsidR="00C05708">
        <w:rPr>
          <w:sz w:val="24"/>
          <w:szCs w:val="24"/>
        </w:rPr>
        <w:t xml:space="preserve"> feeble minded children</w:t>
      </w:r>
      <w:r w:rsidR="008634B5">
        <w:rPr>
          <w:sz w:val="24"/>
          <w:szCs w:val="24"/>
        </w:rPr>
        <w:t xml:space="preserve">, these schools were known as </w:t>
      </w:r>
      <w:r w:rsidR="00A83148">
        <w:rPr>
          <w:sz w:val="24"/>
          <w:szCs w:val="24"/>
        </w:rPr>
        <w:t xml:space="preserve">Sandlebridge and Southwell workhouse (Cruishank, 1976). </w:t>
      </w:r>
      <w:r w:rsidR="00235A70">
        <w:rPr>
          <w:sz w:val="24"/>
          <w:szCs w:val="24"/>
        </w:rPr>
        <w:t>Digby and Wright (2002) promote though that even though Dendy was a pioneer for better treatment and education for disabled children, there was also a dark undertone of experimentation taking place, where the children would be sterilised in the hopes of eradicating disabilities</w:t>
      </w:r>
      <w:r w:rsidR="00C2094D">
        <w:rPr>
          <w:sz w:val="24"/>
          <w:szCs w:val="24"/>
        </w:rPr>
        <w:t xml:space="preserve">, </w:t>
      </w:r>
      <w:r w:rsidR="003C734D">
        <w:rPr>
          <w:sz w:val="24"/>
          <w:szCs w:val="24"/>
        </w:rPr>
        <w:t>known as</w:t>
      </w:r>
      <w:r w:rsidR="00C2094D">
        <w:rPr>
          <w:sz w:val="24"/>
          <w:szCs w:val="24"/>
        </w:rPr>
        <w:t xml:space="preserve"> the </w:t>
      </w:r>
      <w:r w:rsidR="00D243F6">
        <w:rPr>
          <w:sz w:val="24"/>
          <w:szCs w:val="24"/>
        </w:rPr>
        <w:t>M</w:t>
      </w:r>
      <w:r w:rsidR="00C2094D">
        <w:rPr>
          <w:sz w:val="24"/>
          <w:szCs w:val="24"/>
        </w:rPr>
        <w:t xml:space="preserve">ental </w:t>
      </w:r>
      <w:r w:rsidR="00D243F6">
        <w:rPr>
          <w:sz w:val="24"/>
          <w:szCs w:val="24"/>
        </w:rPr>
        <w:t>Deficiency</w:t>
      </w:r>
      <w:r w:rsidR="00C2094D">
        <w:rPr>
          <w:sz w:val="24"/>
          <w:szCs w:val="24"/>
        </w:rPr>
        <w:t xml:space="preserve"> </w:t>
      </w:r>
      <w:r w:rsidR="00D243F6">
        <w:rPr>
          <w:sz w:val="24"/>
          <w:szCs w:val="24"/>
        </w:rPr>
        <w:t>A</w:t>
      </w:r>
      <w:r w:rsidR="00C2094D">
        <w:rPr>
          <w:sz w:val="24"/>
          <w:szCs w:val="24"/>
        </w:rPr>
        <w:t xml:space="preserve">ct </w:t>
      </w:r>
      <w:r w:rsidR="00D243F6">
        <w:rPr>
          <w:sz w:val="24"/>
          <w:szCs w:val="24"/>
        </w:rPr>
        <w:t>1913</w:t>
      </w:r>
      <w:r w:rsidR="003C734D">
        <w:rPr>
          <w:sz w:val="24"/>
          <w:szCs w:val="24"/>
        </w:rPr>
        <w:t xml:space="preserve"> (</w:t>
      </w:r>
      <w:r w:rsidR="00FB129A">
        <w:rPr>
          <w:sz w:val="24"/>
          <w:szCs w:val="24"/>
        </w:rPr>
        <w:t xml:space="preserve">Lapoge and Dendy, 1920). Under this act, it was common for children to be removed from parents care to be sent to these establishments, where the parents would not know where their children were or that they had been </w:t>
      </w:r>
      <w:r w:rsidR="00575370">
        <w:rPr>
          <w:sz w:val="24"/>
          <w:szCs w:val="24"/>
        </w:rPr>
        <w:t>sterilised</w:t>
      </w:r>
      <w:r w:rsidR="00FB129A">
        <w:rPr>
          <w:sz w:val="24"/>
          <w:szCs w:val="24"/>
        </w:rPr>
        <w:t xml:space="preserve"> (Goodman, 2005). </w:t>
      </w:r>
    </w:p>
    <w:p w14:paraId="6F95C096" w14:textId="03721D93" w:rsidR="00D84913" w:rsidRDefault="000C073B" w:rsidP="001C1B0E">
      <w:pPr>
        <w:rPr>
          <w:sz w:val="24"/>
          <w:szCs w:val="24"/>
        </w:rPr>
      </w:pPr>
      <w:r>
        <w:rPr>
          <w:sz w:val="24"/>
          <w:szCs w:val="24"/>
        </w:rPr>
        <w:t xml:space="preserve">Platt (2005) believes that during the 1800’s </w:t>
      </w:r>
      <w:r w:rsidR="00062292">
        <w:rPr>
          <w:sz w:val="24"/>
          <w:szCs w:val="24"/>
        </w:rPr>
        <w:t xml:space="preserve">is when child protection laws started being enforced, </w:t>
      </w:r>
      <w:r w:rsidR="007C7A9A">
        <w:rPr>
          <w:sz w:val="24"/>
          <w:szCs w:val="24"/>
        </w:rPr>
        <w:t xml:space="preserve">with Kirby (2013) expanding the first major law brought in to protect children </w:t>
      </w:r>
      <w:r w:rsidR="0028329C">
        <w:rPr>
          <w:sz w:val="24"/>
          <w:szCs w:val="24"/>
        </w:rPr>
        <w:t xml:space="preserve">when </w:t>
      </w:r>
      <w:r w:rsidR="005541C5">
        <w:rPr>
          <w:sz w:val="24"/>
          <w:szCs w:val="24"/>
        </w:rPr>
        <w:t>in 1833 they were banned from working in textile factories, where due to their smaller size would be sent into dangerous machinery for repair</w:t>
      </w:r>
      <w:r w:rsidR="00DD77BC">
        <w:rPr>
          <w:sz w:val="24"/>
          <w:szCs w:val="24"/>
        </w:rPr>
        <w:t>s and maintenance</w:t>
      </w:r>
      <w:r w:rsidR="00691430">
        <w:rPr>
          <w:sz w:val="24"/>
          <w:szCs w:val="24"/>
        </w:rPr>
        <w:t>.</w:t>
      </w:r>
      <w:r w:rsidR="00DD77BC">
        <w:rPr>
          <w:sz w:val="24"/>
          <w:szCs w:val="24"/>
        </w:rPr>
        <w:t xml:space="preserve"> </w:t>
      </w:r>
      <w:r w:rsidR="00691430">
        <w:rPr>
          <w:sz w:val="24"/>
          <w:szCs w:val="24"/>
        </w:rPr>
        <w:t>T</w:t>
      </w:r>
      <w:r w:rsidR="00DD77BC">
        <w:rPr>
          <w:sz w:val="24"/>
          <w:szCs w:val="24"/>
        </w:rPr>
        <w:t xml:space="preserve">hen in 1842 </w:t>
      </w:r>
      <w:r w:rsidR="000B5628">
        <w:rPr>
          <w:sz w:val="24"/>
          <w:szCs w:val="24"/>
        </w:rPr>
        <w:t xml:space="preserve">children were banned from working underground in environments such as coal mines, as it was being </w:t>
      </w:r>
      <w:r w:rsidR="00691430">
        <w:rPr>
          <w:sz w:val="24"/>
          <w:szCs w:val="24"/>
        </w:rPr>
        <w:t>recognised,</w:t>
      </w:r>
      <w:r w:rsidR="000B5628">
        <w:rPr>
          <w:sz w:val="24"/>
          <w:szCs w:val="24"/>
        </w:rPr>
        <w:t xml:space="preserve"> they were suffering psychological harm</w:t>
      </w:r>
      <w:r w:rsidR="002A72D7">
        <w:rPr>
          <w:sz w:val="24"/>
          <w:szCs w:val="24"/>
        </w:rPr>
        <w:t xml:space="preserve"> (Wada and Sakaguwawa 1990). This may have been the first recognition of Adverse Childhood Experiences (ACE’s)</w:t>
      </w:r>
      <w:r w:rsidR="00997969">
        <w:rPr>
          <w:sz w:val="24"/>
          <w:szCs w:val="24"/>
        </w:rPr>
        <w:t xml:space="preserve"> determined by Zon and Lightman (2019) as traumatic events normally occurring under the age of 18 that impact mental and physical health during later life</w:t>
      </w:r>
      <w:r w:rsidR="00E80EE9">
        <w:rPr>
          <w:sz w:val="24"/>
          <w:szCs w:val="24"/>
        </w:rPr>
        <w:t>, and can be the cause of mental health illnesses, addiction and abusive behaviours and patterns.</w:t>
      </w:r>
    </w:p>
    <w:p w14:paraId="66B81779" w14:textId="1D93A5A2" w:rsidR="00B65F0E" w:rsidRDefault="00C37B41" w:rsidP="001C1B0E">
      <w:pPr>
        <w:rPr>
          <w:sz w:val="24"/>
          <w:szCs w:val="24"/>
        </w:rPr>
      </w:pPr>
      <w:r>
        <w:rPr>
          <w:sz w:val="24"/>
          <w:szCs w:val="24"/>
        </w:rPr>
        <w:t>Historic England (2012) explain</w:t>
      </w:r>
      <w:r>
        <w:rPr>
          <w:sz w:val="24"/>
          <w:szCs w:val="24"/>
        </w:rPr>
        <w:t xml:space="preserve">s </w:t>
      </w:r>
      <w:r w:rsidR="00E80EE9">
        <w:rPr>
          <w:sz w:val="24"/>
          <w:szCs w:val="24"/>
        </w:rPr>
        <w:t>that with</w:t>
      </w:r>
      <w:r>
        <w:rPr>
          <w:sz w:val="24"/>
          <w:szCs w:val="24"/>
        </w:rPr>
        <w:t>in education,</w:t>
      </w:r>
      <w:r>
        <w:rPr>
          <w:sz w:val="24"/>
          <w:szCs w:val="24"/>
        </w:rPr>
        <w:t xml:space="preserve"> the main disabilities who would have a </w:t>
      </w:r>
      <w:r w:rsidR="004005D7">
        <w:rPr>
          <w:sz w:val="24"/>
          <w:szCs w:val="24"/>
        </w:rPr>
        <w:t>higher</w:t>
      </w:r>
      <w:r>
        <w:rPr>
          <w:sz w:val="24"/>
          <w:szCs w:val="24"/>
        </w:rPr>
        <w:t xml:space="preserve"> chance in the earlier 1800’s of gaining an education was the deaf, </w:t>
      </w:r>
      <w:r w:rsidR="00EF3BA2">
        <w:rPr>
          <w:sz w:val="24"/>
          <w:szCs w:val="24"/>
        </w:rPr>
        <w:t>blind,</w:t>
      </w:r>
      <w:r>
        <w:rPr>
          <w:sz w:val="24"/>
          <w:szCs w:val="24"/>
        </w:rPr>
        <w:t xml:space="preserve"> and epileptic children, with schools such as the London society for teaching the blind to read established in 1838. </w:t>
      </w:r>
      <w:r w:rsidR="00FC4D7A">
        <w:rPr>
          <w:sz w:val="24"/>
          <w:szCs w:val="24"/>
        </w:rPr>
        <w:t xml:space="preserve">Children’s education </w:t>
      </w:r>
      <w:r w:rsidR="00394181">
        <w:rPr>
          <w:sz w:val="24"/>
          <w:szCs w:val="24"/>
        </w:rPr>
        <w:t xml:space="preserve">started to reform with the Foster’s Education Act of 1870 </w:t>
      </w:r>
      <w:r w:rsidR="00322079">
        <w:rPr>
          <w:sz w:val="24"/>
          <w:szCs w:val="24"/>
        </w:rPr>
        <w:t xml:space="preserve">(Jackson, 1997). </w:t>
      </w:r>
      <w:r w:rsidR="003F4195">
        <w:rPr>
          <w:sz w:val="24"/>
          <w:szCs w:val="24"/>
        </w:rPr>
        <w:t>Sylvester</w:t>
      </w:r>
      <w:r w:rsidR="000822C1">
        <w:rPr>
          <w:sz w:val="24"/>
          <w:szCs w:val="24"/>
        </w:rPr>
        <w:t xml:space="preserve"> (1974) describes this act as being</w:t>
      </w:r>
      <w:r w:rsidR="00E77B62">
        <w:rPr>
          <w:sz w:val="24"/>
          <w:szCs w:val="24"/>
        </w:rPr>
        <w:t xml:space="preserve"> highly </w:t>
      </w:r>
      <w:r w:rsidR="000822C1">
        <w:rPr>
          <w:sz w:val="24"/>
          <w:szCs w:val="24"/>
        </w:rPr>
        <w:t>significant</w:t>
      </w:r>
      <w:r w:rsidR="00E77B62">
        <w:rPr>
          <w:sz w:val="24"/>
          <w:szCs w:val="24"/>
        </w:rPr>
        <w:t xml:space="preserve">, especially in Wales as for the first time the local authority was funding education accessible for all children from every </w:t>
      </w:r>
      <w:r w:rsidR="000A79D8">
        <w:rPr>
          <w:sz w:val="24"/>
          <w:szCs w:val="24"/>
        </w:rPr>
        <w:t xml:space="preserve">background between the ages of 5-12 years to have equal opportunity for education, something that only more </w:t>
      </w:r>
      <w:r w:rsidR="002C1375">
        <w:rPr>
          <w:sz w:val="24"/>
          <w:szCs w:val="24"/>
        </w:rPr>
        <w:t>affluent families had previously been able to afford</w:t>
      </w:r>
      <w:r>
        <w:rPr>
          <w:sz w:val="24"/>
          <w:szCs w:val="24"/>
        </w:rPr>
        <w:t>.</w:t>
      </w:r>
      <w:r w:rsidR="00F43239">
        <w:rPr>
          <w:sz w:val="24"/>
          <w:szCs w:val="24"/>
        </w:rPr>
        <w:t xml:space="preserve"> </w:t>
      </w:r>
    </w:p>
    <w:p w14:paraId="502B2B66" w14:textId="4CA50EEF" w:rsidR="00F43239" w:rsidRDefault="00684999" w:rsidP="001C1B0E">
      <w:pPr>
        <w:rPr>
          <w:sz w:val="24"/>
          <w:szCs w:val="24"/>
        </w:rPr>
      </w:pPr>
      <w:r>
        <w:rPr>
          <w:sz w:val="24"/>
          <w:szCs w:val="24"/>
        </w:rPr>
        <w:t>Comparing education for children with disabilities</w:t>
      </w:r>
      <w:r w:rsidR="006179F4">
        <w:rPr>
          <w:sz w:val="24"/>
          <w:szCs w:val="24"/>
        </w:rPr>
        <w:t xml:space="preserve"> from the 1800’s</w:t>
      </w:r>
      <w:r>
        <w:rPr>
          <w:sz w:val="24"/>
          <w:szCs w:val="24"/>
        </w:rPr>
        <w:t xml:space="preserve"> to the present, there has been</w:t>
      </w:r>
      <w:r w:rsidR="006179F4">
        <w:rPr>
          <w:sz w:val="24"/>
          <w:szCs w:val="24"/>
        </w:rPr>
        <w:t xml:space="preserve"> a lot of</w:t>
      </w:r>
      <w:r>
        <w:rPr>
          <w:sz w:val="24"/>
          <w:szCs w:val="24"/>
        </w:rPr>
        <w:t xml:space="preserve"> progression, with </w:t>
      </w:r>
      <w:r w:rsidR="00A81C77">
        <w:rPr>
          <w:sz w:val="24"/>
          <w:szCs w:val="24"/>
        </w:rPr>
        <w:t>the Additional Learning Needs programme (ALN) aimed at supporting</w:t>
      </w:r>
      <w:r w:rsidR="00992CAC">
        <w:rPr>
          <w:sz w:val="24"/>
          <w:szCs w:val="24"/>
        </w:rPr>
        <w:t xml:space="preserve"> children and young people with framework to </w:t>
      </w:r>
      <w:r w:rsidR="00A30D64">
        <w:rPr>
          <w:sz w:val="24"/>
          <w:szCs w:val="24"/>
        </w:rPr>
        <w:t>integrate</w:t>
      </w:r>
      <w:r w:rsidR="00992CAC">
        <w:rPr>
          <w:sz w:val="24"/>
          <w:szCs w:val="24"/>
        </w:rPr>
        <w:t xml:space="preserve"> these learners in mainstream schools</w:t>
      </w:r>
      <w:r w:rsidR="0077560E">
        <w:rPr>
          <w:sz w:val="24"/>
          <w:szCs w:val="24"/>
        </w:rPr>
        <w:t xml:space="preserve"> and collaborate between the local authority and parents to create a personal plan to assist them in education</w:t>
      </w:r>
      <w:r w:rsidR="00140B4D">
        <w:rPr>
          <w:sz w:val="24"/>
          <w:szCs w:val="24"/>
        </w:rPr>
        <w:t xml:space="preserve">, regardless of the severity of their conditions and statements </w:t>
      </w:r>
      <w:r w:rsidR="00B65F0E">
        <w:rPr>
          <w:sz w:val="24"/>
          <w:szCs w:val="24"/>
        </w:rPr>
        <w:t xml:space="preserve">(Lindsay, Dockrell and Wedell, 2020). These plans are known as </w:t>
      </w:r>
      <w:r w:rsidR="00953ECD">
        <w:rPr>
          <w:sz w:val="24"/>
          <w:szCs w:val="24"/>
        </w:rPr>
        <w:t>Individual Development Plan’s</w:t>
      </w:r>
      <w:r w:rsidR="007032CE">
        <w:rPr>
          <w:sz w:val="24"/>
          <w:szCs w:val="24"/>
        </w:rPr>
        <w:t xml:space="preserve"> (IDP)</w:t>
      </w:r>
      <w:r w:rsidR="00953ECD">
        <w:rPr>
          <w:sz w:val="24"/>
          <w:szCs w:val="24"/>
        </w:rPr>
        <w:t xml:space="preserve"> which is a document </w:t>
      </w:r>
      <w:r w:rsidR="00DD4CA9">
        <w:rPr>
          <w:sz w:val="24"/>
          <w:szCs w:val="24"/>
        </w:rPr>
        <w:t>for the teachers to set individual targets and record their progression, this ensures that the IDP is tailored to the child</w:t>
      </w:r>
      <w:r w:rsidR="00A30D64">
        <w:rPr>
          <w:sz w:val="24"/>
          <w:szCs w:val="24"/>
        </w:rPr>
        <w:t xml:space="preserve"> (Snap Cymru, 2022). </w:t>
      </w:r>
    </w:p>
    <w:p w14:paraId="78F75F1F" w14:textId="2F8D05FB" w:rsidR="00701848" w:rsidRDefault="002C1375" w:rsidP="001C1B0E">
      <w:pPr>
        <w:rPr>
          <w:sz w:val="24"/>
          <w:szCs w:val="24"/>
        </w:rPr>
      </w:pPr>
      <w:r>
        <w:rPr>
          <w:sz w:val="24"/>
          <w:szCs w:val="24"/>
        </w:rPr>
        <w:t xml:space="preserve">James (2007) promotes recognition of acts such as this all </w:t>
      </w:r>
      <w:r w:rsidR="0003570C">
        <w:rPr>
          <w:sz w:val="24"/>
          <w:szCs w:val="24"/>
        </w:rPr>
        <w:t xml:space="preserve">contributed to the United Nations Convention of the Rights of the Child (UNCRC) </w:t>
      </w:r>
      <w:r w:rsidR="00BE6552">
        <w:rPr>
          <w:sz w:val="24"/>
          <w:szCs w:val="24"/>
        </w:rPr>
        <w:t xml:space="preserve">that is enforced in present times. </w:t>
      </w:r>
      <w:r w:rsidR="00530174">
        <w:rPr>
          <w:sz w:val="24"/>
          <w:szCs w:val="24"/>
        </w:rPr>
        <w:t xml:space="preserve">GOV Wales (2022)  </w:t>
      </w:r>
      <w:r w:rsidR="00052046">
        <w:rPr>
          <w:sz w:val="24"/>
          <w:szCs w:val="24"/>
        </w:rPr>
        <w:t xml:space="preserve">explains that the Welsh government has adapted the core values of the UNCRC into 7 core beliefs, </w:t>
      </w:r>
      <w:r w:rsidR="00CE29FB">
        <w:rPr>
          <w:sz w:val="24"/>
          <w:szCs w:val="24"/>
        </w:rPr>
        <w:t xml:space="preserve">which Play Wales (2019) </w:t>
      </w:r>
      <w:r w:rsidR="00D643A2">
        <w:rPr>
          <w:sz w:val="24"/>
          <w:szCs w:val="24"/>
        </w:rPr>
        <w:t xml:space="preserve">defines as having a flying start in life with growth and development, </w:t>
      </w:r>
      <w:r w:rsidR="00D84459">
        <w:rPr>
          <w:sz w:val="24"/>
          <w:szCs w:val="24"/>
        </w:rPr>
        <w:t>access to learning, education and social skills, freedom from abuse, victimisation and exploitation</w:t>
      </w:r>
      <w:r w:rsidR="00F67749">
        <w:rPr>
          <w:sz w:val="24"/>
          <w:szCs w:val="24"/>
        </w:rPr>
        <w:t xml:space="preserve">, access to leisure and play, treated with respect and having </w:t>
      </w:r>
      <w:r w:rsidR="00F67749">
        <w:rPr>
          <w:sz w:val="24"/>
          <w:szCs w:val="24"/>
        </w:rPr>
        <w:lastRenderedPageBreak/>
        <w:t>their voice heard, safe home environment and support of their well being</w:t>
      </w:r>
      <w:r w:rsidR="00710932">
        <w:rPr>
          <w:sz w:val="24"/>
          <w:szCs w:val="24"/>
        </w:rPr>
        <w:t xml:space="preserve"> and to not be disadvantaged by inequalities.</w:t>
      </w:r>
    </w:p>
    <w:p w14:paraId="01A35AF4" w14:textId="1CE7FD89" w:rsidR="00710932" w:rsidRDefault="00710932" w:rsidP="001C1B0E">
      <w:pPr>
        <w:rPr>
          <w:sz w:val="24"/>
          <w:szCs w:val="24"/>
        </w:rPr>
      </w:pPr>
      <w:r>
        <w:rPr>
          <w:sz w:val="24"/>
          <w:szCs w:val="24"/>
        </w:rPr>
        <w:t xml:space="preserve">Presently in Wales </w:t>
      </w:r>
      <w:r w:rsidR="00032F57">
        <w:rPr>
          <w:sz w:val="24"/>
          <w:szCs w:val="24"/>
        </w:rPr>
        <w:t xml:space="preserve">there is support available for vulnerable and disabled children under the social services </w:t>
      </w:r>
      <w:r w:rsidR="009156FC">
        <w:rPr>
          <w:sz w:val="24"/>
          <w:szCs w:val="24"/>
        </w:rPr>
        <w:t>well being act of 2014, which aims to support and improve the care for both children and parents</w:t>
      </w:r>
      <w:r w:rsidR="00CC50C6">
        <w:rPr>
          <w:sz w:val="24"/>
          <w:szCs w:val="24"/>
        </w:rPr>
        <w:t xml:space="preserve"> (Mendoza, 2014), organisations such as Action for children</w:t>
      </w:r>
      <w:r w:rsidR="00DA4932">
        <w:rPr>
          <w:sz w:val="24"/>
          <w:szCs w:val="24"/>
        </w:rPr>
        <w:t xml:space="preserve">, who provide essential relief with mental and physical </w:t>
      </w:r>
      <w:r w:rsidR="001B0B7D">
        <w:rPr>
          <w:sz w:val="24"/>
          <w:szCs w:val="24"/>
        </w:rPr>
        <w:t xml:space="preserve">support (Action </w:t>
      </w:r>
      <w:r w:rsidR="00480546">
        <w:rPr>
          <w:sz w:val="24"/>
          <w:szCs w:val="24"/>
        </w:rPr>
        <w:t>for</w:t>
      </w:r>
      <w:r w:rsidR="001B0B7D">
        <w:rPr>
          <w:sz w:val="24"/>
          <w:szCs w:val="24"/>
        </w:rPr>
        <w:t xml:space="preserve"> Children, 2022). There are also charities</w:t>
      </w:r>
      <w:r w:rsidR="001D7F87">
        <w:rPr>
          <w:sz w:val="24"/>
          <w:szCs w:val="24"/>
        </w:rPr>
        <w:t xml:space="preserve"> for example</w:t>
      </w:r>
      <w:r w:rsidR="001B0B7D">
        <w:rPr>
          <w:sz w:val="24"/>
          <w:szCs w:val="24"/>
        </w:rPr>
        <w:t xml:space="preserve"> the National Autistic Society</w:t>
      </w:r>
      <w:r w:rsidR="0018498C">
        <w:rPr>
          <w:sz w:val="24"/>
          <w:szCs w:val="24"/>
        </w:rPr>
        <w:t xml:space="preserve">, who ensure families have everything in place for the </w:t>
      </w:r>
      <w:r w:rsidR="00480546">
        <w:rPr>
          <w:sz w:val="24"/>
          <w:szCs w:val="24"/>
        </w:rPr>
        <w:t>child’s</w:t>
      </w:r>
      <w:r w:rsidR="0018498C">
        <w:rPr>
          <w:sz w:val="24"/>
          <w:szCs w:val="24"/>
        </w:rPr>
        <w:t xml:space="preserve"> welfare and carer needs </w:t>
      </w:r>
      <w:r w:rsidR="00A51442">
        <w:rPr>
          <w:sz w:val="24"/>
          <w:szCs w:val="24"/>
        </w:rPr>
        <w:t>(NAS, 2022).</w:t>
      </w:r>
      <w:r w:rsidR="001B087C">
        <w:rPr>
          <w:sz w:val="24"/>
          <w:szCs w:val="24"/>
        </w:rPr>
        <w:t xml:space="preserve"> While government assistance promotes support with finances, childcare, mobility aid, home adaptions and </w:t>
      </w:r>
      <w:r w:rsidR="00480546">
        <w:rPr>
          <w:sz w:val="24"/>
          <w:szCs w:val="24"/>
        </w:rPr>
        <w:t xml:space="preserve">education (GOV, 2019). </w:t>
      </w:r>
    </w:p>
    <w:p w14:paraId="0AF641EC" w14:textId="74322012" w:rsidR="00FC70AB" w:rsidRDefault="00FC70AB" w:rsidP="001C1B0E">
      <w:pPr>
        <w:rPr>
          <w:sz w:val="24"/>
          <w:szCs w:val="24"/>
        </w:rPr>
      </w:pPr>
      <w:r>
        <w:rPr>
          <w:sz w:val="24"/>
          <w:szCs w:val="24"/>
        </w:rPr>
        <w:t xml:space="preserve">Alongside disability support, </w:t>
      </w:r>
      <w:r w:rsidR="00FE5673">
        <w:rPr>
          <w:sz w:val="24"/>
          <w:szCs w:val="24"/>
        </w:rPr>
        <w:t xml:space="preserve">in present times a </w:t>
      </w:r>
      <w:r w:rsidR="00212F78">
        <w:rPr>
          <w:sz w:val="24"/>
          <w:szCs w:val="24"/>
        </w:rPr>
        <w:t>child’s</w:t>
      </w:r>
      <w:r w:rsidR="00FE5673">
        <w:rPr>
          <w:sz w:val="24"/>
          <w:szCs w:val="24"/>
        </w:rPr>
        <w:t xml:space="preserve"> healthcare starts preconception with advice and support for addictions, </w:t>
      </w:r>
      <w:r w:rsidR="00212F78">
        <w:rPr>
          <w:sz w:val="24"/>
          <w:szCs w:val="24"/>
        </w:rPr>
        <w:t>prescriptions</w:t>
      </w:r>
      <w:r w:rsidR="00A4578C">
        <w:rPr>
          <w:sz w:val="24"/>
          <w:szCs w:val="24"/>
        </w:rPr>
        <w:t xml:space="preserve"> such as folic acid and </w:t>
      </w:r>
      <w:r w:rsidR="00572BA4">
        <w:rPr>
          <w:sz w:val="24"/>
          <w:szCs w:val="24"/>
        </w:rPr>
        <w:t xml:space="preserve">treatments for conditions such as </w:t>
      </w:r>
      <w:r w:rsidR="00212F78">
        <w:rPr>
          <w:sz w:val="24"/>
          <w:szCs w:val="24"/>
        </w:rPr>
        <w:t>polycystic</w:t>
      </w:r>
      <w:r w:rsidR="00572BA4">
        <w:rPr>
          <w:sz w:val="24"/>
          <w:szCs w:val="24"/>
        </w:rPr>
        <w:t xml:space="preserve"> ovary syndrome </w:t>
      </w:r>
      <w:r w:rsidR="000750E5" w:rsidRPr="000750E5">
        <w:rPr>
          <w:sz w:val="24"/>
          <w:szCs w:val="24"/>
        </w:rPr>
        <w:t>(Balen and Dugdale, 2019)</w:t>
      </w:r>
      <w:r w:rsidR="007446D5">
        <w:rPr>
          <w:sz w:val="24"/>
          <w:szCs w:val="24"/>
        </w:rPr>
        <w:t xml:space="preserve">, something that </w:t>
      </w:r>
      <w:r w:rsidR="00387DA7">
        <w:rPr>
          <w:sz w:val="24"/>
          <w:szCs w:val="24"/>
        </w:rPr>
        <w:t xml:space="preserve">Knott (2020) explains didn’t exist or was very premature during Victorian times. During pregnancy </w:t>
      </w:r>
      <w:r w:rsidR="00F77683">
        <w:rPr>
          <w:sz w:val="24"/>
          <w:szCs w:val="24"/>
        </w:rPr>
        <w:t xml:space="preserve">there is consistent healthcare given, which is accessible to everyone, with healthcare screening, </w:t>
      </w:r>
      <w:r w:rsidR="00A97D3A">
        <w:rPr>
          <w:sz w:val="24"/>
          <w:szCs w:val="24"/>
        </w:rPr>
        <w:t xml:space="preserve">midwife appointments and advice, this is accessible through the National Health Service and </w:t>
      </w:r>
      <w:r w:rsidR="009F0DCA">
        <w:rPr>
          <w:sz w:val="24"/>
          <w:szCs w:val="24"/>
        </w:rPr>
        <w:t xml:space="preserve">enables the right of all children to have a flying start in life (NHS, 2020). </w:t>
      </w:r>
      <w:r w:rsidR="008F20A0">
        <w:rPr>
          <w:sz w:val="24"/>
          <w:szCs w:val="24"/>
        </w:rPr>
        <w:t xml:space="preserve">This care then leads on to postnatal care with routine health visitor checks, immunisations, </w:t>
      </w:r>
      <w:r w:rsidR="00907BC9">
        <w:rPr>
          <w:sz w:val="24"/>
          <w:szCs w:val="24"/>
        </w:rPr>
        <w:t xml:space="preserve">support for mum and dad, also social service intervention when needed, this postnatal care is carried out typically for 8 weeks after birth, unless ongoing healthcare intervention is needed (NICE, </w:t>
      </w:r>
      <w:r w:rsidR="00212F78">
        <w:rPr>
          <w:sz w:val="24"/>
          <w:szCs w:val="24"/>
        </w:rPr>
        <w:t xml:space="preserve">2021). </w:t>
      </w:r>
    </w:p>
    <w:p w14:paraId="420544E1" w14:textId="4953FD44" w:rsidR="00703C96" w:rsidRDefault="00BC23D7" w:rsidP="001C1B0E">
      <w:pPr>
        <w:rPr>
          <w:sz w:val="24"/>
          <w:szCs w:val="24"/>
        </w:rPr>
      </w:pPr>
      <w:r>
        <w:rPr>
          <w:sz w:val="24"/>
          <w:szCs w:val="24"/>
        </w:rPr>
        <w:t>Recommendations</w:t>
      </w:r>
      <w:r w:rsidR="00EC6E13">
        <w:rPr>
          <w:sz w:val="24"/>
          <w:szCs w:val="24"/>
        </w:rPr>
        <w:t xml:space="preserve"> </w:t>
      </w:r>
      <w:r w:rsidR="009803ED">
        <w:rPr>
          <w:sz w:val="24"/>
          <w:szCs w:val="24"/>
        </w:rPr>
        <w:t>to further improve the lives of children with disabilities in Wales</w:t>
      </w:r>
      <w:r w:rsidR="00586453">
        <w:rPr>
          <w:sz w:val="24"/>
          <w:szCs w:val="24"/>
        </w:rPr>
        <w:t xml:space="preserve"> are promoted by The improving lives programme 2017, which GOV Wales (2022) published that </w:t>
      </w:r>
      <w:r w:rsidR="004D4D71">
        <w:rPr>
          <w:sz w:val="24"/>
          <w:szCs w:val="24"/>
        </w:rPr>
        <w:t xml:space="preserve">it focuses on enhancing awareness and support for parents who also have learning disabilities </w:t>
      </w:r>
      <w:r w:rsidR="00C8718B">
        <w:rPr>
          <w:sz w:val="24"/>
          <w:szCs w:val="24"/>
        </w:rPr>
        <w:t xml:space="preserve">to reduce inequalities and ACE’s, making sure families in social housing are located close to their support networks </w:t>
      </w:r>
      <w:r w:rsidR="009F287C">
        <w:rPr>
          <w:sz w:val="24"/>
          <w:szCs w:val="24"/>
        </w:rPr>
        <w:t xml:space="preserve">such as friends and family, increasing specialist </w:t>
      </w:r>
      <w:r>
        <w:rPr>
          <w:sz w:val="24"/>
          <w:szCs w:val="24"/>
        </w:rPr>
        <w:t>services</w:t>
      </w:r>
      <w:r w:rsidR="009F287C">
        <w:rPr>
          <w:sz w:val="24"/>
          <w:szCs w:val="24"/>
        </w:rPr>
        <w:t xml:space="preserve"> and making sure they are reaching their full potential in education</w:t>
      </w:r>
      <w:r w:rsidR="007A02ED">
        <w:rPr>
          <w:sz w:val="24"/>
          <w:szCs w:val="24"/>
        </w:rPr>
        <w:t xml:space="preserve">. Social Care Wales advocates that </w:t>
      </w:r>
      <w:r w:rsidR="00A4369C">
        <w:rPr>
          <w:sz w:val="24"/>
          <w:szCs w:val="24"/>
        </w:rPr>
        <w:t xml:space="preserve">a focus on the care of disabled children whether they are at home or in residential care is a necessary area for improvement </w:t>
      </w:r>
      <w:r w:rsidR="004E0638">
        <w:rPr>
          <w:sz w:val="24"/>
          <w:szCs w:val="24"/>
        </w:rPr>
        <w:t xml:space="preserve">and they have all the physical adaptions needed in place along with mental support (Social Care Wales, </w:t>
      </w:r>
      <w:r w:rsidR="00872B14">
        <w:rPr>
          <w:sz w:val="24"/>
          <w:szCs w:val="24"/>
        </w:rPr>
        <w:t xml:space="preserve">2022). While the NHS maintains the biggest recommendation is financial </w:t>
      </w:r>
      <w:r w:rsidR="00256AE4">
        <w:rPr>
          <w:sz w:val="24"/>
          <w:szCs w:val="24"/>
        </w:rPr>
        <w:t>support for these facilities, they explain financial increase is critical to healthcare training</w:t>
      </w:r>
      <w:r w:rsidR="00A27D08">
        <w:rPr>
          <w:sz w:val="24"/>
          <w:szCs w:val="24"/>
        </w:rPr>
        <w:t>, for the professionals to recognise the need for early intervention and referrals to the specialists</w:t>
      </w:r>
      <w:r w:rsidR="001B4A39">
        <w:rPr>
          <w:sz w:val="24"/>
          <w:szCs w:val="24"/>
        </w:rPr>
        <w:t>, and to ensure there are facilities not just for physical health but also the mental health issues many children with learning disabilities face (</w:t>
      </w:r>
      <w:r>
        <w:rPr>
          <w:sz w:val="24"/>
          <w:szCs w:val="24"/>
        </w:rPr>
        <w:t xml:space="preserve">Welsh Assembly, 2011). </w:t>
      </w:r>
    </w:p>
    <w:p w14:paraId="3627F711" w14:textId="68F3F3F1" w:rsidR="008C1B05" w:rsidRDefault="008C1B05" w:rsidP="001C1B0E">
      <w:pPr>
        <w:rPr>
          <w:sz w:val="24"/>
          <w:szCs w:val="24"/>
        </w:rPr>
      </w:pPr>
      <w:r>
        <w:rPr>
          <w:sz w:val="24"/>
          <w:szCs w:val="24"/>
        </w:rPr>
        <w:t xml:space="preserve">To conclude, it is evident there has been adequate improvements in the health and wellbeing of disabled children from the 1800’s to present times, </w:t>
      </w:r>
      <w:r w:rsidR="00F62347">
        <w:rPr>
          <w:sz w:val="24"/>
          <w:szCs w:val="24"/>
        </w:rPr>
        <w:t>and how society treats and views these individuals</w:t>
      </w:r>
      <w:r w:rsidR="004F64FA">
        <w:rPr>
          <w:sz w:val="24"/>
          <w:szCs w:val="24"/>
        </w:rPr>
        <w:t xml:space="preserve">, with GOV (2022) reporting a large increase in the awareness and needs </w:t>
      </w:r>
      <w:r w:rsidR="00893ABB">
        <w:rPr>
          <w:sz w:val="24"/>
          <w:szCs w:val="24"/>
        </w:rPr>
        <w:t xml:space="preserve">for </w:t>
      </w:r>
      <w:r w:rsidR="00DB372B">
        <w:rPr>
          <w:sz w:val="24"/>
          <w:szCs w:val="24"/>
        </w:rPr>
        <w:t>children’s</w:t>
      </w:r>
      <w:r w:rsidR="00893ABB">
        <w:rPr>
          <w:sz w:val="24"/>
          <w:szCs w:val="24"/>
        </w:rPr>
        <w:t xml:space="preserve"> mental health, </w:t>
      </w:r>
      <w:r w:rsidR="00DB372B">
        <w:rPr>
          <w:sz w:val="24"/>
          <w:szCs w:val="24"/>
        </w:rPr>
        <w:t>particularly</w:t>
      </w:r>
      <w:r w:rsidR="00893ABB">
        <w:rPr>
          <w:sz w:val="24"/>
          <w:szCs w:val="24"/>
        </w:rPr>
        <w:t xml:space="preserve"> those with extra learning needs, although they recognise there is still research and </w:t>
      </w:r>
      <w:r w:rsidR="00592663">
        <w:rPr>
          <w:sz w:val="24"/>
          <w:szCs w:val="24"/>
        </w:rPr>
        <w:t>further resources need to improve inequalities in the United Kingdom</w:t>
      </w:r>
      <w:r w:rsidR="00745414">
        <w:rPr>
          <w:sz w:val="24"/>
          <w:szCs w:val="24"/>
        </w:rPr>
        <w:t xml:space="preserve">. Dallas and Jones (2020) express concerns that </w:t>
      </w:r>
      <w:r w:rsidR="003F0D12">
        <w:rPr>
          <w:sz w:val="24"/>
          <w:szCs w:val="24"/>
        </w:rPr>
        <w:t xml:space="preserve">many </w:t>
      </w:r>
      <w:r w:rsidR="00DB372B">
        <w:rPr>
          <w:sz w:val="24"/>
          <w:szCs w:val="24"/>
        </w:rPr>
        <w:t>charities</w:t>
      </w:r>
      <w:r w:rsidR="003F0D12">
        <w:rPr>
          <w:sz w:val="24"/>
          <w:szCs w:val="24"/>
        </w:rPr>
        <w:t xml:space="preserve"> and organisations have been impacted with financial ad resource loss, due to the </w:t>
      </w:r>
      <w:r w:rsidR="00833F08">
        <w:rPr>
          <w:sz w:val="24"/>
          <w:szCs w:val="24"/>
        </w:rPr>
        <w:t xml:space="preserve">Covid 19 </w:t>
      </w:r>
      <w:r w:rsidR="00833F08">
        <w:rPr>
          <w:sz w:val="24"/>
          <w:szCs w:val="24"/>
        </w:rPr>
        <w:lastRenderedPageBreak/>
        <w:t xml:space="preserve">pandemic, though Shankland (2020) remains positive </w:t>
      </w:r>
      <w:r w:rsidR="00DB372B">
        <w:rPr>
          <w:sz w:val="24"/>
          <w:szCs w:val="24"/>
        </w:rPr>
        <w:t xml:space="preserve">that due to the awareness today in society of these children’s needs, their welfare will only improve. </w:t>
      </w:r>
    </w:p>
    <w:p w14:paraId="30C451F0" w14:textId="3C0AB7AA" w:rsidR="006524B0" w:rsidRDefault="006524B0" w:rsidP="006524B0">
      <w:pPr>
        <w:pStyle w:val="NormalWeb"/>
        <w:spacing w:before="0" w:beforeAutospacing="0" w:after="240" w:afterAutospacing="0" w:line="360" w:lineRule="auto"/>
      </w:pPr>
      <w:r>
        <w:t xml:space="preserve">Action for Children (2022). </w:t>
      </w:r>
      <w:r>
        <w:rPr>
          <w:i/>
          <w:iCs/>
        </w:rPr>
        <w:t>Support @actnforchildren</w:t>
      </w:r>
      <w:r w:rsidR="00BB690B">
        <w:t xml:space="preserve"> </w:t>
      </w:r>
      <w:r>
        <w:t xml:space="preserve">Available at: </w:t>
      </w:r>
      <w:r w:rsidR="00BB690B" w:rsidRPr="00BB690B">
        <w:t>https://www.actionforchildren.org.uk/</w:t>
      </w:r>
      <w:r>
        <w:t>.</w:t>
      </w:r>
      <w:r w:rsidR="00BB690B">
        <w:t xml:space="preserve"> (Accessed on 13 Dec, 2022).</w:t>
      </w:r>
    </w:p>
    <w:p w14:paraId="76882107" w14:textId="77777777" w:rsidR="006524B0" w:rsidRDefault="006524B0" w:rsidP="006524B0">
      <w:pPr>
        <w:pStyle w:val="NormalWeb"/>
        <w:spacing w:before="0" w:beforeAutospacing="0" w:after="240" w:afterAutospacing="0" w:line="360" w:lineRule="auto"/>
      </w:pPr>
      <w:r>
        <w:t xml:space="preserve">Balen, A.H. and Dugdale, G. (2019). </w:t>
      </w:r>
      <w:r>
        <w:rPr>
          <w:i/>
          <w:iCs/>
        </w:rPr>
        <w:t>The fertility book : your definitive guide to achieving a healthy pregnancy</w:t>
      </w:r>
      <w:r>
        <w:t>. London: Vermilion.</w:t>
      </w:r>
    </w:p>
    <w:p w14:paraId="5F67F643" w14:textId="579153FC" w:rsidR="006524B0" w:rsidRDefault="006524B0" w:rsidP="006524B0">
      <w:pPr>
        <w:pStyle w:val="NormalWeb"/>
        <w:spacing w:before="0" w:beforeAutospacing="0" w:after="240" w:afterAutospacing="0" w:line="360" w:lineRule="auto"/>
      </w:pPr>
      <w:r>
        <w:t xml:space="preserve">Carter, P., James, J. and King, S. (2019). </w:t>
      </w:r>
      <w:r w:rsidRPr="00260CA7">
        <w:rPr>
          <w:i/>
          <w:iCs/>
        </w:rPr>
        <w:t>Punishing paupers? Control, discipline and mental health in the Southwell workhouse (1836–71).</w:t>
      </w:r>
      <w:r>
        <w:t xml:space="preserve"> </w:t>
      </w:r>
      <w:r>
        <w:rPr>
          <w:i/>
          <w:iCs/>
        </w:rPr>
        <w:t>Rural History</w:t>
      </w:r>
      <w:r>
        <w:t>,</w:t>
      </w:r>
      <w:r w:rsidR="00260CA7">
        <w:t xml:space="preserve"> volume </w:t>
      </w:r>
      <w:r>
        <w:t>30</w:t>
      </w:r>
      <w:r w:rsidR="00260CA7">
        <w:t xml:space="preserve">, issue </w:t>
      </w:r>
      <w:r>
        <w:t xml:space="preserve">2, pp.161–180. </w:t>
      </w:r>
    </w:p>
    <w:p w14:paraId="325F57C2" w14:textId="3541939A" w:rsidR="006524B0" w:rsidRDefault="006524B0" w:rsidP="006524B0">
      <w:pPr>
        <w:pStyle w:val="NormalWeb"/>
        <w:spacing w:before="0" w:beforeAutospacing="0" w:after="240" w:afterAutospacing="0" w:line="360" w:lineRule="auto"/>
      </w:pPr>
      <w:r>
        <w:t>Cruickshank, M. (1976).</w:t>
      </w:r>
      <w:r w:rsidR="00260CA7">
        <w:t xml:space="preserve"> </w:t>
      </w:r>
      <w:r w:rsidR="00B43DDA" w:rsidRPr="00260CA7">
        <w:rPr>
          <w:i/>
          <w:iCs/>
        </w:rPr>
        <w:t>Mary Dendy, pioneer of schools for the feeble mi</w:t>
      </w:r>
      <w:r w:rsidR="00260CA7" w:rsidRPr="00260CA7">
        <w:rPr>
          <w:i/>
          <w:iCs/>
        </w:rPr>
        <w:t>nded</w:t>
      </w:r>
      <w:r>
        <w:t xml:space="preserve">. </w:t>
      </w:r>
      <w:r>
        <w:rPr>
          <w:i/>
          <w:iCs/>
        </w:rPr>
        <w:t>Journal of Educational Administration and History</w:t>
      </w:r>
      <w:r>
        <w:t xml:space="preserve">, </w:t>
      </w:r>
      <w:r w:rsidR="00B43DDA">
        <w:t xml:space="preserve">volume </w:t>
      </w:r>
      <w:r>
        <w:t>8</w:t>
      </w:r>
      <w:r w:rsidR="00B43DDA">
        <w:t xml:space="preserve">, issue </w:t>
      </w:r>
      <w:r>
        <w:t xml:space="preserve">1, pp.26–29. </w:t>
      </w:r>
    </w:p>
    <w:p w14:paraId="0EB68B24" w14:textId="38FDCE2E" w:rsidR="006524B0" w:rsidRDefault="006524B0" w:rsidP="006524B0">
      <w:pPr>
        <w:pStyle w:val="NormalWeb"/>
        <w:spacing w:before="0" w:beforeAutospacing="0" w:after="240" w:afterAutospacing="0" w:line="360" w:lineRule="auto"/>
      </w:pPr>
      <w:r>
        <w:t xml:space="preserve">Davillas, A. and Jones, A.M. (2020). </w:t>
      </w:r>
      <w:r w:rsidRPr="00B43DDA">
        <w:rPr>
          <w:i/>
          <w:iCs/>
        </w:rPr>
        <w:t>The COVID-19 Pandemic and its Impact on Inequality of Opportunity in Psychological Distress in the UK.</w:t>
      </w:r>
      <w:r>
        <w:t xml:space="preserve"> </w:t>
      </w:r>
      <w:r>
        <w:rPr>
          <w:i/>
          <w:iCs/>
        </w:rPr>
        <w:t>SSRN Electronic Journal</w:t>
      </w:r>
      <w:r>
        <w:t xml:space="preserve">, </w:t>
      </w:r>
      <w:r w:rsidR="00B43DDA">
        <w:t>volume</w:t>
      </w:r>
      <w:r>
        <w:t>12</w:t>
      </w:r>
      <w:r w:rsidR="00B43DDA">
        <w:t xml:space="preserve">, issue </w:t>
      </w:r>
      <w:r>
        <w:t xml:space="preserve">6. </w:t>
      </w:r>
    </w:p>
    <w:p w14:paraId="0C049981" w14:textId="73601C8C" w:rsidR="006524B0" w:rsidRDefault="006524B0" w:rsidP="006524B0">
      <w:pPr>
        <w:pStyle w:val="NormalWeb"/>
        <w:spacing w:before="0" w:beforeAutospacing="0" w:after="240" w:afterAutospacing="0" w:line="360" w:lineRule="auto"/>
      </w:pPr>
      <w:r>
        <w:t xml:space="preserve">Digby, A. and Wright, D. (2002). </w:t>
      </w:r>
      <w:r>
        <w:rPr>
          <w:i/>
          <w:iCs/>
        </w:rPr>
        <w:t>From Idiocy to Mental Deficiency</w:t>
      </w:r>
      <w:r>
        <w:t>. Routledge</w:t>
      </w:r>
      <w:r w:rsidR="00B43DDA">
        <w:t>: London.</w:t>
      </w:r>
    </w:p>
    <w:p w14:paraId="2781B0E6" w14:textId="14850FCD" w:rsidR="006524B0" w:rsidRDefault="006524B0" w:rsidP="006524B0">
      <w:pPr>
        <w:pStyle w:val="NormalWeb"/>
        <w:spacing w:before="0" w:beforeAutospacing="0" w:after="240" w:afterAutospacing="0" w:line="360" w:lineRule="auto"/>
      </w:pPr>
      <w:r>
        <w:t xml:space="preserve">Gilfillan, R. (2014). </w:t>
      </w:r>
      <w:r>
        <w:rPr>
          <w:i/>
          <w:iCs/>
        </w:rPr>
        <w:t>Crime and Punishment in Victorian London</w:t>
      </w:r>
      <w:r>
        <w:t>. Pen and Sword</w:t>
      </w:r>
      <w:r w:rsidR="00B43DDA">
        <w:t>: Barnsley.</w:t>
      </w:r>
    </w:p>
    <w:p w14:paraId="356C2286" w14:textId="6533CC5E" w:rsidR="006524B0" w:rsidRDefault="006524B0" w:rsidP="006524B0">
      <w:pPr>
        <w:pStyle w:val="NormalWeb"/>
        <w:spacing w:before="0" w:beforeAutospacing="0" w:after="240" w:afterAutospacing="0" w:line="360" w:lineRule="auto"/>
      </w:pPr>
      <w:r>
        <w:t xml:space="preserve">Goodman, J. (2005). </w:t>
      </w:r>
      <w:r w:rsidRPr="00CB3694">
        <w:rPr>
          <w:i/>
          <w:iCs/>
        </w:rPr>
        <w:t>Pedagogy and sex: Mary Dendy (1855–1933), feeble‐minded girls and the Sandlebridge schools, 1902–33</w:t>
      </w:r>
      <w:r>
        <w:t xml:space="preserve">. </w:t>
      </w:r>
      <w:r>
        <w:rPr>
          <w:i/>
          <w:iCs/>
        </w:rPr>
        <w:t>History of Education</w:t>
      </w:r>
      <w:r>
        <w:t xml:space="preserve">, </w:t>
      </w:r>
      <w:r w:rsidR="00CB3694">
        <w:t xml:space="preserve">volume </w:t>
      </w:r>
      <w:r>
        <w:t>34</w:t>
      </w:r>
      <w:r w:rsidR="00CB3694">
        <w:t xml:space="preserve">, issue </w:t>
      </w:r>
      <w:r>
        <w:t xml:space="preserve">2, pp.171–187. </w:t>
      </w:r>
    </w:p>
    <w:p w14:paraId="107546A6" w14:textId="2E437554" w:rsidR="006524B0" w:rsidRDefault="006524B0" w:rsidP="006524B0">
      <w:pPr>
        <w:pStyle w:val="NormalWeb"/>
        <w:spacing w:before="0" w:beforeAutospacing="0" w:after="240" w:afterAutospacing="0" w:line="360" w:lineRule="auto"/>
      </w:pPr>
      <w:r>
        <w:t xml:space="preserve">GOV (2022). </w:t>
      </w:r>
      <w:r>
        <w:rPr>
          <w:i/>
          <w:iCs/>
        </w:rPr>
        <w:t>Improvements seen in children and young people’s wellbeing</w:t>
      </w:r>
      <w:r>
        <w:t xml:space="preserve">. Available at: https://www.gov.uk/government/news/improvements-seen-in-children-and-young-peoples-wellbeing </w:t>
      </w:r>
      <w:r w:rsidR="00CB3694">
        <w:t>(</w:t>
      </w:r>
      <w:r>
        <w:t>Accessed 14 Dec. 2022</w:t>
      </w:r>
      <w:r w:rsidR="00CB3694">
        <w:t>)</w:t>
      </w:r>
      <w:r>
        <w:t>.</w:t>
      </w:r>
    </w:p>
    <w:p w14:paraId="7E240B38" w14:textId="4E4671D6" w:rsidR="006524B0" w:rsidRDefault="006524B0" w:rsidP="006524B0">
      <w:pPr>
        <w:pStyle w:val="NormalWeb"/>
        <w:spacing w:before="0" w:beforeAutospacing="0" w:after="240" w:afterAutospacing="0" w:line="360" w:lineRule="auto"/>
      </w:pPr>
      <w:r>
        <w:t xml:space="preserve">GOV UK (2019). </w:t>
      </w:r>
      <w:r>
        <w:rPr>
          <w:i/>
          <w:iCs/>
        </w:rPr>
        <w:t>Carers and disability benefits - GOV.UK</w:t>
      </w:r>
      <w:r>
        <w:t xml:space="preserve">. Available at: https://www.gov.uk/browse/benefits/disability </w:t>
      </w:r>
      <w:r w:rsidR="00CB3694">
        <w:t>(</w:t>
      </w:r>
      <w:r>
        <w:t>Accessed 14 Dec. 2022</w:t>
      </w:r>
      <w:r w:rsidR="00CB3694">
        <w:t>)</w:t>
      </w:r>
      <w:r>
        <w:t>.</w:t>
      </w:r>
    </w:p>
    <w:p w14:paraId="47CF5708" w14:textId="44DBB56B" w:rsidR="006524B0" w:rsidRDefault="006524B0" w:rsidP="006524B0">
      <w:pPr>
        <w:pStyle w:val="NormalWeb"/>
        <w:spacing w:before="0" w:beforeAutospacing="0" w:after="240" w:afterAutospacing="0" w:line="360" w:lineRule="auto"/>
      </w:pPr>
      <w:r>
        <w:t xml:space="preserve">GOV Wales (2022). </w:t>
      </w:r>
      <w:r>
        <w:rPr>
          <w:i/>
          <w:iCs/>
        </w:rPr>
        <w:t>New programme to improve the lives of people with a learning disability in Wales</w:t>
      </w:r>
      <w:r>
        <w:t xml:space="preserve">. Available at: https://www.gov.wales/new-programme-improve-lives-people-learning-disability-wales-0 </w:t>
      </w:r>
      <w:r w:rsidR="00CB3694">
        <w:t>(</w:t>
      </w:r>
      <w:r>
        <w:t>Accessed 15 Dec. 2022</w:t>
      </w:r>
      <w:r w:rsidR="00CB3694">
        <w:t>)</w:t>
      </w:r>
      <w:r>
        <w:t>.</w:t>
      </w:r>
    </w:p>
    <w:p w14:paraId="784AB920" w14:textId="5FAE4265" w:rsidR="006524B0" w:rsidRDefault="006524B0" w:rsidP="006524B0">
      <w:pPr>
        <w:pStyle w:val="NormalWeb"/>
        <w:spacing w:before="0" w:beforeAutospacing="0" w:after="240" w:afterAutospacing="0" w:line="360" w:lineRule="auto"/>
      </w:pPr>
      <w:r>
        <w:lastRenderedPageBreak/>
        <w:t xml:space="preserve">GOVwales (2022). </w:t>
      </w:r>
      <w:r>
        <w:rPr>
          <w:i/>
          <w:iCs/>
        </w:rPr>
        <w:t>Children’s rights in Wales</w:t>
      </w:r>
      <w:r>
        <w:t xml:space="preserve">. Available at: https://www.gov.wales/childrens-rights-in-wales </w:t>
      </w:r>
      <w:r w:rsidR="00CB3694">
        <w:t>(</w:t>
      </w:r>
      <w:r>
        <w:t>Accessed 15 Dec. 2022</w:t>
      </w:r>
      <w:r w:rsidR="00CB3694">
        <w:t>)</w:t>
      </w:r>
      <w:r>
        <w:t>.</w:t>
      </w:r>
    </w:p>
    <w:p w14:paraId="65ACFE0E" w14:textId="087D484F" w:rsidR="006524B0" w:rsidRDefault="006524B0" w:rsidP="006524B0">
      <w:pPr>
        <w:pStyle w:val="NormalWeb"/>
        <w:spacing w:before="0" w:beforeAutospacing="0" w:after="240" w:afterAutospacing="0" w:line="360" w:lineRule="auto"/>
      </w:pPr>
      <w:r>
        <w:t xml:space="preserve">Higginbotham, P. (2012). </w:t>
      </w:r>
      <w:r>
        <w:rPr>
          <w:i/>
          <w:iCs/>
        </w:rPr>
        <w:t>Voices from the Workhouse</w:t>
      </w:r>
      <w:r>
        <w:t>. The History Press</w:t>
      </w:r>
      <w:r w:rsidR="00CB3694">
        <w:t xml:space="preserve">: Cheltenham. </w:t>
      </w:r>
    </w:p>
    <w:p w14:paraId="389B3BA0" w14:textId="33374B1F" w:rsidR="006524B0" w:rsidRDefault="006524B0" w:rsidP="006524B0">
      <w:pPr>
        <w:pStyle w:val="NormalWeb"/>
        <w:spacing w:before="0" w:beforeAutospacing="0" w:after="240" w:afterAutospacing="0" w:line="360" w:lineRule="auto"/>
      </w:pPr>
      <w:r>
        <w:t xml:space="preserve">Historic England (2012). </w:t>
      </w:r>
      <w:r>
        <w:rPr>
          <w:i/>
          <w:iCs/>
        </w:rPr>
        <w:t>The Daily Life of Disabled People in Victorian England - Community, School and Charity | Historic England</w:t>
      </w:r>
      <w:r w:rsidR="00AF2917">
        <w:t xml:space="preserve"> </w:t>
      </w:r>
      <w:r>
        <w:t xml:space="preserve">Available at: https://historicengland.org.uk/research/inclusive-heritage/disability-history/1832-1914/the-daily-life-of-disabled-people/ </w:t>
      </w:r>
      <w:r w:rsidR="00AF2917">
        <w:t>(</w:t>
      </w:r>
      <w:r>
        <w:t>Accessed 15 Dec. 2022</w:t>
      </w:r>
      <w:r w:rsidR="00AF2917">
        <w:t>)</w:t>
      </w:r>
      <w:r>
        <w:t>.</w:t>
      </w:r>
    </w:p>
    <w:p w14:paraId="364B291D" w14:textId="404ED4D3" w:rsidR="006524B0" w:rsidRDefault="006524B0" w:rsidP="006524B0">
      <w:pPr>
        <w:pStyle w:val="NormalWeb"/>
        <w:spacing w:before="0" w:beforeAutospacing="0" w:after="240" w:afterAutospacing="0" w:line="360" w:lineRule="auto"/>
      </w:pPr>
      <w:r>
        <w:t xml:space="preserve">Honeyman, K. (2016). </w:t>
      </w:r>
      <w:r>
        <w:rPr>
          <w:i/>
          <w:iCs/>
        </w:rPr>
        <w:t>Childhood and Child Labour in Industrial England</w:t>
      </w:r>
      <w:r>
        <w:t>. Routledge</w:t>
      </w:r>
      <w:r w:rsidR="008D79CC">
        <w:t xml:space="preserve">: </w:t>
      </w:r>
      <w:r w:rsidR="00AF2917">
        <w:t>London.</w:t>
      </w:r>
    </w:p>
    <w:p w14:paraId="7C751C04" w14:textId="5204AE62" w:rsidR="006524B0" w:rsidRDefault="006524B0" w:rsidP="006524B0">
      <w:pPr>
        <w:pStyle w:val="NormalWeb"/>
        <w:spacing w:before="0" w:beforeAutospacing="0" w:after="240" w:afterAutospacing="0" w:line="360" w:lineRule="auto"/>
      </w:pPr>
      <w:r>
        <w:t xml:space="preserve">Hutchinson, L. (2016). </w:t>
      </w:r>
      <w:r>
        <w:rPr>
          <w:i/>
          <w:iCs/>
        </w:rPr>
        <w:t>The Workhouse Children</w:t>
      </w:r>
      <w:r>
        <w:t>. Head of Zeus Ltd</w:t>
      </w:r>
      <w:r w:rsidR="008D79CC">
        <w:t xml:space="preserve">: Finsbury. </w:t>
      </w:r>
    </w:p>
    <w:p w14:paraId="33C0C788" w14:textId="2423A932" w:rsidR="006524B0" w:rsidRDefault="006524B0" w:rsidP="006524B0">
      <w:pPr>
        <w:pStyle w:val="NormalWeb"/>
        <w:spacing w:before="0" w:beforeAutospacing="0" w:after="240" w:afterAutospacing="0" w:line="360" w:lineRule="auto"/>
      </w:pPr>
      <w:r>
        <w:t xml:space="preserve">Jackson, P. (1997). </w:t>
      </w:r>
      <w:r>
        <w:rPr>
          <w:i/>
          <w:iCs/>
        </w:rPr>
        <w:t>Education Act Forster : a political biography of W.E. Forster (1818-1886)</w:t>
      </w:r>
      <w:r>
        <w:t>. Fairleigh Dickinson University Press</w:t>
      </w:r>
      <w:r w:rsidR="008A2C46">
        <w:t>: York.</w:t>
      </w:r>
    </w:p>
    <w:p w14:paraId="05B36C79" w14:textId="306CDED1" w:rsidR="006524B0" w:rsidRDefault="006524B0" w:rsidP="006524B0">
      <w:pPr>
        <w:pStyle w:val="NormalWeb"/>
        <w:spacing w:before="0" w:beforeAutospacing="0" w:after="240" w:afterAutospacing="0" w:line="360" w:lineRule="auto"/>
      </w:pPr>
      <w:r>
        <w:t xml:space="preserve">James, A. and Prout, A. (2003). </w:t>
      </w:r>
      <w:r>
        <w:rPr>
          <w:i/>
          <w:iCs/>
        </w:rPr>
        <w:t>Constructing and Reconstructing Childhood</w:t>
      </w:r>
      <w:r>
        <w:t>. Routledge</w:t>
      </w:r>
      <w:r w:rsidR="008A2C46">
        <w:t>: London.</w:t>
      </w:r>
    </w:p>
    <w:p w14:paraId="4F551D0C" w14:textId="79392BC0" w:rsidR="006524B0" w:rsidRDefault="006524B0" w:rsidP="006524B0">
      <w:pPr>
        <w:pStyle w:val="NormalWeb"/>
        <w:spacing w:before="0" w:beforeAutospacing="0" w:after="240" w:afterAutospacing="0" w:line="360" w:lineRule="auto"/>
      </w:pPr>
      <w:r>
        <w:t xml:space="preserve">James, A.L. (2007). </w:t>
      </w:r>
      <w:r w:rsidRPr="008A2C46">
        <w:rPr>
          <w:i/>
          <w:iCs/>
        </w:rPr>
        <w:t>C</w:t>
      </w:r>
      <w:r w:rsidR="008A2C46">
        <w:rPr>
          <w:i/>
          <w:iCs/>
        </w:rPr>
        <w:t>hildren, the UNCRC in England and Wales</w:t>
      </w:r>
      <w:r w:rsidRPr="008A2C46">
        <w:rPr>
          <w:i/>
          <w:iCs/>
        </w:rPr>
        <w:t>.</w:t>
      </w:r>
      <w:r>
        <w:t xml:space="preserve"> </w:t>
      </w:r>
      <w:r>
        <w:rPr>
          <w:i/>
          <w:iCs/>
        </w:rPr>
        <w:t>Family Court Review</w:t>
      </w:r>
      <w:r>
        <w:t xml:space="preserve">, </w:t>
      </w:r>
      <w:r w:rsidR="008A2C46">
        <w:t xml:space="preserve">volume </w:t>
      </w:r>
      <w:r>
        <w:t>46</w:t>
      </w:r>
      <w:r w:rsidR="008A2C46">
        <w:t xml:space="preserve"> issue </w:t>
      </w:r>
      <w:r>
        <w:t>1, pp.53–64</w:t>
      </w:r>
    </w:p>
    <w:p w14:paraId="0F482CF4" w14:textId="50D7406C" w:rsidR="006524B0" w:rsidRDefault="006524B0" w:rsidP="006524B0">
      <w:pPr>
        <w:pStyle w:val="NormalWeb"/>
        <w:spacing w:before="0" w:beforeAutospacing="0" w:after="240" w:afterAutospacing="0" w:line="360" w:lineRule="auto"/>
      </w:pPr>
      <w:r>
        <w:t xml:space="preserve">Jenks, C. (2005). </w:t>
      </w:r>
      <w:r>
        <w:rPr>
          <w:i/>
          <w:iCs/>
        </w:rPr>
        <w:t>Childhood</w:t>
      </w:r>
      <w:r>
        <w:t>. London</w:t>
      </w:r>
      <w:r w:rsidR="008A2C46">
        <w:t xml:space="preserve">: </w:t>
      </w:r>
      <w:r>
        <w:t>Routledge.</w:t>
      </w:r>
    </w:p>
    <w:p w14:paraId="5EF14D14" w14:textId="77777777" w:rsidR="006524B0" w:rsidRDefault="006524B0" w:rsidP="006524B0">
      <w:pPr>
        <w:pStyle w:val="NormalWeb"/>
        <w:spacing w:before="0" w:beforeAutospacing="0" w:after="240" w:afterAutospacing="0" w:line="360" w:lineRule="auto"/>
      </w:pPr>
      <w:r>
        <w:t xml:space="preserve">Jordan, T.E. (1987). </w:t>
      </w:r>
      <w:r>
        <w:rPr>
          <w:i/>
          <w:iCs/>
        </w:rPr>
        <w:t>Victorian childhood : themes and variations</w:t>
      </w:r>
      <w:r>
        <w:t>. Albany: State University Of New York Press.</w:t>
      </w:r>
    </w:p>
    <w:p w14:paraId="6A26DA32" w14:textId="68ABF029" w:rsidR="006524B0" w:rsidRDefault="006524B0" w:rsidP="006524B0">
      <w:pPr>
        <w:pStyle w:val="NormalWeb"/>
        <w:spacing w:before="0" w:beforeAutospacing="0" w:after="240" w:afterAutospacing="0" w:line="360" w:lineRule="auto"/>
      </w:pPr>
      <w:r>
        <w:t xml:space="preserve">King, S. (2015). Constructing the Disabled Child in England, 1800-1860. </w:t>
      </w:r>
      <w:r>
        <w:rPr>
          <w:i/>
          <w:iCs/>
        </w:rPr>
        <w:t>Family &amp; Community History</w:t>
      </w:r>
      <w:r w:rsidR="008A2C46">
        <w:t xml:space="preserve">. Volume </w:t>
      </w:r>
      <w:r>
        <w:t>18</w:t>
      </w:r>
      <w:r w:rsidR="008A2C46">
        <w:t xml:space="preserve">, issue </w:t>
      </w:r>
      <w:r>
        <w:t xml:space="preserve">2, pp.104–121. </w:t>
      </w:r>
    </w:p>
    <w:p w14:paraId="6F8D9983" w14:textId="2717C99A" w:rsidR="006524B0" w:rsidRDefault="006524B0" w:rsidP="006524B0">
      <w:pPr>
        <w:pStyle w:val="NormalWeb"/>
        <w:spacing w:before="0" w:beforeAutospacing="0" w:after="240" w:afterAutospacing="0" w:line="360" w:lineRule="auto"/>
      </w:pPr>
      <w:r>
        <w:t xml:space="preserve">Kirby, P. (2013). </w:t>
      </w:r>
      <w:r>
        <w:rPr>
          <w:i/>
          <w:iCs/>
        </w:rPr>
        <w:t>Child workers and industrial health in Britain, 1780-1850</w:t>
      </w:r>
      <w:r>
        <w:t>. Woodbridge, Suffolk: Boydell Press.</w:t>
      </w:r>
    </w:p>
    <w:p w14:paraId="26471F44" w14:textId="260BA077" w:rsidR="006524B0" w:rsidRDefault="006524B0" w:rsidP="006524B0">
      <w:pPr>
        <w:pStyle w:val="NormalWeb"/>
        <w:spacing w:before="0" w:beforeAutospacing="0" w:after="240" w:afterAutospacing="0" w:line="360" w:lineRule="auto"/>
      </w:pPr>
      <w:r>
        <w:t xml:space="preserve">Klimek, M. (2020). </w:t>
      </w:r>
      <w:r w:rsidRPr="00EE1CA6">
        <w:rPr>
          <w:i/>
          <w:iCs/>
        </w:rPr>
        <w:t>Origin and development of the family carers’ movement in the United Kingdom in the 20th century</w:t>
      </w:r>
      <w:r>
        <w:t xml:space="preserve">. </w:t>
      </w:r>
      <w:r>
        <w:rPr>
          <w:i/>
          <w:iCs/>
        </w:rPr>
        <w:t>Palliative Medicine in Practice</w:t>
      </w:r>
      <w:r>
        <w:t xml:space="preserve">, </w:t>
      </w:r>
      <w:r w:rsidR="00EE1CA6">
        <w:t xml:space="preserve">volume </w:t>
      </w:r>
      <w:r>
        <w:t>14</w:t>
      </w:r>
      <w:r w:rsidR="00EE1CA6">
        <w:t xml:space="preserve">, issue </w:t>
      </w:r>
      <w:r>
        <w:t xml:space="preserve">1, pp.26–34. </w:t>
      </w:r>
    </w:p>
    <w:p w14:paraId="1187441B" w14:textId="262C874F" w:rsidR="006524B0" w:rsidRDefault="006524B0" w:rsidP="006524B0">
      <w:pPr>
        <w:pStyle w:val="NormalWeb"/>
        <w:spacing w:before="0" w:beforeAutospacing="0" w:after="240" w:afterAutospacing="0" w:line="360" w:lineRule="auto"/>
      </w:pPr>
      <w:r>
        <w:t xml:space="preserve">Knott, S. (2020). </w:t>
      </w:r>
      <w:r w:rsidR="00EE1CA6">
        <w:rPr>
          <w:i/>
          <w:iCs/>
        </w:rPr>
        <w:t>MOTHER:</w:t>
      </w:r>
      <w:r>
        <w:rPr>
          <w:i/>
          <w:iCs/>
        </w:rPr>
        <w:t xml:space="preserve"> an unconventional history.</w:t>
      </w:r>
      <w:r>
        <w:t xml:space="preserve"> Penguin Books</w:t>
      </w:r>
      <w:r w:rsidR="00EE1CA6">
        <w:t xml:space="preserve">: Oxford. </w:t>
      </w:r>
    </w:p>
    <w:p w14:paraId="0D4C6F77" w14:textId="77777777" w:rsidR="006524B0" w:rsidRDefault="006524B0" w:rsidP="006524B0">
      <w:pPr>
        <w:pStyle w:val="NormalWeb"/>
        <w:spacing w:before="0" w:beforeAutospacing="0" w:after="240" w:afterAutospacing="0" w:line="360" w:lineRule="auto"/>
      </w:pPr>
      <w:r>
        <w:lastRenderedPageBreak/>
        <w:t xml:space="preserve">Lapage and Dendy, M. (1920). </w:t>
      </w:r>
      <w:r>
        <w:rPr>
          <w:i/>
          <w:iCs/>
        </w:rPr>
        <w:t>Feeblemindedness in Children of School-age</w:t>
      </w:r>
      <w:r>
        <w:t>. Manchester: Longmans, Green &amp; Co.</w:t>
      </w:r>
    </w:p>
    <w:p w14:paraId="485CEFC9" w14:textId="59ACA7A7" w:rsidR="006524B0" w:rsidRDefault="006524B0" w:rsidP="006524B0">
      <w:pPr>
        <w:pStyle w:val="NormalWeb"/>
        <w:spacing w:before="0" w:beforeAutospacing="0" w:after="240" w:afterAutospacing="0" w:line="360" w:lineRule="auto"/>
      </w:pPr>
      <w:r>
        <w:t xml:space="preserve">Larossa, R. (2002). The Social Construction of a Family Sociologist. </w:t>
      </w:r>
      <w:r>
        <w:rPr>
          <w:i/>
          <w:iCs/>
        </w:rPr>
        <w:t>Marriage &amp; Family Review</w:t>
      </w:r>
      <w:r>
        <w:t xml:space="preserve">, </w:t>
      </w:r>
      <w:r w:rsidR="00EE1CA6">
        <w:t xml:space="preserve">volume </w:t>
      </w:r>
      <w:r>
        <w:t>31</w:t>
      </w:r>
      <w:r w:rsidR="00EE1CA6">
        <w:t xml:space="preserve">, issue </w:t>
      </w:r>
      <w:r>
        <w:t xml:space="preserve">3-4, pp.95–111. </w:t>
      </w:r>
    </w:p>
    <w:p w14:paraId="3067DDC5" w14:textId="221A0F74" w:rsidR="006524B0" w:rsidRDefault="006524B0" w:rsidP="006524B0">
      <w:pPr>
        <w:pStyle w:val="NormalWeb"/>
        <w:spacing w:before="0" w:beforeAutospacing="0" w:after="240" w:afterAutospacing="0" w:line="360" w:lineRule="auto"/>
      </w:pPr>
      <w:r>
        <w:t xml:space="preserve">Lindsay, G., Dockrell, J. and Wedell, K. (2020). </w:t>
      </w:r>
      <w:r>
        <w:rPr>
          <w:i/>
          <w:iCs/>
        </w:rPr>
        <w:t>Warnock 40 Years On: The Development of Special Educational Needs Since the Warnock Report and Implications for the Future</w:t>
      </w:r>
      <w:r>
        <w:t xml:space="preserve">. </w:t>
      </w:r>
      <w:r w:rsidR="00EE1CA6">
        <w:t>Routledge: London.</w:t>
      </w:r>
    </w:p>
    <w:p w14:paraId="1BB389B0" w14:textId="3FE44C08" w:rsidR="006524B0" w:rsidRDefault="006524B0" w:rsidP="006524B0">
      <w:pPr>
        <w:pStyle w:val="NormalWeb"/>
        <w:spacing w:before="0" w:beforeAutospacing="0" w:after="240" w:afterAutospacing="0" w:line="360" w:lineRule="auto"/>
      </w:pPr>
      <w:r>
        <w:t xml:space="preserve">Mendoza, N.S. (2014). </w:t>
      </w:r>
      <w:r w:rsidRPr="00B475D3">
        <w:rPr>
          <w:i/>
          <w:iCs/>
        </w:rPr>
        <w:t>Social Services and Child Well-Being Among CPS-Involved Families</w:t>
      </w:r>
      <w:r>
        <w:t xml:space="preserve">. </w:t>
      </w:r>
      <w:r>
        <w:rPr>
          <w:i/>
          <w:iCs/>
        </w:rPr>
        <w:t>Journal of Social Service Research</w:t>
      </w:r>
      <w:r>
        <w:t xml:space="preserve">, </w:t>
      </w:r>
      <w:r w:rsidR="00B475D3">
        <w:t xml:space="preserve">volume </w:t>
      </w:r>
      <w:r>
        <w:t>40</w:t>
      </w:r>
      <w:r w:rsidR="00B475D3">
        <w:t xml:space="preserve">, issue </w:t>
      </w:r>
      <w:r>
        <w:t>3, pp.274–283.</w:t>
      </w:r>
    </w:p>
    <w:p w14:paraId="51B5E47A" w14:textId="3866924B" w:rsidR="006524B0" w:rsidRDefault="006524B0" w:rsidP="006524B0">
      <w:pPr>
        <w:pStyle w:val="NormalWeb"/>
        <w:spacing w:before="0" w:beforeAutospacing="0" w:after="240" w:afterAutospacing="0" w:line="360" w:lineRule="auto"/>
      </w:pPr>
      <w:r>
        <w:t xml:space="preserve">NAS (2022). </w:t>
      </w:r>
      <w:r>
        <w:rPr>
          <w:i/>
          <w:iCs/>
        </w:rPr>
        <w:t>National Autistic Society - our Community</w:t>
      </w:r>
      <w:r>
        <w:t xml:space="preserve">. Available at: https://community.autism.org.uk/ </w:t>
      </w:r>
      <w:r w:rsidR="00B475D3">
        <w:t>(</w:t>
      </w:r>
      <w:r>
        <w:t>Accessed 15 Dec. 2022</w:t>
      </w:r>
      <w:r w:rsidR="00B475D3">
        <w:t>)</w:t>
      </w:r>
      <w:r>
        <w:t>.</w:t>
      </w:r>
    </w:p>
    <w:p w14:paraId="4A0AF75C" w14:textId="3E16B831" w:rsidR="006524B0" w:rsidRDefault="006524B0" w:rsidP="006524B0">
      <w:pPr>
        <w:pStyle w:val="NormalWeb"/>
        <w:spacing w:before="0" w:beforeAutospacing="0" w:after="240" w:afterAutospacing="0" w:line="360" w:lineRule="auto"/>
      </w:pPr>
      <w:r>
        <w:t xml:space="preserve">National Institute for Health and Care Excellence (2021). </w:t>
      </w:r>
      <w:r>
        <w:rPr>
          <w:i/>
          <w:iCs/>
        </w:rPr>
        <w:t>Overview | Postnatal care | Guidance | NICE</w:t>
      </w:r>
      <w:r>
        <w:t xml:space="preserve">. Available at: https://www.nice.org.uk/guidance/ng194 </w:t>
      </w:r>
      <w:r w:rsidR="00B475D3">
        <w:t>(</w:t>
      </w:r>
      <w:r>
        <w:t>Accessed 14 Dec. 2022</w:t>
      </w:r>
      <w:r w:rsidR="00B475D3">
        <w:t>)</w:t>
      </w:r>
      <w:r>
        <w:t>.</w:t>
      </w:r>
    </w:p>
    <w:p w14:paraId="21C05280" w14:textId="60A8D159" w:rsidR="006524B0" w:rsidRDefault="006524B0" w:rsidP="006524B0">
      <w:pPr>
        <w:pStyle w:val="NormalWeb"/>
        <w:spacing w:before="0" w:beforeAutospacing="0" w:after="240" w:afterAutospacing="0" w:line="360" w:lineRule="auto"/>
      </w:pPr>
      <w:r>
        <w:t xml:space="preserve">Nelson, C. (2017). </w:t>
      </w:r>
      <w:r w:rsidRPr="00B475D3">
        <w:rPr>
          <w:i/>
          <w:iCs/>
        </w:rPr>
        <w:t xml:space="preserve">Growing Up: Childhood. </w:t>
      </w:r>
      <w:r>
        <w:rPr>
          <w:i/>
          <w:iCs/>
        </w:rPr>
        <w:t>A Companion to Victorian Literature and Culture</w:t>
      </w:r>
      <w:r>
        <w:t xml:space="preserve">, </w:t>
      </w:r>
      <w:r w:rsidR="00B475D3">
        <w:t xml:space="preserve">volume </w:t>
      </w:r>
      <w:r>
        <w:t>5,</w:t>
      </w:r>
      <w:r w:rsidR="00B475D3">
        <w:t xml:space="preserve"> issue 3,</w:t>
      </w:r>
      <w:r>
        <w:t xml:space="preserve"> pp.67–81. </w:t>
      </w:r>
    </w:p>
    <w:p w14:paraId="6A29B650" w14:textId="344E5CF2" w:rsidR="006524B0" w:rsidRDefault="006524B0" w:rsidP="006524B0">
      <w:pPr>
        <w:pStyle w:val="NormalWeb"/>
        <w:spacing w:before="0" w:beforeAutospacing="0" w:after="240" w:afterAutospacing="0" w:line="360" w:lineRule="auto"/>
      </w:pPr>
      <w:r>
        <w:t xml:space="preserve">NewmanL. and Cornell, L. (2015). </w:t>
      </w:r>
      <w:r>
        <w:rPr>
          <w:i/>
          <w:iCs/>
        </w:rPr>
        <w:t>Heather has two mommies</w:t>
      </w:r>
      <w:r>
        <w:t>. Massachusetts: Candlewick Press.</w:t>
      </w:r>
    </w:p>
    <w:p w14:paraId="5D4415A5" w14:textId="40B42276" w:rsidR="006524B0" w:rsidRDefault="006524B0" w:rsidP="006524B0">
      <w:pPr>
        <w:pStyle w:val="NormalWeb"/>
        <w:spacing w:before="0" w:beforeAutospacing="0" w:after="240" w:afterAutospacing="0" w:line="360" w:lineRule="auto"/>
      </w:pPr>
      <w:r>
        <w:t xml:space="preserve">NHS (2020). </w:t>
      </w:r>
      <w:r>
        <w:rPr>
          <w:i/>
          <w:iCs/>
        </w:rPr>
        <w:t>Your antenatal care</w:t>
      </w:r>
      <w:r>
        <w:t xml:space="preserve">. Available at: https://www.nhs.uk/pregnancy/your-pregnancy-care/your-antenatal-care/ </w:t>
      </w:r>
      <w:r w:rsidR="004D0BC7">
        <w:t>(</w:t>
      </w:r>
      <w:r>
        <w:t>Accessed 14 Dec. 2022</w:t>
      </w:r>
      <w:r w:rsidR="004D0BC7">
        <w:t>)</w:t>
      </w:r>
      <w:r>
        <w:t>.</w:t>
      </w:r>
    </w:p>
    <w:p w14:paraId="17FF3B14" w14:textId="58BDD22E" w:rsidR="006524B0" w:rsidRDefault="006524B0" w:rsidP="006524B0">
      <w:pPr>
        <w:pStyle w:val="NormalWeb"/>
        <w:spacing w:before="0" w:beforeAutospacing="0" w:after="240" w:afterAutospacing="0" w:line="360" w:lineRule="auto"/>
      </w:pPr>
      <w:r>
        <w:t xml:space="preserve">Parsole, P. (2017). </w:t>
      </w:r>
      <w:r>
        <w:rPr>
          <w:i/>
          <w:iCs/>
        </w:rPr>
        <w:t>Juvenile Justice in Britain and the United States</w:t>
      </w:r>
      <w:r>
        <w:t>. Routledge</w:t>
      </w:r>
      <w:r w:rsidR="004D0BC7">
        <w:t>: London.</w:t>
      </w:r>
    </w:p>
    <w:p w14:paraId="358A2377" w14:textId="54B71965" w:rsidR="006524B0" w:rsidRDefault="006524B0" w:rsidP="006524B0">
      <w:pPr>
        <w:pStyle w:val="NormalWeb"/>
        <w:spacing w:before="0" w:beforeAutospacing="0" w:after="240" w:afterAutospacing="0" w:line="360" w:lineRule="auto"/>
      </w:pPr>
      <w:r>
        <w:t xml:space="preserve">Pearce, J.J. (2009). </w:t>
      </w:r>
      <w:r>
        <w:rPr>
          <w:i/>
          <w:iCs/>
        </w:rPr>
        <w:t>Young People and Sexual Exploitation</w:t>
      </w:r>
      <w:r>
        <w:t>. Routledge</w:t>
      </w:r>
      <w:r w:rsidR="004D0BC7">
        <w:t>: London.</w:t>
      </w:r>
    </w:p>
    <w:p w14:paraId="0F7F64B9" w14:textId="426BBFF4" w:rsidR="006524B0" w:rsidRDefault="006524B0" w:rsidP="006524B0">
      <w:pPr>
        <w:pStyle w:val="NormalWeb"/>
        <w:spacing w:before="0" w:beforeAutospacing="0" w:after="240" w:afterAutospacing="0" w:line="360" w:lineRule="auto"/>
      </w:pPr>
      <w:r>
        <w:t xml:space="preserve">Platt, L. (2005). </w:t>
      </w:r>
      <w:r>
        <w:rPr>
          <w:i/>
          <w:iCs/>
        </w:rPr>
        <w:t>Discovering child poverty: the creation of a policy agenda from 1800 to the present</w:t>
      </w:r>
      <w:r>
        <w:t>. Bristol: Policy Press.</w:t>
      </w:r>
    </w:p>
    <w:p w14:paraId="2547D48A" w14:textId="393D856F" w:rsidR="006524B0" w:rsidRDefault="006524B0" w:rsidP="006524B0">
      <w:pPr>
        <w:pStyle w:val="NormalWeb"/>
        <w:spacing w:before="0" w:beforeAutospacing="0" w:after="240" w:afterAutospacing="0" w:line="360" w:lineRule="auto"/>
      </w:pPr>
      <w:r>
        <w:t xml:space="preserve">Play Wales (2019). </w:t>
      </w:r>
      <w:r>
        <w:rPr>
          <w:i/>
          <w:iCs/>
        </w:rPr>
        <w:t>Play Wales | Seven Core Aims</w:t>
      </w:r>
      <w:r>
        <w:t xml:space="preserve">. Available at: https://www.playwales.org.uk/eng/sevencoreaims </w:t>
      </w:r>
      <w:r w:rsidR="004D0BC7">
        <w:t>(</w:t>
      </w:r>
      <w:r>
        <w:t>Accessed 15 Dec. 2022</w:t>
      </w:r>
      <w:r w:rsidR="004D0BC7">
        <w:t>)</w:t>
      </w:r>
      <w:r>
        <w:t>.</w:t>
      </w:r>
    </w:p>
    <w:p w14:paraId="4FB188F9" w14:textId="43CD20A2" w:rsidR="006524B0" w:rsidRDefault="006524B0" w:rsidP="006524B0">
      <w:pPr>
        <w:pStyle w:val="NormalWeb"/>
        <w:spacing w:before="0" w:beforeAutospacing="0" w:after="240" w:afterAutospacing="0" w:line="360" w:lineRule="auto"/>
      </w:pPr>
      <w:r>
        <w:lastRenderedPageBreak/>
        <w:t xml:space="preserve">Sacks, J. (2010). </w:t>
      </w:r>
      <w:r>
        <w:rPr>
          <w:i/>
          <w:iCs/>
        </w:rPr>
        <w:t>Victorian childhood</w:t>
      </w:r>
      <w:r>
        <w:t>. OxfordShire</w:t>
      </w:r>
      <w:r w:rsidR="004D0BC7">
        <w:t xml:space="preserve">: London. </w:t>
      </w:r>
    </w:p>
    <w:p w14:paraId="68E0A64D" w14:textId="669B23C6" w:rsidR="006524B0" w:rsidRDefault="006524B0" w:rsidP="006524B0">
      <w:pPr>
        <w:pStyle w:val="NormalWeb"/>
        <w:spacing w:before="0" w:beforeAutospacing="0" w:after="240" w:afterAutospacing="0" w:line="360" w:lineRule="auto"/>
      </w:pPr>
      <w:r>
        <w:t xml:space="preserve">Shankland, R., Tessier, D., Strub, L., Gauchet, A. and Baeyens, C. (2020). </w:t>
      </w:r>
      <w:r w:rsidRPr="004D0BC7">
        <w:rPr>
          <w:i/>
          <w:iCs/>
        </w:rPr>
        <w:t>Improving Mental Health and Well‐Being through Informal Mindfulness Practices: An Intervention Study.</w:t>
      </w:r>
      <w:r>
        <w:t xml:space="preserve"> </w:t>
      </w:r>
      <w:r>
        <w:rPr>
          <w:i/>
          <w:iCs/>
        </w:rPr>
        <w:t>Applied Psychology: Health and Well-Being</w:t>
      </w:r>
      <w:r>
        <w:t xml:space="preserve">, </w:t>
      </w:r>
      <w:r w:rsidR="004D0BC7">
        <w:t xml:space="preserve">volume </w:t>
      </w:r>
      <w:r>
        <w:t>3</w:t>
      </w:r>
      <w:r w:rsidR="004D0BC7">
        <w:t xml:space="preserve">, issue </w:t>
      </w:r>
      <w:r>
        <w:t>4</w:t>
      </w:r>
    </w:p>
    <w:p w14:paraId="0D58BCC1" w14:textId="2417A8B4" w:rsidR="006524B0" w:rsidRDefault="006524B0" w:rsidP="006524B0">
      <w:pPr>
        <w:pStyle w:val="NormalWeb"/>
        <w:spacing w:before="0" w:beforeAutospacing="0" w:after="240" w:afterAutospacing="0" w:line="360" w:lineRule="auto"/>
      </w:pPr>
      <w:r>
        <w:t xml:space="preserve">Sharma, R. (2019). </w:t>
      </w:r>
      <w:r>
        <w:rPr>
          <w:i/>
          <w:iCs/>
        </w:rPr>
        <w:t>Who is a Child? Why is it difficult to define a child?</w:t>
      </w:r>
      <w:r>
        <w:t xml:space="preserve"> Available at: https://lawtimesjournal.in/who-is-a-child-why-is-it-difficult-to-define-a-child/ </w:t>
      </w:r>
      <w:r w:rsidR="004D0BC7">
        <w:t>(</w:t>
      </w:r>
      <w:r>
        <w:t>Accessed 8 Nov. 2022</w:t>
      </w:r>
      <w:r w:rsidR="004D0BC7">
        <w:t>)</w:t>
      </w:r>
      <w:r>
        <w:t>.</w:t>
      </w:r>
    </w:p>
    <w:p w14:paraId="204DF75B" w14:textId="61925D4C" w:rsidR="006524B0" w:rsidRDefault="006524B0" w:rsidP="006524B0">
      <w:pPr>
        <w:pStyle w:val="NormalWeb"/>
        <w:spacing w:before="0" w:beforeAutospacing="0" w:after="240" w:afterAutospacing="0" w:line="360" w:lineRule="auto"/>
      </w:pPr>
      <w:r>
        <w:t xml:space="preserve">Sheetz-Nguyen, J.A. (2012). </w:t>
      </w:r>
      <w:r>
        <w:rPr>
          <w:i/>
          <w:iCs/>
        </w:rPr>
        <w:t>Victorian Women, Unwed Mothers and the London Foundling Hospital</w:t>
      </w:r>
      <w:r>
        <w:t>. Bloomsbury Publishing</w:t>
      </w:r>
      <w:r w:rsidR="004D0BC7">
        <w:t>: London.</w:t>
      </w:r>
    </w:p>
    <w:p w14:paraId="6A171D39" w14:textId="6C4CCA81" w:rsidR="006524B0" w:rsidRDefault="006524B0" w:rsidP="006524B0">
      <w:pPr>
        <w:pStyle w:val="NormalWeb"/>
        <w:spacing w:before="0" w:beforeAutospacing="0" w:after="240" w:afterAutospacing="0" w:line="360" w:lineRule="auto"/>
      </w:pPr>
      <w:r>
        <w:t xml:space="preserve">Snap cymru (2022). </w:t>
      </w:r>
      <w:r>
        <w:rPr>
          <w:i/>
          <w:iCs/>
        </w:rPr>
        <w:t>Individual Development Plans</w:t>
      </w:r>
      <w:r>
        <w:t xml:space="preserve">. Available at: https://www.snapcymru.org/get-support/idps/ </w:t>
      </w:r>
      <w:r w:rsidR="005A46BD">
        <w:t>(</w:t>
      </w:r>
      <w:r>
        <w:t>Accessed 15 Dec. 2022</w:t>
      </w:r>
      <w:r w:rsidR="005A46BD">
        <w:t>)</w:t>
      </w:r>
      <w:r>
        <w:t>.</w:t>
      </w:r>
    </w:p>
    <w:p w14:paraId="13C8F245" w14:textId="3AD04242" w:rsidR="006524B0" w:rsidRDefault="006524B0" w:rsidP="006524B0">
      <w:pPr>
        <w:pStyle w:val="NormalWeb"/>
        <w:spacing w:before="0" w:beforeAutospacing="0" w:after="240" w:afterAutospacing="0" w:line="360" w:lineRule="auto"/>
      </w:pPr>
      <w:r>
        <w:t xml:space="preserve">Social Care Wales (2022). </w:t>
      </w:r>
      <w:r>
        <w:rPr>
          <w:i/>
          <w:iCs/>
        </w:rPr>
        <w:t>Working with disabled children for residential child care workers</w:t>
      </w:r>
      <w:r>
        <w:t xml:space="preserve">. Available at: https://socialcare.wales/resources-guidance/improving-care-and-support/children-who-are-looked-after/working-with-disabled-children </w:t>
      </w:r>
      <w:r w:rsidR="005A46BD">
        <w:t>(</w:t>
      </w:r>
      <w:r>
        <w:t>Accessed 15 Dec. 2022</w:t>
      </w:r>
      <w:r w:rsidR="005A46BD">
        <w:t>)</w:t>
      </w:r>
      <w:r>
        <w:t>.</w:t>
      </w:r>
    </w:p>
    <w:p w14:paraId="1F02FD63" w14:textId="77777777" w:rsidR="006524B0" w:rsidRDefault="006524B0" w:rsidP="006524B0">
      <w:pPr>
        <w:pStyle w:val="NormalWeb"/>
        <w:spacing w:before="0" w:beforeAutospacing="0" w:after="240" w:afterAutospacing="0" w:line="360" w:lineRule="auto"/>
      </w:pPr>
      <w:r>
        <w:t xml:space="preserve">Statham, J. (2012). </w:t>
      </w:r>
      <w:r>
        <w:rPr>
          <w:i/>
          <w:iCs/>
        </w:rPr>
        <w:t>Childhood Wellbeing: A brief overview</w:t>
      </w:r>
      <w:r>
        <w:t>. Kent: Lourobrough University.</w:t>
      </w:r>
    </w:p>
    <w:p w14:paraId="50BF7AE8" w14:textId="4E06FEC2" w:rsidR="006524B0" w:rsidRDefault="006524B0" w:rsidP="006524B0">
      <w:pPr>
        <w:pStyle w:val="NormalWeb"/>
        <w:spacing w:before="0" w:beforeAutospacing="0" w:after="240" w:afterAutospacing="0" w:line="360" w:lineRule="auto"/>
      </w:pPr>
      <w:r>
        <w:t xml:space="preserve">Sylvester, D.W. (1974). </w:t>
      </w:r>
      <w:r w:rsidRPr="005A46BD">
        <w:rPr>
          <w:i/>
          <w:iCs/>
        </w:rPr>
        <w:t xml:space="preserve">Robert Lowe and the 1870 Education Act. </w:t>
      </w:r>
      <w:r>
        <w:rPr>
          <w:i/>
          <w:iCs/>
        </w:rPr>
        <w:t>History of Education</w:t>
      </w:r>
      <w:r>
        <w:t xml:space="preserve">, </w:t>
      </w:r>
      <w:r w:rsidR="005A46BD">
        <w:t xml:space="preserve">volume </w:t>
      </w:r>
      <w:r>
        <w:t>3</w:t>
      </w:r>
      <w:r w:rsidR="005A46BD">
        <w:t xml:space="preserve">, issue </w:t>
      </w:r>
      <w:r>
        <w:t xml:space="preserve">2, pp.16–26. </w:t>
      </w:r>
    </w:p>
    <w:p w14:paraId="5CDAFC1B" w14:textId="0EA7623A" w:rsidR="006524B0" w:rsidRDefault="006524B0" w:rsidP="006524B0">
      <w:pPr>
        <w:pStyle w:val="NormalWeb"/>
        <w:spacing w:before="0" w:beforeAutospacing="0" w:after="240" w:afterAutospacing="0" w:line="360" w:lineRule="auto"/>
      </w:pPr>
      <w:r>
        <w:t xml:space="preserve">Tadmor, N. (2007). </w:t>
      </w:r>
      <w:r>
        <w:rPr>
          <w:i/>
          <w:iCs/>
        </w:rPr>
        <w:t>Family and friends in eighteenth-century England : household, kinship and patronage</w:t>
      </w:r>
      <w:r>
        <w:t>. Cambridge</w:t>
      </w:r>
      <w:r w:rsidR="005A46BD">
        <w:t>: London</w:t>
      </w:r>
    </w:p>
    <w:p w14:paraId="5806923E" w14:textId="79538E8F" w:rsidR="006524B0" w:rsidRDefault="006524B0" w:rsidP="006524B0">
      <w:pPr>
        <w:pStyle w:val="NormalWeb"/>
        <w:spacing w:before="0" w:beforeAutospacing="0" w:after="240" w:afterAutospacing="0" w:line="360" w:lineRule="auto"/>
      </w:pPr>
      <w:r>
        <w:t xml:space="preserve">Turner, D.M. (2012). </w:t>
      </w:r>
      <w:r>
        <w:rPr>
          <w:i/>
          <w:iCs/>
        </w:rPr>
        <w:t>Disability in Eighteenth-Century England</w:t>
      </w:r>
      <w:r>
        <w:t>. Routledge</w:t>
      </w:r>
      <w:r w:rsidR="005A46BD">
        <w:t>: London</w:t>
      </w:r>
    </w:p>
    <w:p w14:paraId="0F2526B9" w14:textId="0EFA252C" w:rsidR="006524B0" w:rsidRDefault="006524B0" w:rsidP="006524B0">
      <w:pPr>
        <w:pStyle w:val="NormalWeb"/>
        <w:spacing w:before="0" w:beforeAutospacing="0" w:after="240" w:afterAutospacing="0" w:line="360" w:lineRule="auto"/>
      </w:pPr>
      <w:r>
        <w:t xml:space="preserve">UNICEF (2020). </w:t>
      </w:r>
      <w:r>
        <w:rPr>
          <w:i/>
          <w:iCs/>
        </w:rPr>
        <w:t>A universal definition of what it means to be a ‘child’</w:t>
      </w:r>
      <w:r>
        <w:t xml:space="preserve">. Available at: https://www.unicef.org/sudan/stories/universal-definition-what-it-means-be-child </w:t>
      </w:r>
      <w:r w:rsidR="005A46BD">
        <w:t>(</w:t>
      </w:r>
      <w:r>
        <w:t>Accessed 8 Nov. 2022</w:t>
      </w:r>
      <w:r w:rsidR="005A46BD">
        <w:t>)</w:t>
      </w:r>
      <w:r>
        <w:t>.</w:t>
      </w:r>
    </w:p>
    <w:p w14:paraId="1F4B44A7" w14:textId="00539D02" w:rsidR="006524B0" w:rsidRDefault="006524B0" w:rsidP="006524B0">
      <w:pPr>
        <w:pStyle w:val="NormalWeb"/>
        <w:spacing w:before="0" w:beforeAutospacing="0" w:after="240" w:afterAutospacing="0" w:line="360" w:lineRule="auto"/>
      </w:pPr>
      <w:r>
        <w:t xml:space="preserve">Wada, Y. and Sakugawa, H. (1990). </w:t>
      </w:r>
      <w:r w:rsidRPr="005A46BD">
        <w:rPr>
          <w:i/>
          <w:iCs/>
        </w:rPr>
        <w:t>Psychological effects of working underground</w:t>
      </w:r>
      <w:r>
        <w:t xml:space="preserve">. </w:t>
      </w:r>
      <w:r>
        <w:rPr>
          <w:i/>
          <w:iCs/>
        </w:rPr>
        <w:t>Tunnelling and Underground Space Technology</w:t>
      </w:r>
      <w:r>
        <w:t xml:space="preserve">, </w:t>
      </w:r>
      <w:r w:rsidR="007E77D6">
        <w:t xml:space="preserve">volume </w:t>
      </w:r>
      <w:r>
        <w:t>5</w:t>
      </w:r>
      <w:r w:rsidR="005A46BD">
        <w:t xml:space="preserve">, issue </w:t>
      </w:r>
      <w:r>
        <w:t xml:space="preserve">2, pp.33–37. </w:t>
      </w:r>
    </w:p>
    <w:p w14:paraId="25956C0C" w14:textId="4BFAE97E" w:rsidR="006524B0" w:rsidRDefault="006524B0" w:rsidP="006524B0">
      <w:pPr>
        <w:pStyle w:val="NormalWeb"/>
        <w:spacing w:before="0" w:beforeAutospacing="0" w:after="240" w:afterAutospacing="0" w:line="360" w:lineRule="auto"/>
      </w:pPr>
      <w:r>
        <w:lastRenderedPageBreak/>
        <w:t xml:space="preserve">Welsh Assembly (2011). </w:t>
      </w:r>
      <w:r>
        <w:rPr>
          <w:i/>
          <w:iCs/>
        </w:rPr>
        <w:t>NHS Wales | Support for children with learning disabilities and mental health issues</w:t>
      </w:r>
      <w:r>
        <w:t xml:space="preserve">. Available at: http://www.wales.nhs.uk/news/18486 </w:t>
      </w:r>
      <w:r w:rsidR="007E77D6">
        <w:t>(</w:t>
      </w:r>
      <w:r>
        <w:t>Accessed 15 Dec. 2022</w:t>
      </w:r>
      <w:r w:rsidR="007E77D6">
        <w:t>)</w:t>
      </w:r>
      <w:r>
        <w:t>.</w:t>
      </w:r>
    </w:p>
    <w:p w14:paraId="705ED6BB" w14:textId="77777777" w:rsidR="006524B0" w:rsidRDefault="006524B0" w:rsidP="006524B0">
      <w:pPr>
        <w:pStyle w:val="NormalWeb"/>
        <w:spacing w:before="0" w:beforeAutospacing="0" w:after="240" w:afterAutospacing="0" w:line="360" w:lineRule="auto"/>
      </w:pPr>
      <w:r>
        <w:t xml:space="preserve">Wilson, A.N. (2008). </w:t>
      </w:r>
      <w:r>
        <w:rPr>
          <w:i/>
          <w:iCs/>
        </w:rPr>
        <w:t>The Victorians</w:t>
      </w:r>
      <w:r>
        <w:t>. London: The Folio Society.</w:t>
      </w:r>
    </w:p>
    <w:p w14:paraId="0160C3FD" w14:textId="0B33BA71" w:rsidR="006524B0" w:rsidRDefault="006524B0" w:rsidP="006524B0">
      <w:pPr>
        <w:pStyle w:val="NormalWeb"/>
        <w:spacing w:before="0" w:beforeAutospacing="0" w:after="240" w:afterAutospacing="0" w:line="360" w:lineRule="auto"/>
      </w:pPr>
      <w:r>
        <w:t>Woods, R.I., Watterson, P.A. and Woodward, J.H. (1989</w:t>
      </w:r>
      <w:r w:rsidRPr="006524B0">
        <w:rPr>
          <w:i/>
          <w:iCs/>
        </w:rPr>
        <w:t>). The Causes of Rapid Infant Mortality Decline in England and Wales, 1861–1921. Part II.</w:t>
      </w:r>
      <w:r>
        <w:t xml:space="preserve"> </w:t>
      </w:r>
      <w:r>
        <w:rPr>
          <w:i/>
          <w:iCs/>
        </w:rPr>
        <w:t>Population Studies</w:t>
      </w:r>
      <w:r>
        <w:t xml:space="preserve">, </w:t>
      </w:r>
      <w:r w:rsidR="007E77D6">
        <w:t xml:space="preserve">issue </w:t>
      </w:r>
      <w:r>
        <w:t>43</w:t>
      </w:r>
      <w:r w:rsidR="007E77D6">
        <w:t xml:space="preserve">, volume </w:t>
      </w:r>
      <w:r>
        <w:t xml:space="preserve">1, pp.113–132. </w:t>
      </w:r>
    </w:p>
    <w:p w14:paraId="784B84B8" w14:textId="77777777" w:rsidR="006524B0" w:rsidRDefault="006524B0" w:rsidP="006524B0">
      <w:pPr>
        <w:pStyle w:val="NormalWeb"/>
        <w:spacing w:before="0" w:beforeAutospacing="0" w:after="240" w:afterAutospacing="0" w:line="360" w:lineRule="auto"/>
      </w:pPr>
      <w:r>
        <w:t xml:space="preserve">Wyness, M.G. (2019). </w:t>
      </w:r>
      <w:r>
        <w:rPr>
          <w:i/>
          <w:iCs/>
        </w:rPr>
        <w:t>Childhood and society</w:t>
      </w:r>
      <w:r>
        <w:t>. London Red Globe Press.</w:t>
      </w:r>
    </w:p>
    <w:p w14:paraId="042F6F73" w14:textId="1E0AE344" w:rsidR="006524B0" w:rsidRDefault="006524B0" w:rsidP="006524B0">
      <w:pPr>
        <w:pStyle w:val="NormalWeb"/>
        <w:spacing w:before="0" w:beforeAutospacing="0" w:after="240" w:afterAutospacing="0" w:line="360" w:lineRule="auto"/>
      </w:pPr>
      <w:r>
        <w:t xml:space="preserve">Zon, B. and Lightman, B. (2019). </w:t>
      </w:r>
      <w:r>
        <w:rPr>
          <w:i/>
          <w:iCs/>
        </w:rPr>
        <w:t>Victorian Culture and the Origin of Disciplines</w:t>
      </w:r>
      <w:r>
        <w:t>. Routledge</w:t>
      </w:r>
      <w:r w:rsidR="007E77D6">
        <w:t>:</w:t>
      </w:r>
      <w:r>
        <w:t xml:space="preserve"> London.</w:t>
      </w:r>
    </w:p>
    <w:p w14:paraId="728BF868" w14:textId="77777777" w:rsidR="005938A1" w:rsidRPr="001C1B0E" w:rsidRDefault="005938A1" w:rsidP="001C1B0E">
      <w:pPr>
        <w:rPr>
          <w:sz w:val="24"/>
          <w:szCs w:val="24"/>
        </w:rPr>
      </w:pPr>
    </w:p>
    <w:sectPr w:rsidR="005938A1" w:rsidRPr="001C1B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C1B0E"/>
    <w:rsid w:val="00032F57"/>
    <w:rsid w:val="0003570C"/>
    <w:rsid w:val="0004608E"/>
    <w:rsid w:val="00052046"/>
    <w:rsid w:val="00062292"/>
    <w:rsid w:val="0006259C"/>
    <w:rsid w:val="000750E5"/>
    <w:rsid w:val="000822C1"/>
    <w:rsid w:val="000973DB"/>
    <w:rsid w:val="000A79D8"/>
    <w:rsid w:val="000B5628"/>
    <w:rsid w:val="000C073B"/>
    <w:rsid w:val="000E41A9"/>
    <w:rsid w:val="00140B4D"/>
    <w:rsid w:val="00152E35"/>
    <w:rsid w:val="00172EBB"/>
    <w:rsid w:val="00180D9B"/>
    <w:rsid w:val="0018498C"/>
    <w:rsid w:val="00195FFB"/>
    <w:rsid w:val="001A2849"/>
    <w:rsid w:val="001B087C"/>
    <w:rsid w:val="001B0B7D"/>
    <w:rsid w:val="001B4A39"/>
    <w:rsid w:val="001C1B0E"/>
    <w:rsid w:val="001D7F87"/>
    <w:rsid w:val="00212F78"/>
    <w:rsid w:val="00235A70"/>
    <w:rsid w:val="00243CDC"/>
    <w:rsid w:val="00256AE4"/>
    <w:rsid w:val="00260CA7"/>
    <w:rsid w:val="002610B3"/>
    <w:rsid w:val="0028329C"/>
    <w:rsid w:val="002A04BC"/>
    <w:rsid w:val="002A40ED"/>
    <w:rsid w:val="002A72D7"/>
    <w:rsid w:val="002A7804"/>
    <w:rsid w:val="002C1375"/>
    <w:rsid w:val="002E6A63"/>
    <w:rsid w:val="00322079"/>
    <w:rsid w:val="00345442"/>
    <w:rsid w:val="00373B60"/>
    <w:rsid w:val="003764D7"/>
    <w:rsid w:val="00387DA7"/>
    <w:rsid w:val="00394181"/>
    <w:rsid w:val="003C734D"/>
    <w:rsid w:val="003F0D12"/>
    <w:rsid w:val="003F4195"/>
    <w:rsid w:val="004005D7"/>
    <w:rsid w:val="00443815"/>
    <w:rsid w:val="00480546"/>
    <w:rsid w:val="004871AE"/>
    <w:rsid w:val="004D0BC7"/>
    <w:rsid w:val="004D4D71"/>
    <w:rsid w:val="004E0638"/>
    <w:rsid w:val="004F64FA"/>
    <w:rsid w:val="0050250F"/>
    <w:rsid w:val="00530174"/>
    <w:rsid w:val="005541C5"/>
    <w:rsid w:val="00572BA4"/>
    <w:rsid w:val="00575370"/>
    <w:rsid w:val="00586453"/>
    <w:rsid w:val="00592663"/>
    <w:rsid w:val="005938A1"/>
    <w:rsid w:val="005A46BD"/>
    <w:rsid w:val="005E12D6"/>
    <w:rsid w:val="005F3DEB"/>
    <w:rsid w:val="006179F4"/>
    <w:rsid w:val="00641912"/>
    <w:rsid w:val="006524B0"/>
    <w:rsid w:val="00670902"/>
    <w:rsid w:val="006729EE"/>
    <w:rsid w:val="00684999"/>
    <w:rsid w:val="00691430"/>
    <w:rsid w:val="006A19ED"/>
    <w:rsid w:val="006D1402"/>
    <w:rsid w:val="006D440C"/>
    <w:rsid w:val="006E031C"/>
    <w:rsid w:val="00701848"/>
    <w:rsid w:val="007032CE"/>
    <w:rsid w:val="00703C96"/>
    <w:rsid w:val="00710932"/>
    <w:rsid w:val="007233EA"/>
    <w:rsid w:val="0074213F"/>
    <w:rsid w:val="007446D5"/>
    <w:rsid w:val="00745414"/>
    <w:rsid w:val="0077560E"/>
    <w:rsid w:val="007A02ED"/>
    <w:rsid w:val="007C7A9A"/>
    <w:rsid w:val="007D002F"/>
    <w:rsid w:val="007E77D6"/>
    <w:rsid w:val="00826D40"/>
    <w:rsid w:val="00833EB9"/>
    <w:rsid w:val="00833F08"/>
    <w:rsid w:val="00836968"/>
    <w:rsid w:val="008634B5"/>
    <w:rsid w:val="00872B14"/>
    <w:rsid w:val="00893ABB"/>
    <w:rsid w:val="00896AE8"/>
    <w:rsid w:val="008A2C46"/>
    <w:rsid w:val="008C1B05"/>
    <w:rsid w:val="008D79CC"/>
    <w:rsid w:val="008F20A0"/>
    <w:rsid w:val="00907BC9"/>
    <w:rsid w:val="00910C26"/>
    <w:rsid w:val="009156FC"/>
    <w:rsid w:val="00917C09"/>
    <w:rsid w:val="00951AE0"/>
    <w:rsid w:val="00953ECD"/>
    <w:rsid w:val="00971247"/>
    <w:rsid w:val="009803ED"/>
    <w:rsid w:val="00992CAC"/>
    <w:rsid w:val="00997969"/>
    <w:rsid w:val="009A5760"/>
    <w:rsid w:val="009A6B96"/>
    <w:rsid w:val="009F0DCA"/>
    <w:rsid w:val="009F287C"/>
    <w:rsid w:val="00A27D08"/>
    <w:rsid w:val="00A30D64"/>
    <w:rsid w:val="00A35D8B"/>
    <w:rsid w:val="00A4369C"/>
    <w:rsid w:val="00A4578C"/>
    <w:rsid w:val="00A51442"/>
    <w:rsid w:val="00A55982"/>
    <w:rsid w:val="00A81C77"/>
    <w:rsid w:val="00A83148"/>
    <w:rsid w:val="00A97D3A"/>
    <w:rsid w:val="00AA791D"/>
    <w:rsid w:val="00AC6482"/>
    <w:rsid w:val="00AF2917"/>
    <w:rsid w:val="00B43DDA"/>
    <w:rsid w:val="00B475D3"/>
    <w:rsid w:val="00B65F0E"/>
    <w:rsid w:val="00B83010"/>
    <w:rsid w:val="00BB690B"/>
    <w:rsid w:val="00BC23D7"/>
    <w:rsid w:val="00BE37D5"/>
    <w:rsid w:val="00BE6552"/>
    <w:rsid w:val="00BF061E"/>
    <w:rsid w:val="00C05708"/>
    <w:rsid w:val="00C2094D"/>
    <w:rsid w:val="00C33B92"/>
    <w:rsid w:val="00C37B41"/>
    <w:rsid w:val="00C728F9"/>
    <w:rsid w:val="00C8718B"/>
    <w:rsid w:val="00C92D12"/>
    <w:rsid w:val="00C93183"/>
    <w:rsid w:val="00CB063F"/>
    <w:rsid w:val="00CB1C3E"/>
    <w:rsid w:val="00CB3694"/>
    <w:rsid w:val="00CC50C6"/>
    <w:rsid w:val="00CD1F4F"/>
    <w:rsid w:val="00CE29FB"/>
    <w:rsid w:val="00D243F6"/>
    <w:rsid w:val="00D35DFA"/>
    <w:rsid w:val="00D475E7"/>
    <w:rsid w:val="00D643A2"/>
    <w:rsid w:val="00D74DAB"/>
    <w:rsid w:val="00D84459"/>
    <w:rsid w:val="00D84913"/>
    <w:rsid w:val="00D93BFB"/>
    <w:rsid w:val="00DA4932"/>
    <w:rsid w:val="00DB372B"/>
    <w:rsid w:val="00DB4EB8"/>
    <w:rsid w:val="00DD4CA9"/>
    <w:rsid w:val="00DD77BC"/>
    <w:rsid w:val="00E560C0"/>
    <w:rsid w:val="00E77B62"/>
    <w:rsid w:val="00E80EE9"/>
    <w:rsid w:val="00EC3B6C"/>
    <w:rsid w:val="00EC483B"/>
    <w:rsid w:val="00EC6E13"/>
    <w:rsid w:val="00EE1CA6"/>
    <w:rsid w:val="00EF3BA2"/>
    <w:rsid w:val="00F42495"/>
    <w:rsid w:val="00F43239"/>
    <w:rsid w:val="00F62347"/>
    <w:rsid w:val="00F67749"/>
    <w:rsid w:val="00F70FBD"/>
    <w:rsid w:val="00F77683"/>
    <w:rsid w:val="00FB129A"/>
    <w:rsid w:val="00FC29AD"/>
    <w:rsid w:val="00FC4D7A"/>
    <w:rsid w:val="00FC70AB"/>
    <w:rsid w:val="00FD6C73"/>
    <w:rsid w:val="00FE5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D7B93"/>
  <w15:chartTrackingRefBased/>
  <w15:docId w15:val="{7FAC0379-61C0-4F28-8F53-20D0AFA7E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24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B690B"/>
    <w:rPr>
      <w:color w:val="0563C1" w:themeColor="hyperlink"/>
      <w:u w:val="single"/>
    </w:rPr>
  </w:style>
  <w:style w:type="character" w:styleId="UnresolvedMention">
    <w:name w:val="Unresolved Mention"/>
    <w:basedOn w:val="DefaultParagraphFont"/>
    <w:uiPriority w:val="99"/>
    <w:semiHidden/>
    <w:unhideWhenUsed/>
    <w:rsid w:val="00BB69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5156049">
      <w:bodyDiv w:val="1"/>
      <w:marLeft w:val="0"/>
      <w:marRight w:val="0"/>
      <w:marTop w:val="0"/>
      <w:marBottom w:val="0"/>
      <w:divBdr>
        <w:top w:val="none" w:sz="0" w:space="0" w:color="auto"/>
        <w:left w:val="none" w:sz="0" w:space="0" w:color="auto"/>
        <w:bottom w:val="none" w:sz="0" w:space="0" w:color="auto"/>
        <w:right w:val="none" w:sz="0" w:space="0" w:color="auto"/>
      </w:divBdr>
      <w:divsChild>
        <w:div w:id="20307950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1378</TotalTime>
  <Pages>9</Pages>
  <Words>3124</Words>
  <Characters>17808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dc:creator>
  <cp:keywords/>
  <dc:description/>
  <cp:lastModifiedBy>Rebecca</cp:lastModifiedBy>
  <cp:revision>180</cp:revision>
  <dcterms:created xsi:type="dcterms:W3CDTF">2022-12-14T19:20:00Z</dcterms:created>
  <dcterms:modified xsi:type="dcterms:W3CDTF">2022-12-15T18:18:00Z</dcterms:modified>
</cp:coreProperties>
</file>