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BD6A7"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bookmarkStart w:id="0" w:name="_Toc213176759"/>
      <w:bookmarkStart w:id="1" w:name="_Toc213787833"/>
    </w:p>
    <w:p w14:paraId="65ED23C8"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p>
    <w:p w14:paraId="0F4B777F"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p>
    <w:p w14:paraId="2F7160B9" w14:textId="27B04A86"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32"/>
          <w:szCs w:val="32"/>
          <w:lang w:val="en-GB"/>
        </w:rPr>
      </w:pPr>
      <w:r>
        <w:rPr>
          <w:rFonts w:ascii="Helvetica" w:hAnsi="Helvetica" w:cs="Helvetica"/>
          <w:noProof/>
          <w:kern w:val="0"/>
          <w:sz w:val="32"/>
          <w:szCs w:val="32"/>
          <w:lang w:val="en-GB"/>
        </w:rPr>
        <w:drawing>
          <wp:inline distT="0" distB="0" distL="0" distR="0" wp14:anchorId="3127BA44" wp14:editId="25DDB528">
            <wp:extent cx="5715000" cy="3175000"/>
            <wp:effectExtent l="0" t="0" r="0" b="0"/>
            <wp:docPr id="815031839"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31839" name="Picture 1" descr="A logo for a universit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15000" cy="3175000"/>
                    </a:xfrm>
                    <a:prstGeom prst="rect">
                      <a:avLst/>
                    </a:prstGeom>
                  </pic:spPr>
                </pic:pic>
              </a:graphicData>
            </a:graphic>
          </wp:inline>
        </w:drawing>
      </w:r>
    </w:p>
    <w:p w14:paraId="13091FAC" w14:textId="77777777" w:rsid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32"/>
          <w:szCs w:val="32"/>
          <w:lang w:val="en-GB"/>
        </w:rPr>
      </w:pPr>
    </w:p>
    <w:p w14:paraId="6D72EA11" w14:textId="666A31E6"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Programme: Master of Business Administration</w:t>
      </w:r>
    </w:p>
    <w:p w14:paraId="6C8A7A12" w14:textId="77777777"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Module: Human Capital Management</w:t>
      </w:r>
    </w:p>
    <w:p w14:paraId="1779F3F6" w14:textId="77777777" w:rsidR="00C47A06"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Module code: LCMB7023</w:t>
      </w:r>
    </w:p>
    <w:p w14:paraId="2ED4E46C" w14:textId="3B530605" w:rsidR="00DE6263" w:rsidRPr="00DE6263" w:rsidRDefault="00DE6263"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Pr>
          <w:rFonts w:ascii="Helvetica" w:hAnsi="Helvetica" w:cs="Helvetica"/>
          <w:kern w:val="0"/>
          <w:sz w:val="32"/>
          <w:szCs w:val="32"/>
          <w:lang w:val="en-GB"/>
        </w:rPr>
        <w:t>Word count: 2,539</w:t>
      </w:r>
    </w:p>
    <w:p w14:paraId="3C90DBBD" w14:textId="3A4D729F"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Student Id: 2504020</w:t>
      </w:r>
    </w:p>
    <w:p w14:paraId="1B248C90" w14:textId="7D038DD8" w:rsidR="00C47A06"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 xml:space="preserve">Name: </w:t>
      </w:r>
      <w:r w:rsidR="00DE6263" w:rsidRPr="00DE6263">
        <w:rPr>
          <w:rFonts w:ascii="Helvetica" w:hAnsi="Helvetica" w:cs="Helvetica"/>
          <w:kern w:val="0"/>
          <w:sz w:val="32"/>
          <w:szCs w:val="32"/>
          <w:lang w:val="en-GB"/>
        </w:rPr>
        <w:t>Shubham Yadav</w:t>
      </w:r>
    </w:p>
    <w:p w14:paraId="5251D906" w14:textId="732986C8" w:rsidR="000204DB" w:rsidRPr="00DE6263" w:rsidRDefault="00C47A06" w:rsidP="00DE62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Helvetica" w:hAnsi="Helvetica" w:cs="Helvetica"/>
          <w:kern w:val="0"/>
          <w:sz w:val="32"/>
          <w:szCs w:val="32"/>
          <w:lang w:val="en-GB"/>
        </w:rPr>
      </w:pPr>
      <w:r w:rsidRPr="00DE6263">
        <w:rPr>
          <w:rFonts w:ascii="Helvetica" w:hAnsi="Helvetica" w:cs="Helvetica"/>
          <w:kern w:val="0"/>
          <w:sz w:val="32"/>
          <w:szCs w:val="32"/>
          <w:lang w:val="en-GB"/>
        </w:rPr>
        <w:t>Professor: Dr. Gladius David Kulothungan</w:t>
      </w:r>
    </w:p>
    <w:p w14:paraId="06B4CA29" w14:textId="77777777" w:rsidR="000204DB" w:rsidRDefault="000204DB" w:rsidP="000204DB">
      <w:pPr>
        <w:rPr>
          <w:lang w:val="en-US"/>
        </w:rPr>
      </w:pPr>
    </w:p>
    <w:p w14:paraId="5AEDC586" w14:textId="77777777" w:rsidR="000204DB" w:rsidRDefault="000204DB" w:rsidP="000204DB">
      <w:pPr>
        <w:rPr>
          <w:lang w:val="en-US"/>
        </w:rPr>
      </w:pPr>
    </w:p>
    <w:p w14:paraId="6379BC08" w14:textId="77777777" w:rsidR="000204DB" w:rsidRDefault="000204DB" w:rsidP="000204DB">
      <w:pPr>
        <w:rPr>
          <w:lang w:val="en-US"/>
        </w:rPr>
      </w:pPr>
    </w:p>
    <w:p w14:paraId="447A9CE7" w14:textId="77777777" w:rsidR="000204DB" w:rsidRDefault="000204DB" w:rsidP="000204DB">
      <w:pPr>
        <w:rPr>
          <w:lang w:val="en-US"/>
        </w:rPr>
      </w:pPr>
    </w:p>
    <w:p w14:paraId="33E1A264" w14:textId="77777777" w:rsidR="000204DB" w:rsidRDefault="000204DB" w:rsidP="000204DB">
      <w:pPr>
        <w:rPr>
          <w:lang w:val="en-US"/>
        </w:rPr>
      </w:pPr>
    </w:p>
    <w:p w14:paraId="44BBF309" w14:textId="77777777" w:rsidR="000204DB" w:rsidRDefault="000204DB" w:rsidP="000204DB">
      <w:pPr>
        <w:rPr>
          <w:lang w:val="en-US"/>
        </w:rPr>
      </w:pPr>
    </w:p>
    <w:p w14:paraId="1076E4D9" w14:textId="77777777" w:rsidR="000204DB" w:rsidRDefault="000204DB" w:rsidP="000204DB">
      <w:pPr>
        <w:rPr>
          <w:lang w:val="en-US"/>
        </w:rPr>
      </w:pPr>
    </w:p>
    <w:p w14:paraId="031DE65F" w14:textId="77777777" w:rsidR="000204DB" w:rsidRDefault="000204DB" w:rsidP="000204DB">
      <w:pPr>
        <w:rPr>
          <w:lang w:val="en-US"/>
        </w:rPr>
      </w:pPr>
    </w:p>
    <w:p w14:paraId="131EE031" w14:textId="77777777" w:rsidR="000204DB" w:rsidRDefault="000204DB" w:rsidP="000204DB">
      <w:pPr>
        <w:rPr>
          <w:lang w:val="en-US"/>
        </w:rPr>
      </w:pPr>
    </w:p>
    <w:p w14:paraId="594078BB" w14:textId="77777777" w:rsidR="000204DB" w:rsidRDefault="000204DB" w:rsidP="000204DB">
      <w:pPr>
        <w:rPr>
          <w:lang w:val="en-US"/>
        </w:rPr>
      </w:pPr>
    </w:p>
    <w:p w14:paraId="1AEBA20C" w14:textId="77777777" w:rsidR="000204DB" w:rsidRDefault="000204DB" w:rsidP="000204DB">
      <w:pPr>
        <w:rPr>
          <w:lang w:val="en-US"/>
        </w:rPr>
      </w:pPr>
    </w:p>
    <w:sdt>
      <w:sdtPr>
        <w:rPr>
          <w:rFonts w:asciiTheme="minorHAnsi" w:eastAsiaTheme="minorHAnsi" w:hAnsiTheme="minorHAnsi" w:cstheme="minorBidi"/>
          <w:color w:val="auto"/>
          <w:kern w:val="2"/>
          <w:sz w:val="22"/>
          <w:szCs w:val="22"/>
          <w:lang w:val="en-IN"/>
          <w14:ligatures w14:val="standardContextual"/>
        </w:rPr>
        <w:id w:val="-472988171"/>
        <w:docPartObj>
          <w:docPartGallery w:val="Table of Contents"/>
          <w:docPartUnique/>
        </w:docPartObj>
      </w:sdtPr>
      <w:sdtEndPr>
        <w:rPr>
          <w:b/>
          <w:bCs/>
          <w:noProof/>
        </w:rPr>
      </w:sdtEndPr>
      <w:sdtContent>
        <w:p w14:paraId="4A680073" w14:textId="050D7FAD" w:rsidR="000204DB" w:rsidRDefault="000204DB">
          <w:pPr>
            <w:pStyle w:val="TOCHeading"/>
          </w:pPr>
          <w:r>
            <w:t>Contents</w:t>
          </w:r>
        </w:p>
        <w:p w14:paraId="6DAD27E5" w14:textId="6F1C9E61" w:rsidR="000204DB" w:rsidRDefault="000204DB">
          <w:pPr>
            <w:pStyle w:val="TOC1"/>
            <w:tabs>
              <w:tab w:val="left" w:pos="48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3956613" w:history="1">
            <w:r w:rsidRPr="008A429B">
              <w:rPr>
                <w:rStyle w:val="Hyperlink"/>
                <w:rFonts w:eastAsia="Times New Roman"/>
                <w:b/>
                <w:bCs/>
                <w:noProof/>
                <w:lang w:val="en-GB" w:eastAsia="en-GB"/>
              </w:rPr>
              <w:t>1.</w:t>
            </w:r>
            <w:r>
              <w:rPr>
                <w:rFonts w:eastAsiaTheme="minorEastAsia"/>
                <w:noProof/>
                <w:sz w:val="24"/>
                <w:szCs w:val="24"/>
                <w:lang w:eastAsia="en-IN"/>
              </w:rPr>
              <w:tab/>
            </w:r>
            <w:r w:rsidRPr="008A429B">
              <w:rPr>
                <w:rStyle w:val="Hyperlink"/>
                <w:rFonts w:eastAsia="Times New Roman"/>
                <w:b/>
                <w:bCs/>
                <w:noProof/>
                <w:lang w:val="en-GB" w:eastAsia="en-GB"/>
              </w:rPr>
              <w:t>Introduction</w:t>
            </w:r>
            <w:r>
              <w:rPr>
                <w:noProof/>
                <w:webHidden/>
              </w:rPr>
              <w:tab/>
            </w:r>
            <w:r>
              <w:rPr>
                <w:noProof/>
                <w:webHidden/>
              </w:rPr>
              <w:fldChar w:fldCharType="begin"/>
            </w:r>
            <w:r>
              <w:rPr>
                <w:noProof/>
                <w:webHidden/>
              </w:rPr>
              <w:instrText xml:space="preserve"> PAGEREF _Toc213956613 \h </w:instrText>
            </w:r>
            <w:r>
              <w:rPr>
                <w:noProof/>
                <w:webHidden/>
              </w:rPr>
            </w:r>
            <w:r>
              <w:rPr>
                <w:noProof/>
                <w:webHidden/>
              </w:rPr>
              <w:fldChar w:fldCharType="separate"/>
            </w:r>
            <w:r>
              <w:rPr>
                <w:noProof/>
                <w:webHidden/>
              </w:rPr>
              <w:t>1</w:t>
            </w:r>
            <w:r>
              <w:rPr>
                <w:noProof/>
                <w:webHidden/>
              </w:rPr>
              <w:fldChar w:fldCharType="end"/>
            </w:r>
          </w:hyperlink>
        </w:p>
        <w:p w14:paraId="26E05F53" w14:textId="4B110E1B" w:rsidR="000204DB" w:rsidRDefault="000204DB">
          <w:pPr>
            <w:pStyle w:val="TOC1"/>
            <w:tabs>
              <w:tab w:val="left" w:pos="480"/>
              <w:tab w:val="right" w:leader="dot" w:pos="9016"/>
            </w:tabs>
            <w:rPr>
              <w:rFonts w:eastAsiaTheme="minorEastAsia"/>
              <w:noProof/>
              <w:sz w:val="24"/>
              <w:szCs w:val="24"/>
              <w:lang w:eastAsia="en-IN"/>
            </w:rPr>
          </w:pPr>
          <w:hyperlink w:anchor="_Toc213956614" w:history="1">
            <w:r w:rsidRPr="008A429B">
              <w:rPr>
                <w:rStyle w:val="Hyperlink"/>
                <w:rFonts w:eastAsia="Times New Roman"/>
                <w:b/>
                <w:bCs/>
                <w:noProof/>
                <w:lang w:val="en-GB" w:eastAsia="en-GB"/>
              </w:rPr>
              <w:t>2.</w:t>
            </w:r>
            <w:r>
              <w:rPr>
                <w:rFonts w:eastAsiaTheme="minorEastAsia"/>
                <w:noProof/>
                <w:sz w:val="24"/>
                <w:szCs w:val="24"/>
                <w:lang w:eastAsia="en-IN"/>
              </w:rPr>
              <w:tab/>
            </w:r>
            <w:r w:rsidRPr="008A429B">
              <w:rPr>
                <w:rStyle w:val="Hyperlink"/>
                <w:rFonts w:eastAsia="Times New Roman"/>
                <w:b/>
                <w:bCs/>
                <w:noProof/>
                <w:lang w:val="en-GB" w:eastAsia="en-GB"/>
              </w:rPr>
              <w:t>Technological Advancements Reshaping Labour Markets and Implications for HRM/IHRM</w:t>
            </w:r>
            <w:r>
              <w:rPr>
                <w:noProof/>
                <w:webHidden/>
              </w:rPr>
              <w:tab/>
            </w:r>
            <w:r>
              <w:rPr>
                <w:noProof/>
                <w:webHidden/>
              </w:rPr>
              <w:fldChar w:fldCharType="begin"/>
            </w:r>
            <w:r>
              <w:rPr>
                <w:noProof/>
                <w:webHidden/>
              </w:rPr>
              <w:instrText xml:space="preserve"> PAGEREF _Toc213956614 \h </w:instrText>
            </w:r>
            <w:r>
              <w:rPr>
                <w:noProof/>
                <w:webHidden/>
              </w:rPr>
            </w:r>
            <w:r>
              <w:rPr>
                <w:noProof/>
                <w:webHidden/>
              </w:rPr>
              <w:fldChar w:fldCharType="separate"/>
            </w:r>
            <w:r>
              <w:rPr>
                <w:noProof/>
                <w:webHidden/>
              </w:rPr>
              <w:t>2</w:t>
            </w:r>
            <w:r>
              <w:rPr>
                <w:noProof/>
                <w:webHidden/>
              </w:rPr>
              <w:fldChar w:fldCharType="end"/>
            </w:r>
          </w:hyperlink>
        </w:p>
        <w:p w14:paraId="08B5B29F" w14:textId="6E8D639E" w:rsidR="000204DB" w:rsidRDefault="000204DB">
          <w:pPr>
            <w:pStyle w:val="TOC1"/>
            <w:tabs>
              <w:tab w:val="left" w:pos="480"/>
              <w:tab w:val="right" w:leader="dot" w:pos="9016"/>
            </w:tabs>
            <w:rPr>
              <w:rFonts w:eastAsiaTheme="minorEastAsia"/>
              <w:noProof/>
              <w:sz w:val="24"/>
              <w:szCs w:val="24"/>
              <w:lang w:eastAsia="en-IN"/>
            </w:rPr>
          </w:pPr>
          <w:hyperlink w:anchor="_Toc213956615" w:history="1">
            <w:r w:rsidRPr="008A429B">
              <w:rPr>
                <w:rStyle w:val="Hyperlink"/>
                <w:rFonts w:eastAsia="Times New Roman"/>
                <w:b/>
                <w:bCs/>
                <w:noProof/>
                <w:lang w:val="en-GB" w:eastAsia="en-GB"/>
              </w:rPr>
              <w:t>3.</w:t>
            </w:r>
            <w:r>
              <w:rPr>
                <w:rFonts w:eastAsiaTheme="minorEastAsia"/>
                <w:noProof/>
                <w:sz w:val="24"/>
                <w:szCs w:val="24"/>
                <w:lang w:eastAsia="en-IN"/>
              </w:rPr>
              <w:tab/>
            </w:r>
            <w:r w:rsidRPr="008A429B">
              <w:rPr>
                <w:rStyle w:val="Hyperlink"/>
                <w:rFonts w:eastAsia="Times New Roman"/>
                <w:b/>
                <w:bCs/>
                <w:noProof/>
                <w:lang w:val="en-GB" w:eastAsia="en-GB"/>
              </w:rPr>
              <w:t>Demographic and Geopolitical Influences on Employment Markets</w:t>
            </w:r>
            <w:r>
              <w:rPr>
                <w:noProof/>
                <w:webHidden/>
              </w:rPr>
              <w:tab/>
            </w:r>
            <w:r>
              <w:rPr>
                <w:noProof/>
                <w:webHidden/>
              </w:rPr>
              <w:fldChar w:fldCharType="begin"/>
            </w:r>
            <w:r>
              <w:rPr>
                <w:noProof/>
                <w:webHidden/>
              </w:rPr>
              <w:instrText xml:space="preserve"> PAGEREF _Toc213956615 \h </w:instrText>
            </w:r>
            <w:r>
              <w:rPr>
                <w:noProof/>
                <w:webHidden/>
              </w:rPr>
            </w:r>
            <w:r>
              <w:rPr>
                <w:noProof/>
                <w:webHidden/>
              </w:rPr>
              <w:fldChar w:fldCharType="separate"/>
            </w:r>
            <w:r>
              <w:rPr>
                <w:noProof/>
                <w:webHidden/>
              </w:rPr>
              <w:t>4</w:t>
            </w:r>
            <w:r>
              <w:rPr>
                <w:noProof/>
                <w:webHidden/>
              </w:rPr>
              <w:fldChar w:fldCharType="end"/>
            </w:r>
          </w:hyperlink>
        </w:p>
        <w:p w14:paraId="3D922B78" w14:textId="72F6F3DE" w:rsidR="000204DB" w:rsidRDefault="000204DB">
          <w:pPr>
            <w:pStyle w:val="TOC1"/>
            <w:tabs>
              <w:tab w:val="left" w:pos="480"/>
              <w:tab w:val="right" w:leader="dot" w:pos="9016"/>
            </w:tabs>
            <w:rPr>
              <w:rFonts w:eastAsiaTheme="minorEastAsia"/>
              <w:noProof/>
              <w:sz w:val="24"/>
              <w:szCs w:val="24"/>
              <w:lang w:eastAsia="en-IN"/>
            </w:rPr>
          </w:pPr>
          <w:hyperlink w:anchor="_Toc213956616" w:history="1">
            <w:r w:rsidRPr="008A429B">
              <w:rPr>
                <w:rStyle w:val="Hyperlink"/>
                <w:rFonts w:eastAsia="Times New Roman"/>
                <w:b/>
                <w:bCs/>
                <w:noProof/>
                <w:lang w:val="en-GB" w:eastAsia="en-GB"/>
              </w:rPr>
              <w:t>4.</w:t>
            </w:r>
            <w:r>
              <w:rPr>
                <w:rFonts w:eastAsiaTheme="minorEastAsia"/>
                <w:noProof/>
                <w:sz w:val="24"/>
                <w:szCs w:val="24"/>
                <w:lang w:eastAsia="en-IN"/>
              </w:rPr>
              <w:tab/>
            </w:r>
            <w:r w:rsidRPr="008A429B">
              <w:rPr>
                <w:rStyle w:val="Hyperlink"/>
                <w:rFonts w:eastAsia="Times New Roman"/>
                <w:b/>
                <w:bCs/>
                <w:noProof/>
                <w:lang w:val="en-GB" w:eastAsia="en-GB"/>
              </w:rPr>
              <w:t>Addressing Skills Gaps and Talent Shortages through Strategic HRM</w:t>
            </w:r>
            <w:r>
              <w:rPr>
                <w:noProof/>
                <w:webHidden/>
              </w:rPr>
              <w:tab/>
            </w:r>
            <w:r>
              <w:rPr>
                <w:noProof/>
                <w:webHidden/>
              </w:rPr>
              <w:fldChar w:fldCharType="begin"/>
            </w:r>
            <w:r>
              <w:rPr>
                <w:noProof/>
                <w:webHidden/>
              </w:rPr>
              <w:instrText xml:space="preserve"> PAGEREF _Toc213956616 \h </w:instrText>
            </w:r>
            <w:r>
              <w:rPr>
                <w:noProof/>
                <w:webHidden/>
              </w:rPr>
            </w:r>
            <w:r>
              <w:rPr>
                <w:noProof/>
                <w:webHidden/>
              </w:rPr>
              <w:fldChar w:fldCharType="separate"/>
            </w:r>
            <w:r>
              <w:rPr>
                <w:noProof/>
                <w:webHidden/>
              </w:rPr>
              <w:t>6</w:t>
            </w:r>
            <w:r>
              <w:rPr>
                <w:noProof/>
                <w:webHidden/>
              </w:rPr>
              <w:fldChar w:fldCharType="end"/>
            </w:r>
          </w:hyperlink>
        </w:p>
        <w:p w14:paraId="2B9A6CCB" w14:textId="3A322999" w:rsidR="000204DB" w:rsidRDefault="000204DB">
          <w:pPr>
            <w:pStyle w:val="TOC1"/>
            <w:tabs>
              <w:tab w:val="left" w:pos="480"/>
              <w:tab w:val="right" w:leader="dot" w:pos="9016"/>
            </w:tabs>
            <w:rPr>
              <w:rFonts w:eastAsiaTheme="minorEastAsia"/>
              <w:noProof/>
              <w:sz w:val="24"/>
              <w:szCs w:val="24"/>
              <w:lang w:eastAsia="en-IN"/>
            </w:rPr>
          </w:pPr>
          <w:hyperlink w:anchor="_Toc213956617" w:history="1">
            <w:r w:rsidRPr="008A429B">
              <w:rPr>
                <w:rStyle w:val="Hyperlink"/>
                <w:rFonts w:eastAsia="Times New Roman"/>
                <w:b/>
                <w:bCs/>
                <w:noProof/>
                <w:lang w:val="en-GB" w:eastAsia="en-GB"/>
              </w:rPr>
              <w:t>5.</w:t>
            </w:r>
            <w:r>
              <w:rPr>
                <w:rFonts w:eastAsiaTheme="minorEastAsia"/>
                <w:noProof/>
                <w:sz w:val="24"/>
                <w:szCs w:val="24"/>
                <w:lang w:eastAsia="en-IN"/>
              </w:rPr>
              <w:tab/>
            </w:r>
            <w:r w:rsidRPr="008A429B">
              <w:rPr>
                <w:rStyle w:val="Hyperlink"/>
                <w:rFonts w:eastAsia="Times New Roman"/>
                <w:b/>
                <w:bCs/>
                <w:noProof/>
                <w:lang w:val="en-GB" w:eastAsia="en-GB"/>
              </w:rPr>
              <w:t>Reflective Report on International Capability Development</w:t>
            </w:r>
            <w:r>
              <w:rPr>
                <w:noProof/>
                <w:webHidden/>
              </w:rPr>
              <w:tab/>
            </w:r>
            <w:r>
              <w:rPr>
                <w:noProof/>
                <w:webHidden/>
              </w:rPr>
              <w:fldChar w:fldCharType="begin"/>
            </w:r>
            <w:r>
              <w:rPr>
                <w:noProof/>
                <w:webHidden/>
              </w:rPr>
              <w:instrText xml:space="preserve"> PAGEREF _Toc213956617 \h </w:instrText>
            </w:r>
            <w:r>
              <w:rPr>
                <w:noProof/>
                <w:webHidden/>
              </w:rPr>
            </w:r>
            <w:r>
              <w:rPr>
                <w:noProof/>
                <w:webHidden/>
              </w:rPr>
              <w:fldChar w:fldCharType="separate"/>
            </w:r>
            <w:r>
              <w:rPr>
                <w:noProof/>
                <w:webHidden/>
              </w:rPr>
              <w:t>9</w:t>
            </w:r>
            <w:r>
              <w:rPr>
                <w:noProof/>
                <w:webHidden/>
              </w:rPr>
              <w:fldChar w:fldCharType="end"/>
            </w:r>
          </w:hyperlink>
        </w:p>
        <w:p w14:paraId="5E4C6530" w14:textId="152E355A" w:rsidR="000204DB" w:rsidRDefault="000204DB">
          <w:pPr>
            <w:pStyle w:val="TOC1"/>
            <w:tabs>
              <w:tab w:val="left" w:pos="480"/>
              <w:tab w:val="right" w:leader="dot" w:pos="9016"/>
            </w:tabs>
            <w:rPr>
              <w:rFonts w:eastAsiaTheme="minorEastAsia"/>
              <w:noProof/>
              <w:sz w:val="24"/>
              <w:szCs w:val="24"/>
              <w:lang w:eastAsia="en-IN"/>
            </w:rPr>
          </w:pPr>
          <w:hyperlink w:anchor="_Toc213956618" w:history="1">
            <w:r w:rsidRPr="008A429B">
              <w:rPr>
                <w:rStyle w:val="Hyperlink"/>
                <w:rFonts w:eastAsia="Times New Roman"/>
                <w:b/>
                <w:bCs/>
                <w:noProof/>
                <w:lang w:val="en-GB" w:eastAsia="en-GB"/>
              </w:rPr>
              <w:t>6.</w:t>
            </w:r>
            <w:r>
              <w:rPr>
                <w:rFonts w:eastAsiaTheme="minorEastAsia"/>
                <w:noProof/>
                <w:sz w:val="24"/>
                <w:szCs w:val="24"/>
                <w:lang w:eastAsia="en-IN"/>
              </w:rPr>
              <w:tab/>
            </w:r>
            <w:r w:rsidRPr="008A429B">
              <w:rPr>
                <w:rStyle w:val="Hyperlink"/>
                <w:rFonts w:eastAsia="Times New Roman"/>
                <w:b/>
                <w:bCs/>
                <w:noProof/>
                <w:lang w:val="en-GB" w:eastAsia="en-GB"/>
              </w:rPr>
              <w:t>Conclusion &amp; Recommendations</w:t>
            </w:r>
            <w:r>
              <w:rPr>
                <w:noProof/>
                <w:webHidden/>
              </w:rPr>
              <w:tab/>
            </w:r>
            <w:r>
              <w:rPr>
                <w:noProof/>
                <w:webHidden/>
              </w:rPr>
              <w:fldChar w:fldCharType="begin"/>
            </w:r>
            <w:r>
              <w:rPr>
                <w:noProof/>
                <w:webHidden/>
              </w:rPr>
              <w:instrText xml:space="preserve"> PAGEREF _Toc213956618 \h </w:instrText>
            </w:r>
            <w:r>
              <w:rPr>
                <w:noProof/>
                <w:webHidden/>
              </w:rPr>
            </w:r>
            <w:r>
              <w:rPr>
                <w:noProof/>
                <w:webHidden/>
              </w:rPr>
              <w:fldChar w:fldCharType="separate"/>
            </w:r>
            <w:r>
              <w:rPr>
                <w:noProof/>
                <w:webHidden/>
              </w:rPr>
              <w:t>11</w:t>
            </w:r>
            <w:r>
              <w:rPr>
                <w:noProof/>
                <w:webHidden/>
              </w:rPr>
              <w:fldChar w:fldCharType="end"/>
            </w:r>
          </w:hyperlink>
        </w:p>
        <w:p w14:paraId="33D2BA2E" w14:textId="21CBC364" w:rsidR="000204DB" w:rsidRDefault="000204DB">
          <w:pPr>
            <w:pStyle w:val="TOC1"/>
            <w:tabs>
              <w:tab w:val="left" w:pos="480"/>
              <w:tab w:val="right" w:leader="dot" w:pos="9016"/>
            </w:tabs>
            <w:rPr>
              <w:rFonts w:eastAsiaTheme="minorEastAsia"/>
              <w:noProof/>
              <w:sz w:val="24"/>
              <w:szCs w:val="24"/>
              <w:lang w:eastAsia="en-IN"/>
            </w:rPr>
          </w:pPr>
          <w:hyperlink w:anchor="_Toc213956619" w:history="1">
            <w:r w:rsidRPr="008A429B">
              <w:rPr>
                <w:rStyle w:val="Hyperlink"/>
                <w:rFonts w:eastAsia="Aptos"/>
                <w:b/>
                <w:bCs/>
                <w:noProof/>
                <w:lang w:val="en-GB"/>
              </w:rPr>
              <w:t>7.</w:t>
            </w:r>
            <w:r>
              <w:rPr>
                <w:rFonts w:eastAsiaTheme="minorEastAsia"/>
                <w:noProof/>
                <w:sz w:val="24"/>
                <w:szCs w:val="24"/>
                <w:lang w:eastAsia="en-IN"/>
              </w:rPr>
              <w:tab/>
            </w:r>
            <w:r w:rsidRPr="008A429B">
              <w:rPr>
                <w:rStyle w:val="Hyperlink"/>
                <w:rFonts w:eastAsia="Aptos"/>
                <w:b/>
                <w:bCs/>
                <w:noProof/>
                <w:lang w:val="en-GB"/>
              </w:rPr>
              <w:t>Reference list</w:t>
            </w:r>
            <w:r>
              <w:rPr>
                <w:noProof/>
                <w:webHidden/>
              </w:rPr>
              <w:tab/>
            </w:r>
            <w:r>
              <w:rPr>
                <w:noProof/>
                <w:webHidden/>
              </w:rPr>
              <w:fldChar w:fldCharType="begin"/>
            </w:r>
            <w:r>
              <w:rPr>
                <w:noProof/>
                <w:webHidden/>
              </w:rPr>
              <w:instrText xml:space="preserve"> PAGEREF _Toc213956619 \h </w:instrText>
            </w:r>
            <w:r>
              <w:rPr>
                <w:noProof/>
                <w:webHidden/>
              </w:rPr>
            </w:r>
            <w:r>
              <w:rPr>
                <w:noProof/>
                <w:webHidden/>
              </w:rPr>
              <w:fldChar w:fldCharType="separate"/>
            </w:r>
            <w:r>
              <w:rPr>
                <w:noProof/>
                <w:webHidden/>
              </w:rPr>
              <w:t>12</w:t>
            </w:r>
            <w:r>
              <w:rPr>
                <w:noProof/>
                <w:webHidden/>
              </w:rPr>
              <w:fldChar w:fldCharType="end"/>
            </w:r>
          </w:hyperlink>
        </w:p>
        <w:p w14:paraId="12E608F5" w14:textId="21138622" w:rsidR="000204DB" w:rsidRDefault="000204DB">
          <w:r>
            <w:rPr>
              <w:b/>
              <w:bCs/>
              <w:noProof/>
            </w:rPr>
            <w:fldChar w:fldCharType="end"/>
          </w:r>
        </w:p>
      </w:sdtContent>
    </w:sdt>
    <w:p w14:paraId="30CD380A" w14:textId="77777777" w:rsidR="000204DB" w:rsidRPr="000204DB" w:rsidRDefault="000204DB" w:rsidP="000204DB">
      <w:pPr>
        <w:rPr>
          <w:lang w:val="en-US"/>
        </w:rPr>
      </w:pPr>
    </w:p>
    <w:p w14:paraId="7967974D" w14:textId="77777777" w:rsidR="000204DB" w:rsidRDefault="000204DB" w:rsidP="00E624C4">
      <w:pPr>
        <w:ind w:left="720" w:hanging="360"/>
      </w:pPr>
    </w:p>
    <w:p w14:paraId="2C202847" w14:textId="77777777" w:rsidR="000204DB" w:rsidRDefault="000204DB" w:rsidP="00E624C4">
      <w:pPr>
        <w:ind w:left="720" w:hanging="360"/>
      </w:pPr>
    </w:p>
    <w:p w14:paraId="597B7DFE" w14:textId="77777777" w:rsidR="000204DB" w:rsidRDefault="000204DB" w:rsidP="00E624C4">
      <w:pPr>
        <w:ind w:left="720" w:hanging="360"/>
      </w:pPr>
    </w:p>
    <w:p w14:paraId="72366BC2" w14:textId="77777777" w:rsidR="000204DB" w:rsidRDefault="000204DB" w:rsidP="00E624C4">
      <w:pPr>
        <w:ind w:left="720" w:hanging="360"/>
      </w:pPr>
    </w:p>
    <w:p w14:paraId="0137C50E" w14:textId="77777777" w:rsidR="000204DB" w:rsidRDefault="000204DB" w:rsidP="00E624C4">
      <w:pPr>
        <w:ind w:left="720" w:hanging="360"/>
      </w:pPr>
    </w:p>
    <w:p w14:paraId="723FE5BF" w14:textId="77777777" w:rsidR="000204DB" w:rsidRDefault="000204DB" w:rsidP="00E624C4">
      <w:pPr>
        <w:ind w:left="720" w:hanging="360"/>
      </w:pPr>
    </w:p>
    <w:p w14:paraId="239055FA" w14:textId="77777777" w:rsidR="000204DB" w:rsidRDefault="000204DB" w:rsidP="00E624C4">
      <w:pPr>
        <w:ind w:left="720" w:hanging="360"/>
      </w:pPr>
    </w:p>
    <w:p w14:paraId="5A8DF4D6" w14:textId="77777777" w:rsidR="000204DB" w:rsidRDefault="000204DB" w:rsidP="00E624C4">
      <w:pPr>
        <w:ind w:left="720" w:hanging="360"/>
      </w:pPr>
    </w:p>
    <w:p w14:paraId="2A47303C" w14:textId="77777777" w:rsidR="000204DB" w:rsidRDefault="000204DB" w:rsidP="00E624C4">
      <w:pPr>
        <w:ind w:left="720" w:hanging="360"/>
      </w:pPr>
    </w:p>
    <w:p w14:paraId="61BDB23F" w14:textId="77777777" w:rsidR="000204DB" w:rsidRDefault="000204DB" w:rsidP="00E624C4">
      <w:pPr>
        <w:ind w:left="720" w:hanging="360"/>
      </w:pPr>
    </w:p>
    <w:p w14:paraId="34A96211" w14:textId="77777777" w:rsidR="000204DB" w:rsidRDefault="000204DB" w:rsidP="00E624C4">
      <w:pPr>
        <w:ind w:left="720" w:hanging="360"/>
      </w:pPr>
    </w:p>
    <w:p w14:paraId="3EA00280" w14:textId="77777777" w:rsidR="000204DB" w:rsidRDefault="000204DB" w:rsidP="00E624C4">
      <w:pPr>
        <w:ind w:left="720" w:hanging="360"/>
      </w:pPr>
    </w:p>
    <w:p w14:paraId="6C729BA3" w14:textId="77777777" w:rsidR="000204DB" w:rsidRDefault="000204DB" w:rsidP="00E624C4">
      <w:pPr>
        <w:ind w:left="720" w:hanging="360"/>
      </w:pPr>
    </w:p>
    <w:p w14:paraId="250B4283" w14:textId="77777777" w:rsidR="000204DB" w:rsidRDefault="000204DB" w:rsidP="00E624C4">
      <w:pPr>
        <w:ind w:left="720" w:hanging="360"/>
      </w:pPr>
    </w:p>
    <w:p w14:paraId="78492D95" w14:textId="77777777" w:rsidR="000204DB" w:rsidRDefault="000204DB" w:rsidP="00E624C4">
      <w:pPr>
        <w:ind w:left="720" w:hanging="360"/>
      </w:pPr>
    </w:p>
    <w:p w14:paraId="72B0D62A" w14:textId="77777777" w:rsidR="000204DB" w:rsidRDefault="000204DB" w:rsidP="00E624C4">
      <w:pPr>
        <w:ind w:left="720" w:hanging="360"/>
      </w:pPr>
    </w:p>
    <w:p w14:paraId="753DC724" w14:textId="77777777" w:rsidR="000204DB" w:rsidRDefault="000204DB" w:rsidP="00E624C4">
      <w:pPr>
        <w:ind w:left="720" w:hanging="360"/>
      </w:pPr>
    </w:p>
    <w:p w14:paraId="04D1F662" w14:textId="77777777" w:rsidR="000204DB" w:rsidRDefault="000204DB" w:rsidP="00E624C4">
      <w:pPr>
        <w:ind w:left="720" w:hanging="360"/>
      </w:pPr>
    </w:p>
    <w:p w14:paraId="7D2191A0" w14:textId="77777777" w:rsidR="000204DB" w:rsidRDefault="000204DB" w:rsidP="00E624C4">
      <w:pPr>
        <w:ind w:left="720" w:hanging="360"/>
      </w:pPr>
    </w:p>
    <w:p w14:paraId="3F6E1050" w14:textId="77777777" w:rsidR="000204DB" w:rsidRDefault="000204DB" w:rsidP="00E624C4">
      <w:pPr>
        <w:ind w:left="720" w:hanging="360"/>
      </w:pPr>
    </w:p>
    <w:p w14:paraId="1EB1B320" w14:textId="16245358" w:rsidR="00E624C4" w:rsidRPr="000204DB" w:rsidRDefault="00E624C4" w:rsidP="000204DB">
      <w:pPr>
        <w:pStyle w:val="Heading1"/>
        <w:numPr>
          <w:ilvl w:val="0"/>
          <w:numId w:val="2"/>
        </w:numPr>
        <w:rPr>
          <w:rFonts w:eastAsia="Times New Roman"/>
          <w:b/>
          <w:bCs/>
          <w:color w:val="000000" w:themeColor="text1"/>
          <w:lang w:val="en-GB" w:eastAsia="en-GB"/>
        </w:rPr>
      </w:pPr>
      <w:bookmarkStart w:id="2" w:name="_Toc213956549"/>
      <w:bookmarkStart w:id="3" w:name="_Toc213956613"/>
      <w:r w:rsidRPr="000204DB">
        <w:rPr>
          <w:rFonts w:eastAsia="Times New Roman"/>
          <w:b/>
          <w:bCs/>
          <w:color w:val="000000" w:themeColor="text1"/>
          <w:lang w:val="en-GB" w:eastAsia="en-GB"/>
        </w:rPr>
        <w:lastRenderedPageBreak/>
        <w:t>Introduction</w:t>
      </w:r>
      <w:bookmarkEnd w:id="0"/>
      <w:bookmarkEnd w:id="1"/>
      <w:bookmarkEnd w:id="2"/>
      <w:bookmarkEnd w:id="3"/>
    </w:p>
    <w:p w14:paraId="2231A61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Global labour markets are experiencing profound transformation driven by rapid technological progress, shifting demographic patterns, and growing geopolitical uncertainty. These forces are reshaping how organisations attract, develop, and retain talent across both domestic and international contexts. In this evolving environment, Human Resource Management (HRM) and International Human Resource Management (IHRM) have become central to helping organisations adapt and remain competitive.</w:t>
      </w:r>
    </w:p>
    <w:p w14:paraId="65BDCDE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This report critically explores how emerging technologies including automation, artificial intelligence (AI), and digitalisation are redefining the nature of work and reshaping global employment structures. It examines the implications of these changes for HR professionals, particularly in relation to workforce planning, talent management, and organisational strategy. In addition, the report considers the impact of demographic trends and geopolitical developments on workforce composition and stability.</w:t>
      </w:r>
    </w:p>
    <w:p w14:paraId="3D90A89A"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Addressing the growing global skills gap is a key focus, with an emphasis on how evidence-based HRM practices can foster agility, inclusivity, and sustainable talent pipelines. The final section provides a personal reflection on the development of international HR capabilities and their relevance in an interconnected world.</w:t>
      </w:r>
    </w:p>
    <w:p w14:paraId="78AD5EEF" w14:textId="77777777" w:rsidR="00E624C4" w:rsidRDefault="00E624C4" w:rsidP="00E624C4">
      <w:pPr>
        <w:spacing w:line="240" w:lineRule="auto"/>
        <w:rPr>
          <w:rFonts w:ascii="Times New Roman" w:hAnsi="Times New Roman" w:cs="Times New Roman"/>
          <w:sz w:val="20"/>
          <w:szCs w:val="20"/>
          <w:lang w:val="en-GB" w:eastAsia="en-GB"/>
        </w:rPr>
      </w:pPr>
    </w:p>
    <w:p w14:paraId="190A33AD" w14:textId="77777777" w:rsidR="00E624C4" w:rsidRDefault="00E624C4" w:rsidP="00E624C4">
      <w:pPr>
        <w:spacing w:line="240" w:lineRule="auto"/>
        <w:rPr>
          <w:rFonts w:ascii="Times New Roman" w:hAnsi="Times New Roman" w:cs="Times New Roman"/>
          <w:sz w:val="20"/>
          <w:szCs w:val="20"/>
          <w:lang w:val="en-GB" w:eastAsia="en-GB"/>
        </w:rPr>
      </w:pPr>
    </w:p>
    <w:p w14:paraId="2875601D" w14:textId="77777777" w:rsidR="00E624C4" w:rsidRDefault="00E624C4" w:rsidP="00E624C4">
      <w:pPr>
        <w:spacing w:line="240" w:lineRule="auto"/>
        <w:rPr>
          <w:rFonts w:ascii="Times New Roman" w:hAnsi="Times New Roman" w:cs="Times New Roman"/>
          <w:sz w:val="20"/>
          <w:szCs w:val="20"/>
          <w:lang w:val="en-GB" w:eastAsia="en-GB"/>
        </w:rPr>
      </w:pPr>
    </w:p>
    <w:p w14:paraId="42673E1E" w14:textId="77777777" w:rsidR="00E624C4" w:rsidRDefault="00E624C4" w:rsidP="00E624C4">
      <w:pPr>
        <w:spacing w:line="240" w:lineRule="auto"/>
        <w:rPr>
          <w:rFonts w:ascii="Times New Roman" w:hAnsi="Times New Roman" w:cs="Times New Roman"/>
          <w:sz w:val="20"/>
          <w:szCs w:val="20"/>
          <w:lang w:val="en-GB" w:eastAsia="en-GB"/>
        </w:rPr>
      </w:pPr>
    </w:p>
    <w:p w14:paraId="554828FB" w14:textId="77777777" w:rsidR="00E624C4" w:rsidRDefault="00E624C4" w:rsidP="00E624C4">
      <w:pPr>
        <w:spacing w:line="240" w:lineRule="auto"/>
        <w:rPr>
          <w:rFonts w:ascii="Times New Roman" w:hAnsi="Times New Roman" w:cs="Times New Roman"/>
          <w:sz w:val="20"/>
          <w:szCs w:val="20"/>
          <w:lang w:val="en-GB" w:eastAsia="en-GB"/>
        </w:rPr>
      </w:pPr>
    </w:p>
    <w:p w14:paraId="3DD62F36" w14:textId="77777777" w:rsidR="00E624C4" w:rsidRDefault="00E624C4" w:rsidP="00E624C4">
      <w:pPr>
        <w:spacing w:line="240" w:lineRule="auto"/>
        <w:rPr>
          <w:rFonts w:ascii="Times New Roman" w:hAnsi="Times New Roman" w:cs="Times New Roman"/>
          <w:sz w:val="20"/>
          <w:szCs w:val="20"/>
          <w:lang w:val="en-GB" w:eastAsia="en-GB"/>
        </w:rPr>
      </w:pPr>
    </w:p>
    <w:p w14:paraId="6CBD5D62" w14:textId="77777777" w:rsidR="00E624C4" w:rsidRDefault="00E624C4" w:rsidP="00E624C4">
      <w:pPr>
        <w:spacing w:line="240" w:lineRule="auto"/>
        <w:rPr>
          <w:rFonts w:ascii="Times New Roman" w:hAnsi="Times New Roman" w:cs="Times New Roman"/>
          <w:sz w:val="20"/>
          <w:szCs w:val="20"/>
          <w:lang w:val="en-GB" w:eastAsia="en-GB"/>
        </w:rPr>
      </w:pPr>
    </w:p>
    <w:p w14:paraId="4F516719" w14:textId="77777777" w:rsidR="00E624C4" w:rsidRDefault="00E624C4" w:rsidP="00E624C4">
      <w:pPr>
        <w:spacing w:line="240" w:lineRule="auto"/>
        <w:rPr>
          <w:rFonts w:ascii="Times New Roman" w:hAnsi="Times New Roman" w:cs="Times New Roman"/>
          <w:sz w:val="20"/>
          <w:szCs w:val="20"/>
          <w:lang w:val="en-GB" w:eastAsia="en-GB"/>
        </w:rPr>
      </w:pPr>
    </w:p>
    <w:p w14:paraId="7FA505AB" w14:textId="77777777" w:rsidR="00E624C4" w:rsidRDefault="00E624C4" w:rsidP="00E624C4">
      <w:pPr>
        <w:spacing w:line="240" w:lineRule="auto"/>
        <w:rPr>
          <w:rFonts w:ascii="Times New Roman" w:hAnsi="Times New Roman" w:cs="Times New Roman"/>
          <w:sz w:val="20"/>
          <w:szCs w:val="20"/>
          <w:lang w:val="en-GB" w:eastAsia="en-GB"/>
        </w:rPr>
      </w:pPr>
    </w:p>
    <w:p w14:paraId="175568E5" w14:textId="77777777" w:rsidR="00E624C4" w:rsidRDefault="00E624C4" w:rsidP="00E624C4">
      <w:pPr>
        <w:spacing w:line="240" w:lineRule="auto"/>
        <w:rPr>
          <w:rFonts w:ascii="Times New Roman" w:hAnsi="Times New Roman" w:cs="Times New Roman"/>
          <w:sz w:val="20"/>
          <w:szCs w:val="20"/>
          <w:lang w:val="en-GB" w:eastAsia="en-GB"/>
        </w:rPr>
      </w:pPr>
    </w:p>
    <w:p w14:paraId="7EDC318B" w14:textId="77777777" w:rsidR="00E624C4" w:rsidRDefault="00E624C4" w:rsidP="00E624C4">
      <w:pPr>
        <w:spacing w:line="240" w:lineRule="auto"/>
        <w:rPr>
          <w:rFonts w:ascii="Times New Roman" w:hAnsi="Times New Roman" w:cs="Times New Roman"/>
          <w:sz w:val="20"/>
          <w:szCs w:val="20"/>
          <w:lang w:val="en-GB" w:eastAsia="en-GB"/>
        </w:rPr>
      </w:pPr>
    </w:p>
    <w:p w14:paraId="5966684A" w14:textId="77777777" w:rsidR="00E624C4" w:rsidRDefault="00E624C4" w:rsidP="00E624C4">
      <w:pPr>
        <w:spacing w:line="240" w:lineRule="auto"/>
        <w:rPr>
          <w:rFonts w:ascii="Times New Roman" w:hAnsi="Times New Roman" w:cs="Times New Roman"/>
          <w:sz w:val="20"/>
          <w:szCs w:val="20"/>
          <w:lang w:val="en-GB" w:eastAsia="en-GB"/>
        </w:rPr>
      </w:pPr>
    </w:p>
    <w:p w14:paraId="16CD6E0D" w14:textId="77777777" w:rsidR="00E624C4" w:rsidRDefault="00E624C4" w:rsidP="00E624C4">
      <w:pPr>
        <w:spacing w:line="240" w:lineRule="auto"/>
        <w:rPr>
          <w:rFonts w:ascii="Times New Roman" w:hAnsi="Times New Roman" w:cs="Times New Roman"/>
          <w:sz w:val="20"/>
          <w:szCs w:val="20"/>
          <w:lang w:val="en-GB" w:eastAsia="en-GB"/>
        </w:rPr>
      </w:pPr>
    </w:p>
    <w:p w14:paraId="3C4E5F85" w14:textId="77777777" w:rsidR="00E624C4" w:rsidRDefault="00E624C4" w:rsidP="00E624C4">
      <w:pPr>
        <w:spacing w:line="240" w:lineRule="auto"/>
        <w:rPr>
          <w:rFonts w:ascii="Times New Roman" w:hAnsi="Times New Roman" w:cs="Times New Roman"/>
          <w:sz w:val="20"/>
          <w:szCs w:val="20"/>
          <w:lang w:val="en-GB" w:eastAsia="en-GB"/>
        </w:rPr>
      </w:pPr>
    </w:p>
    <w:p w14:paraId="4B91E223" w14:textId="77777777" w:rsidR="00E624C4" w:rsidRDefault="00E624C4" w:rsidP="00E624C4">
      <w:pPr>
        <w:spacing w:line="240" w:lineRule="auto"/>
        <w:rPr>
          <w:rFonts w:ascii="Times New Roman" w:hAnsi="Times New Roman" w:cs="Times New Roman"/>
          <w:sz w:val="20"/>
          <w:szCs w:val="20"/>
          <w:lang w:val="en-GB" w:eastAsia="en-GB"/>
        </w:rPr>
      </w:pPr>
    </w:p>
    <w:p w14:paraId="5A1B60BE" w14:textId="77777777" w:rsidR="00E624C4" w:rsidRDefault="00E624C4" w:rsidP="00E624C4">
      <w:pPr>
        <w:spacing w:line="240" w:lineRule="auto"/>
        <w:rPr>
          <w:rFonts w:ascii="Times New Roman" w:hAnsi="Times New Roman" w:cs="Times New Roman"/>
          <w:sz w:val="20"/>
          <w:szCs w:val="20"/>
          <w:lang w:val="en-GB" w:eastAsia="en-GB"/>
        </w:rPr>
      </w:pPr>
    </w:p>
    <w:p w14:paraId="5854F48A" w14:textId="77777777" w:rsidR="00E624C4" w:rsidRDefault="00E624C4" w:rsidP="00E624C4">
      <w:pPr>
        <w:spacing w:line="240" w:lineRule="auto"/>
        <w:rPr>
          <w:rFonts w:ascii="Times New Roman" w:hAnsi="Times New Roman" w:cs="Times New Roman"/>
          <w:sz w:val="20"/>
          <w:szCs w:val="20"/>
          <w:lang w:val="en-GB" w:eastAsia="en-GB"/>
        </w:rPr>
      </w:pPr>
    </w:p>
    <w:p w14:paraId="638947D7" w14:textId="77777777" w:rsidR="00E624C4" w:rsidRDefault="00E624C4" w:rsidP="00E624C4">
      <w:pPr>
        <w:spacing w:line="240" w:lineRule="auto"/>
        <w:rPr>
          <w:rFonts w:ascii="Times New Roman" w:hAnsi="Times New Roman" w:cs="Times New Roman"/>
          <w:sz w:val="20"/>
          <w:szCs w:val="20"/>
          <w:lang w:val="en-GB" w:eastAsia="en-GB"/>
        </w:rPr>
      </w:pPr>
    </w:p>
    <w:p w14:paraId="4D30F6F5" w14:textId="77777777" w:rsidR="00E624C4" w:rsidRDefault="00E624C4" w:rsidP="00E624C4">
      <w:pPr>
        <w:spacing w:line="240" w:lineRule="auto"/>
        <w:rPr>
          <w:rFonts w:ascii="Times New Roman" w:hAnsi="Times New Roman" w:cs="Times New Roman"/>
          <w:sz w:val="20"/>
          <w:szCs w:val="20"/>
          <w:lang w:val="en-GB" w:eastAsia="en-GB"/>
        </w:rPr>
      </w:pPr>
    </w:p>
    <w:p w14:paraId="1DDCB012" w14:textId="77777777" w:rsidR="00E624C4" w:rsidRDefault="00E624C4" w:rsidP="00E624C4">
      <w:pPr>
        <w:spacing w:line="240" w:lineRule="auto"/>
        <w:rPr>
          <w:rFonts w:ascii="Times New Roman" w:hAnsi="Times New Roman" w:cs="Times New Roman"/>
          <w:sz w:val="20"/>
          <w:szCs w:val="20"/>
          <w:lang w:val="en-GB" w:eastAsia="en-GB"/>
        </w:rPr>
      </w:pPr>
    </w:p>
    <w:p w14:paraId="6ED7A416" w14:textId="77777777" w:rsidR="00E624C4" w:rsidRDefault="00E624C4" w:rsidP="00E624C4">
      <w:pPr>
        <w:spacing w:line="240" w:lineRule="auto"/>
        <w:rPr>
          <w:rFonts w:ascii="Times New Roman" w:hAnsi="Times New Roman" w:cs="Times New Roman"/>
          <w:sz w:val="20"/>
          <w:szCs w:val="20"/>
          <w:lang w:val="en-GB" w:eastAsia="en-GB"/>
        </w:rPr>
      </w:pPr>
    </w:p>
    <w:p w14:paraId="4B67C580" w14:textId="77777777" w:rsidR="00E624C4" w:rsidRPr="00E624C4" w:rsidRDefault="00E624C4" w:rsidP="00E624C4">
      <w:pPr>
        <w:spacing w:line="240" w:lineRule="auto"/>
        <w:rPr>
          <w:rFonts w:ascii="Times New Roman" w:hAnsi="Times New Roman" w:cs="Times New Roman"/>
          <w:sz w:val="20"/>
          <w:szCs w:val="20"/>
          <w:lang w:val="en-GB" w:eastAsia="en-GB"/>
        </w:rPr>
      </w:pPr>
    </w:p>
    <w:p w14:paraId="293CC14F"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4" w:name="_Toc213787834"/>
      <w:bookmarkStart w:id="5" w:name="_Toc213956550"/>
      <w:bookmarkStart w:id="6" w:name="_Toc213956614"/>
      <w:r w:rsidRPr="00E624C4">
        <w:rPr>
          <w:rFonts w:eastAsia="Times New Roman"/>
          <w:b/>
          <w:bCs/>
          <w:color w:val="000000" w:themeColor="text1"/>
          <w:lang w:val="en-GB" w:eastAsia="en-GB"/>
        </w:rPr>
        <w:lastRenderedPageBreak/>
        <w:t>Technological Advancements Reshaping Labour Markets and Implications for HRM/IHRM</w:t>
      </w:r>
      <w:bookmarkEnd w:id="4"/>
      <w:bookmarkEnd w:id="5"/>
      <w:bookmarkEnd w:id="6"/>
    </w:p>
    <w:p w14:paraId="1AD0B843" w14:textId="4C1DBE6C"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The rapid advancement of technology particularly artificial intelligence (AI), robotics, and digital platforms has not only changed the way work is performed but has redefined its essence. Economists describe this as the “Fourth Industrial Revolution” (Brynjolfsson &amp; McAfee, 2014, p.81), yet for HR professionals, it represents a human revolution: a call to uphold dignity, inclusion, and purpose amid automation.</w:t>
      </w:r>
    </w:p>
    <w:p w14:paraId="54399D88" w14:textId="6086AE2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Automation continues to reshape global labour markets by replacing routine tasks and creating demand for new hybrid roles that merge digital, analytical, and interpersonal capabilities. The World Economic Forum (2023, p.16) estimates that up to 44% of workers’ core skills will change by 2027. This shift is evident in firms such as Amazon, where warehouse robotics have reduced low-skilled roles but increased demand for engineers and data analysts.</w:t>
      </w:r>
    </w:p>
    <w:p w14:paraId="415D5747" w14:textId="63A65078"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4384" behindDoc="0" locked="0" layoutInCell="1" allowOverlap="1" wp14:anchorId="44D6BF9A" wp14:editId="5A50B03A">
            <wp:simplePos x="0" y="0"/>
            <wp:positionH relativeFrom="column">
              <wp:posOffset>0</wp:posOffset>
            </wp:positionH>
            <wp:positionV relativeFrom="paragraph">
              <wp:posOffset>281940</wp:posOffset>
            </wp:positionV>
            <wp:extent cx="5731510" cy="3418205"/>
            <wp:effectExtent l="0" t="0" r="2540" b="0"/>
            <wp:wrapTopAndBottom/>
            <wp:docPr id="14"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different colored squar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418205"/>
                    </a:xfrm>
                    <a:prstGeom prst="rect">
                      <a:avLst/>
                    </a:prstGeom>
                    <a:noFill/>
                  </pic:spPr>
                </pic:pic>
              </a:graphicData>
            </a:graphic>
            <wp14:sizeRelH relativeFrom="page">
              <wp14:pctWidth>0</wp14:pctWidth>
            </wp14:sizeRelH>
            <wp14:sizeRelV relativeFrom="page">
              <wp14:pctHeight>0</wp14:pctHeight>
            </wp14:sizeRelV>
          </wp:anchor>
        </w:drawing>
      </w:r>
    </w:p>
    <w:p w14:paraId="34EA15B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1. Changing distribution of job types under technological disruption (2000–2030).</w:t>
      </w:r>
    </w:p>
    <w:p w14:paraId="134FB592"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Source: Adapted from WEF (2023) and Autor (2015).</w:t>
      </w:r>
    </w:p>
    <w:p w14:paraId="73F55C5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Labour Market Polarisation and Inequality</w:t>
      </w:r>
      <w:r w:rsidRPr="00E624C4">
        <w:rPr>
          <w:rFonts w:ascii="Times New Roman" w:hAnsi="Times New Roman" w:cs="Times New Roman"/>
          <w:sz w:val="20"/>
          <w:szCs w:val="20"/>
          <w:lang w:val="en-GB" w:eastAsia="en-GB"/>
        </w:rPr>
        <w:br/>
        <w:t>Technological innovation has intensified employment polarisation. Autor (2015, p.8) explains that automation “hollows out” middle-income roles expanding both high-skill and low-skill work while shrinking routine mid-level jobs. This widens inequality in income and opportunity. For HRM, the challenge lies in balancing efficiency with ethics: aggressive automation boosts productivity but risks morale and reputation, as seen when retailers replacing cashiers with self-checkout systems faced public backlash.</w:t>
      </w:r>
    </w:p>
    <w:p w14:paraId="26E40ED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Globalisation and the Platform Economy</w:t>
      </w:r>
      <w:r w:rsidRPr="00E624C4">
        <w:rPr>
          <w:rFonts w:ascii="Times New Roman" w:hAnsi="Times New Roman" w:cs="Times New Roman"/>
          <w:sz w:val="20"/>
          <w:szCs w:val="20"/>
          <w:lang w:val="en-GB" w:eastAsia="en-GB"/>
        </w:rPr>
        <w:br/>
        <w:t xml:space="preserve">Digital platforms like Upwork, Fiverr, and Uber have globalised work, </w:t>
      </w:r>
      <w:proofErr w:type="gramStart"/>
      <w:r w:rsidRPr="00E624C4">
        <w:rPr>
          <w:rFonts w:ascii="Times New Roman" w:hAnsi="Times New Roman" w:cs="Times New Roman"/>
          <w:sz w:val="20"/>
          <w:szCs w:val="20"/>
          <w:lang w:val="en-GB" w:eastAsia="en-GB"/>
        </w:rPr>
        <w:t>dissolving</w:t>
      </w:r>
      <w:proofErr w:type="gramEnd"/>
      <w:r w:rsidRPr="00E624C4">
        <w:rPr>
          <w:rFonts w:ascii="Times New Roman" w:hAnsi="Times New Roman" w:cs="Times New Roman"/>
          <w:sz w:val="20"/>
          <w:szCs w:val="20"/>
          <w:lang w:val="en-GB" w:eastAsia="en-GB"/>
        </w:rPr>
        <w:t xml:space="preserve"> geographical barriers but also eroding job security and benefits (De Stefano, 2016, p.478). For IHRM, the task is to balance flexibility with fairness ensuring equitable pay and inclusion. In the Philippines, over 1.5 million gig workers rely on digital platforms, often earning below living wages and lacking social protection (Wood et al., 2019, p.62). Ethical global HRM must therefore treat platform workers as valued contributors rather than expendable labour.</w:t>
      </w:r>
    </w:p>
    <w:p w14:paraId="161AC9A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Reskilling and Lifelong Learning Imperatives</w:t>
      </w:r>
      <w:r w:rsidRPr="00E624C4">
        <w:rPr>
          <w:rFonts w:ascii="Times New Roman" w:hAnsi="Times New Roman" w:cs="Times New Roman"/>
          <w:sz w:val="20"/>
          <w:szCs w:val="20"/>
          <w:lang w:val="en-GB" w:eastAsia="en-GB"/>
        </w:rPr>
        <w:br/>
        <w:t xml:space="preserve">Technological disruption shortens the lifespan of skills. McKinsey (2020, p.14) found that 87% of executives report current or expected skills gaps, especially in analytics, cybersecurity, and critical thinking. HR must </w:t>
      </w:r>
      <w:r w:rsidRPr="00E624C4">
        <w:rPr>
          <w:rFonts w:ascii="Times New Roman" w:hAnsi="Times New Roman" w:cs="Times New Roman"/>
          <w:sz w:val="20"/>
          <w:szCs w:val="20"/>
          <w:lang w:val="en-GB" w:eastAsia="en-GB"/>
        </w:rPr>
        <w:lastRenderedPageBreak/>
        <w:t>therefore embed lifelong learning into organisational culture. Companies like Siemens and Unilever are developing AI-driven micro-credential systems to foster adaptability. Globally, IHRM must align learning strategies across regions while respecting cultural contexts (OECD, 2021, p.44).</w:t>
      </w:r>
    </w:p>
    <w:p w14:paraId="1CB6698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Redefining Work Design and Leadership</w:t>
      </w:r>
      <w:r w:rsidRPr="00E624C4">
        <w:rPr>
          <w:rFonts w:ascii="Times New Roman" w:hAnsi="Times New Roman" w:cs="Times New Roman"/>
          <w:sz w:val="20"/>
          <w:szCs w:val="20"/>
          <w:lang w:val="en-GB" w:eastAsia="en-GB"/>
        </w:rPr>
        <w:br/>
        <w:t>Hybrid work, supported by digital collaboration, is now mainstream. Leading remote, multicultural, tech-augmented teams demands empathetic, trust-based leadership. HR should prioritise managing outcomes over visibility while maintaining accountability. As employees increasingly seek purpose beyond pay, humanising technology becomes essential using it to empower creativity and inclusion rather than to reduce costs.</w:t>
      </w:r>
    </w:p>
    <w:p w14:paraId="1CFA33EF"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5. Ethical Governance and Data Responsibility</w:t>
      </w:r>
      <w:r w:rsidRPr="00E624C4">
        <w:rPr>
          <w:rFonts w:ascii="Times New Roman" w:hAnsi="Times New Roman" w:cs="Times New Roman"/>
          <w:sz w:val="20"/>
          <w:szCs w:val="20"/>
          <w:lang w:val="en-GB" w:eastAsia="en-GB"/>
        </w:rPr>
        <w:br/>
        <w:t>AI-driven HR tools introduce risks of bias and discrimination. The CIPD (2022, p.11) advises algorithmic audits, transparent data policies, and employee education on digital rights. IHRM must also navigate differing privacy laws, such as the EU’s GDPR and less stringent regimes elsewhere, to protect employee dignity while using data responsibly.</w:t>
      </w:r>
    </w:p>
    <w:p w14:paraId="45A728E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6. Strategic Implications</w:t>
      </w:r>
      <w:r w:rsidRPr="00E624C4">
        <w:rPr>
          <w:rFonts w:ascii="Times New Roman" w:hAnsi="Times New Roman" w:cs="Times New Roman"/>
          <w:sz w:val="20"/>
          <w:szCs w:val="20"/>
          <w:lang w:val="en-GB" w:eastAsia="en-GB"/>
        </w:rPr>
        <w:br/>
        <w:t>To stay relevant, HR must evolve from administrative oversight to a proactive, data-driven strategic role. Integrating workforce analytics, ethical AI governance, and continuous learning across global contexts ensures that technological innovation remains human-centred.</w:t>
      </w:r>
    </w:p>
    <w:p w14:paraId="76701334" w14:textId="7E69E90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Ultimately, the central question is not </w:t>
      </w:r>
      <w:r w:rsidRPr="00E624C4">
        <w:rPr>
          <w:rFonts w:ascii="Times New Roman" w:hAnsi="Times New Roman" w:cs="Times New Roman"/>
          <w:i/>
          <w:iCs/>
          <w:sz w:val="20"/>
          <w:szCs w:val="20"/>
          <w:lang w:val="en-GB" w:eastAsia="en-GB"/>
        </w:rPr>
        <w:t>how many jobs will vanish</w:t>
      </w:r>
      <w:r w:rsidRPr="00E624C4">
        <w:rPr>
          <w:rFonts w:ascii="Times New Roman" w:hAnsi="Times New Roman" w:cs="Times New Roman"/>
          <w:sz w:val="20"/>
          <w:szCs w:val="20"/>
          <w:lang w:val="en-GB" w:eastAsia="en-GB"/>
        </w:rPr>
        <w:t xml:space="preserve"> but </w:t>
      </w:r>
      <w:r w:rsidRPr="00E624C4">
        <w:rPr>
          <w:rFonts w:ascii="Times New Roman" w:hAnsi="Times New Roman" w:cs="Times New Roman"/>
          <w:i/>
          <w:iCs/>
          <w:sz w:val="20"/>
          <w:szCs w:val="20"/>
          <w:lang w:val="en-GB" w:eastAsia="en-GB"/>
        </w:rPr>
        <w:t>how many people can evolve</w:t>
      </w:r>
      <w:r w:rsidRPr="00E624C4">
        <w:rPr>
          <w:rFonts w:ascii="Times New Roman" w:hAnsi="Times New Roman" w:cs="Times New Roman"/>
          <w:sz w:val="20"/>
          <w:szCs w:val="20"/>
          <w:lang w:val="en-GB" w:eastAsia="en-GB"/>
        </w:rPr>
        <w:t xml:space="preserve"> a principle that defines responsible human capital management in the digital age.</w:t>
      </w:r>
    </w:p>
    <w:p w14:paraId="43BCF168" w14:textId="77777777" w:rsidR="00E624C4" w:rsidRDefault="00E624C4" w:rsidP="00E624C4">
      <w:pPr>
        <w:spacing w:line="240" w:lineRule="auto"/>
        <w:rPr>
          <w:rFonts w:ascii="Times New Roman" w:hAnsi="Times New Roman" w:cs="Times New Roman"/>
          <w:sz w:val="20"/>
          <w:szCs w:val="20"/>
          <w:lang w:val="en-GB" w:eastAsia="en-GB"/>
        </w:rPr>
      </w:pPr>
    </w:p>
    <w:p w14:paraId="5C41F21E" w14:textId="77777777" w:rsidR="00E624C4" w:rsidRDefault="00E624C4" w:rsidP="00E624C4">
      <w:pPr>
        <w:spacing w:line="240" w:lineRule="auto"/>
        <w:rPr>
          <w:rFonts w:ascii="Times New Roman" w:hAnsi="Times New Roman" w:cs="Times New Roman"/>
          <w:sz w:val="20"/>
          <w:szCs w:val="20"/>
          <w:lang w:val="en-GB" w:eastAsia="en-GB"/>
        </w:rPr>
      </w:pPr>
    </w:p>
    <w:p w14:paraId="7521AED5" w14:textId="77777777" w:rsidR="00E624C4" w:rsidRDefault="00E624C4" w:rsidP="00E624C4">
      <w:pPr>
        <w:spacing w:line="240" w:lineRule="auto"/>
        <w:rPr>
          <w:rFonts w:ascii="Times New Roman" w:hAnsi="Times New Roman" w:cs="Times New Roman"/>
          <w:sz w:val="20"/>
          <w:szCs w:val="20"/>
          <w:lang w:val="en-GB" w:eastAsia="en-GB"/>
        </w:rPr>
      </w:pPr>
    </w:p>
    <w:p w14:paraId="6D560396" w14:textId="77777777" w:rsidR="00E624C4" w:rsidRDefault="00E624C4" w:rsidP="00E624C4">
      <w:pPr>
        <w:spacing w:line="240" w:lineRule="auto"/>
        <w:rPr>
          <w:rFonts w:ascii="Times New Roman" w:hAnsi="Times New Roman" w:cs="Times New Roman"/>
          <w:sz w:val="20"/>
          <w:szCs w:val="20"/>
          <w:lang w:val="en-GB" w:eastAsia="en-GB"/>
        </w:rPr>
      </w:pPr>
    </w:p>
    <w:p w14:paraId="6E7A3063" w14:textId="77777777" w:rsidR="00E624C4" w:rsidRDefault="00E624C4" w:rsidP="00E624C4">
      <w:pPr>
        <w:spacing w:line="240" w:lineRule="auto"/>
        <w:rPr>
          <w:rFonts w:ascii="Times New Roman" w:hAnsi="Times New Roman" w:cs="Times New Roman"/>
          <w:sz w:val="20"/>
          <w:szCs w:val="20"/>
          <w:lang w:val="en-GB" w:eastAsia="en-GB"/>
        </w:rPr>
      </w:pPr>
    </w:p>
    <w:p w14:paraId="099D864A" w14:textId="77777777" w:rsidR="00E624C4" w:rsidRDefault="00E624C4" w:rsidP="00E624C4">
      <w:pPr>
        <w:spacing w:line="240" w:lineRule="auto"/>
        <w:rPr>
          <w:rFonts w:ascii="Times New Roman" w:hAnsi="Times New Roman" w:cs="Times New Roman"/>
          <w:sz w:val="20"/>
          <w:szCs w:val="20"/>
          <w:lang w:val="en-GB" w:eastAsia="en-GB"/>
        </w:rPr>
      </w:pPr>
    </w:p>
    <w:p w14:paraId="7D85D415" w14:textId="77777777" w:rsidR="00E624C4" w:rsidRDefault="00E624C4" w:rsidP="00E624C4">
      <w:pPr>
        <w:spacing w:line="240" w:lineRule="auto"/>
        <w:rPr>
          <w:rFonts w:ascii="Times New Roman" w:hAnsi="Times New Roman" w:cs="Times New Roman"/>
          <w:sz w:val="20"/>
          <w:szCs w:val="20"/>
          <w:lang w:val="en-GB" w:eastAsia="en-GB"/>
        </w:rPr>
      </w:pPr>
    </w:p>
    <w:p w14:paraId="350CB0E2" w14:textId="77777777" w:rsidR="00E624C4" w:rsidRDefault="00E624C4" w:rsidP="00E624C4">
      <w:pPr>
        <w:spacing w:line="240" w:lineRule="auto"/>
        <w:rPr>
          <w:rFonts w:ascii="Times New Roman" w:hAnsi="Times New Roman" w:cs="Times New Roman"/>
          <w:sz w:val="20"/>
          <w:szCs w:val="20"/>
          <w:lang w:val="en-GB" w:eastAsia="en-GB"/>
        </w:rPr>
      </w:pPr>
    </w:p>
    <w:p w14:paraId="775315A8" w14:textId="77777777" w:rsidR="00E624C4" w:rsidRDefault="00E624C4" w:rsidP="00E624C4">
      <w:pPr>
        <w:spacing w:line="240" w:lineRule="auto"/>
        <w:rPr>
          <w:rFonts w:ascii="Times New Roman" w:hAnsi="Times New Roman" w:cs="Times New Roman"/>
          <w:sz w:val="20"/>
          <w:szCs w:val="20"/>
          <w:lang w:val="en-GB" w:eastAsia="en-GB"/>
        </w:rPr>
      </w:pPr>
    </w:p>
    <w:p w14:paraId="7B3DF4B5" w14:textId="77777777" w:rsidR="00E624C4" w:rsidRDefault="00E624C4" w:rsidP="00E624C4">
      <w:pPr>
        <w:spacing w:line="240" w:lineRule="auto"/>
        <w:rPr>
          <w:rFonts w:ascii="Times New Roman" w:hAnsi="Times New Roman" w:cs="Times New Roman"/>
          <w:sz w:val="20"/>
          <w:szCs w:val="20"/>
          <w:lang w:val="en-GB" w:eastAsia="en-GB"/>
        </w:rPr>
      </w:pPr>
    </w:p>
    <w:p w14:paraId="3402F4CB" w14:textId="77777777" w:rsidR="00E624C4" w:rsidRDefault="00E624C4" w:rsidP="00E624C4">
      <w:pPr>
        <w:spacing w:line="240" w:lineRule="auto"/>
        <w:rPr>
          <w:rFonts w:ascii="Times New Roman" w:hAnsi="Times New Roman" w:cs="Times New Roman"/>
          <w:sz w:val="20"/>
          <w:szCs w:val="20"/>
          <w:lang w:val="en-GB" w:eastAsia="en-GB"/>
        </w:rPr>
      </w:pPr>
    </w:p>
    <w:p w14:paraId="37866F8E" w14:textId="77777777" w:rsidR="00E624C4" w:rsidRDefault="00E624C4" w:rsidP="00E624C4">
      <w:pPr>
        <w:spacing w:line="240" w:lineRule="auto"/>
        <w:rPr>
          <w:rFonts w:ascii="Times New Roman" w:hAnsi="Times New Roman" w:cs="Times New Roman"/>
          <w:sz w:val="20"/>
          <w:szCs w:val="20"/>
          <w:lang w:val="en-GB" w:eastAsia="en-GB"/>
        </w:rPr>
      </w:pPr>
    </w:p>
    <w:p w14:paraId="69AEC7AB" w14:textId="77777777" w:rsidR="00E624C4" w:rsidRDefault="00E624C4" w:rsidP="00E624C4">
      <w:pPr>
        <w:spacing w:line="240" w:lineRule="auto"/>
        <w:rPr>
          <w:rFonts w:ascii="Times New Roman" w:hAnsi="Times New Roman" w:cs="Times New Roman"/>
          <w:sz w:val="20"/>
          <w:szCs w:val="20"/>
          <w:lang w:val="en-GB" w:eastAsia="en-GB"/>
        </w:rPr>
      </w:pPr>
    </w:p>
    <w:p w14:paraId="317FA84B" w14:textId="77777777" w:rsidR="00E624C4" w:rsidRDefault="00E624C4" w:rsidP="00E624C4">
      <w:pPr>
        <w:spacing w:line="240" w:lineRule="auto"/>
        <w:rPr>
          <w:rFonts w:ascii="Times New Roman" w:hAnsi="Times New Roman" w:cs="Times New Roman"/>
          <w:sz w:val="20"/>
          <w:szCs w:val="20"/>
          <w:lang w:val="en-GB" w:eastAsia="en-GB"/>
        </w:rPr>
      </w:pPr>
    </w:p>
    <w:p w14:paraId="6F7F74D0" w14:textId="77777777" w:rsidR="00E624C4" w:rsidRDefault="00E624C4" w:rsidP="00E624C4">
      <w:pPr>
        <w:spacing w:line="240" w:lineRule="auto"/>
        <w:rPr>
          <w:rFonts w:ascii="Times New Roman" w:hAnsi="Times New Roman" w:cs="Times New Roman"/>
          <w:sz w:val="20"/>
          <w:szCs w:val="20"/>
          <w:lang w:val="en-GB" w:eastAsia="en-GB"/>
        </w:rPr>
      </w:pPr>
    </w:p>
    <w:p w14:paraId="56CF96A3" w14:textId="77777777" w:rsidR="00E624C4" w:rsidRDefault="00E624C4" w:rsidP="00E624C4">
      <w:pPr>
        <w:spacing w:line="240" w:lineRule="auto"/>
        <w:rPr>
          <w:rFonts w:ascii="Times New Roman" w:hAnsi="Times New Roman" w:cs="Times New Roman"/>
          <w:sz w:val="20"/>
          <w:szCs w:val="20"/>
          <w:lang w:val="en-GB" w:eastAsia="en-GB"/>
        </w:rPr>
      </w:pPr>
    </w:p>
    <w:p w14:paraId="009AD269" w14:textId="77777777" w:rsidR="00E624C4" w:rsidRDefault="00E624C4" w:rsidP="00E624C4">
      <w:pPr>
        <w:spacing w:line="240" w:lineRule="auto"/>
        <w:rPr>
          <w:rFonts w:ascii="Times New Roman" w:hAnsi="Times New Roman" w:cs="Times New Roman"/>
          <w:sz w:val="20"/>
          <w:szCs w:val="20"/>
          <w:lang w:val="en-GB" w:eastAsia="en-GB"/>
        </w:rPr>
      </w:pPr>
    </w:p>
    <w:p w14:paraId="0FED72AC" w14:textId="77777777" w:rsidR="00E624C4" w:rsidRDefault="00E624C4" w:rsidP="00E624C4">
      <w:pPr>
        <w:spacing w:line="240" w:lineRule="auto"/>
        <w:rPr>
          <w:rFonts w:ascii="Times New Roman" w:hAnsi="Times New Roman" w:cs="Times New Roman"/>
          <w:sz w:val="20"/>
          <w:szCs w:val="20"/>
          <w:lang w:val="en-GB" w:eastAsia="en-GB"/>
        </w:rPr>
      </w:pPr>
    </w:p>
    <w:p w14:paraId="33139903" w14:textId="77777777" w:rsidR="00E624C4" w:rsidRDefault="00E624C4" w:rsidP="00E624C4">
      <w:pPr>
        <w:spacing w:line="240" w:lineRule="auto"/>
        <w:rPr>
          <w:rFonts w:ascii="Times New Roman" w:hAnsi="Times New Roman" w:cs="Times New Roman"/>
          <w:sz w:val="20"/>
          <w:szCs w:val="20"/>
          <w:lang w:val="en-GB" w:eastAsia="en-GB"/>
        </w:rPr>
      </w:pPr>
    </w:p>
    <w:p w14:paraId="25C3C2BC" w14:textId="77777777" w:rsidR="00E624C4" w:rsidRPr="00E624C4" w:rsidRDefault="00E624C4" w:rsidP="00E624C4">
      <w:pPr>
        <w:spacing w:line="240" w:lineRule="auto"/>
        <w:rPr>
          <w:rFonts w:ascii="Times New Roman" w:hAnsi="Times New Roman" w:cs="Times New Roman"/>
          <w:sz w:val="20"/>
          <w:szCs w:val="20"/>
          <w:lang w:val="en-GB" w:eastAsia="en-GB"/>
        </w:rPr>
      </w:pPr>
    </w:p>
    <w:p w14:paraId="449D99AB"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7" w:name="_Toc213787835"/>
      <w:bookmarkStart w:id="8" w:name="_Toc213956551"/>
      <w:bookmarkStart w:id="9" w:name="_Toc213956615"/>
      <w:r w:rsidRPr="00E624C4">
        <w:rPr>
          <w:rFonts w:eastAsia="Times New Roman"/>
          <w:b/>
          <w:bCs/>
          <w:color w:val="000000" w:themeColor="text1"/>
          <w:lang w:val="en-GB" w:eastAsia="en-GB"/>
        </w:rPr>
        <w:lastRenderedPageBreak/>
        <w:t>Demographic and Geopolitical Influences on Employment Markets</w:t>
      </w:r>
      <w:bookmarkEnd w:id="7"/>
      <w:bookmarkEnd w:id="8"/>
      <w:bookmarkEnd w:id="9"/>
      <w:r w:rsidRPr="00E624C4">
        <w:rPr>
          <w:rFonts w:eastAsia="Times New Roman"/>
          <w:b/>
          <w:bCs/>
          <w:color w:val="000000" w:themeColor="text1"/>
          <w:lang w:val="en-GB" w:eastAsia="en-GB"/>
        </w:rPr>
        <w:t xml:space="preserve"> </w:t>
      </w:r>
    </w:p>
    <w:p w14:paraId="6D1CFEA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Demographic and geopolitical forces are reshaping global labour markets in increasingly complex and unpredictable ways. While discussions on the “future of work” often focus on technological change, demographic realities such as ageing populations and youth unemployment and geopolitical instability ranging from trade wars to pandemics and armed conflicts often have more immediate human consequences for work, mobility, and employability. For Human Resource Management (HRM) and International Human Resource Management (IHRM), understanding these interconnections is essential to build adaptive, inclusive, and resilient workforces.</w:t>
      </w:r>
    </w:p>
    <w:p w14:paraId="0C61213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The Dual Demographic Challenge: Ageing and Youth Surplus</w:t>
      </w:r>
      <w:r w:rsidRPr="00E624C4">
        <w:rPr>
          <w:rFonts w:ascii="Times New Roman" w:hAnsi="Times New Roman" w:cs="Times New Roman"/>
          <w:sz w:val="20"/>
          <w:szCs w:val="20"/>
          <w:lang w:val="en-GB" w:eastAsia="en-GB"/>
        </w:rPr>
        <w:br/>
        <w:t>The twenty-first century presents a dual demographic challenge: ageing populations in developed regions and youth surpluses in emerging economies. In Europe and East Asia, falling fertility rates are reducing the working-age population, with projections showing that one in four Europeans will be over 65 by 2030 (OECD, 2022, p.19). This creates significant labour shortages, pension pressures, and a demand for strategies that extend older employees’ participation in the workforce.</w:t>
      </w:r>
    </w:p>
    <w:p w14:paraId="0544BDD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HR professionals must therefore rethink career paths and retirement policies. Rather than viewing older workers as costs, organisations should recognise them as valuable repositories of experience. Strategies such as phased retirement, intergenerational mentoring, and health-conscious workplace design can help sustain engagement and productivity (CIPD, 2022, p.11). Toyota’s “Silver Talent Network” in Japan exemplifies this shift, retaining older staff through flexible roles and mentoring schemes that preserve institutional knowledge and reduce labour deficits.</w:t>
      </w:r>
    </w:p>
    <w:p w14:paraId="39346A3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Conversely, many developing economies including Sub-Saharan Africa, India, and parts of the Middle East face an oversupply of young people. Over 60% of African youth work in informal or low-paid employment (World Bank, 2021, p.89). For multinational corporations, this demographic presents both a challenge and an opportunity. Companies such as IBM and Microsoft have launched digital academies in Kenya and Nigeria to foster employability and long-term talent pipelines. HRM is thus evolving beyond internal management to a broader social function, contributing to capacity-building within local labour markets.</w:t>
      </w:r>
    </w:p>
    <w:p w14:paraId="2ADB191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1312" behindDoc="0" locked="0" layoutInCell="1" allowOverlap="1" wp14:anchorId="3935B5DA" wp14:editId="03FEA01A">
            <wp:simplePos x="0" y="0"/>
            <wp:positionH relativeFrom="column">
              <wp:posOffset>0</wp:posOffset>
            </wp:positionH>
            <wp:positionV relativeFrom="paragraph">
              <wp:posOffset>360680</wp:posOffset>
            </wp:positionV>
            <wp:extent cx="5731510" cy="3418205"/>
            <wp:effectExtent l="0" t="0" r="2540" b="0"/>
            <wp:wrapTopAndBottom/>
            <wp:docPr id="16"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of different colored bar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18205"/>
                    </a:xfrm>
                    <a:prstGeom prst="rect">
                      <a:avLst/>
                    </a:prstGeom>
                    <a:noFill/>
                  </pic:spPr>
                </pic:pic>
              </a:graphicData>
            </a:graphic>
            <wp14:sizeRelH relativeFrom="page">
              <wp14:pctWidth>0</wp14:pctWidth>
            </wp14:sizeRelH>
            <wp14:sizeRelV relativeFrom="page">
              <wp14:pctHeight>0</wp14:pctHeight>
            </wp14:sizeRelV>
          </wp:anchor>
        </w:drawing>
      </w:r>
    </w:p>
    <w:p w14:paraId="325E7D2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3. Comparison of workforce age distribution between Europe and Africa (2025).</w:t>
      </w:r>
    </w:p>
    <w:p w14:paraId="6DF3BC9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lastRenderedPageBreak/>
        <w:t>Source: Adapted from OECD (2022) and World Bank (2021).</w:t>
      </w:r>
    </w:p>
    <w:p w14:paraId="3A97105A"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Migration, Mobility, and Cultural Complexity</w:t>
      </w:r>
      <w:r w:rsidRPr="00E624C4">
        <w:rPr>
          <w:rFonts w:ascii="Times New Roman" w:hAnsi="Times New Roman" w:cs="Times New Roman"/>
          <w:sz w:val="20"/>
          <w:szCs w:val="20"/>
          <w:lang w:val="en-GB" w:eastAsia="en-GB"/>
        </w:rPr>
        <w:br/>
        <w:t>Migration both voluntary and forced has become a defining feature of the global economy. The United Nations Department of Economic and Social Affairs (UN DESA, 2021, p.5) reports that 281 million people were international migrants in 2020, compared with 173 million in 2000. While migration enhances diversity and innovation, it also generates policy uncertainty and political tension. Conflicts in Syria, Ukraine, and Sudan have highlighted the human cost of displacement and its impact on talent mobility.</w:t>
      </w:r>
    </w:p>
    <w:p w14:paraId="505B0D5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From an IHRM perspective, this requires mobility frameworks that integrate compliance, inclusivity, and well-being. IKEA’s Global Mobility Framework, for example, provides relocation support, cultural onboarding, and mental health care for international employees and refugees (IKEA Sustainability Report, 2022). Yet managing cultural diversity also demands empathy and inclusive leadership. Hofstede’s (1984) cultural dimensions theory remains instructive, but modern HR practice focuses on creating environments </w:t>
      </w:r>
      <w:proofErr w:type="gramStart"/>
      <w:r w:rsidRPr="00E624C4">
        <w:rPr>
          <w:rFonts w:ascii="Times New Roman" w:hAnsi="Times New Roman" w:cs="Times New Roman"/>
          <w:sz w:val="20"/>
          <w:szCs w:val="20"/>
          <w:lang w:val="en-GB" w:eastAsia="en-GB"/>
        </w:rPr>
        <w:t>where</w:t>
      </w:r>
      <w:proofErr w:type="gramEnd"/>
      <w:r w:rsidRPr="00E624C4">
        <w:rPr>
          <w:rFonts w:ascii="Times New Roman" w:hAnsi="Times New Roman" w:cs="Times New Roman"/>
          <w:sz w:val="20"/>
          <w:szCs w:val="20"/>
          <w:lang w:val="en-GB" w:eastAsia="en-GB"/>
        </w:rPr>
        <w:t xml:space="preserve"> cultural difference drives creativity and collaboration.</w:t>
      </w:r>
    </w:p>
    <w:p w14:paraId="501C52E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Geopolitical Instability and Strategic Adaptation</w:t>
      </w:r>
      <w:r w:rsidRPr="00E624C4">
        <w:rPr>
          <w:rFonts w:ascii="Times New Roman" w:hAnsi="Times New Roman" w:cs="Times New Roman"/>
          <w:sz w:val="20"/>
          <w:szCs w:val="20"/>
          <w:lang w:val="en-GB" w:eastAsia="en-GB"/>
        </w:rPr>
        <w:br/>
        <w:t>Geopolitical turbulence such as Brexit, U.S.–China trade tensions, and the Russia–Ukraine conflict continues to disrupt global value chains. Protectionist movements and reshoring initiatives are altering job distribution and prompting HR to forecast skills needs more dynamically. At the same time, regulatory differences in labour law and data protection (e.g. GDPR in Europe versus more lenient regimes elsewhere) require IHRM to adapt policies locally while maintaining ethical consistency (Cappelli, 2019, p.9).</w:t>
      </w:r>
    </w:p>
    <w:p w14:paraId="69A4F82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The COVID-19 pandemic further revealed HR’s moral dimension: leaders were compelled to balance business continuity with employee safety and emotional well-being (McKinsey, 2020, p.16). These experiences highlight HR’s evolving identity as both strategic partner and moral steward.</w:t>
      </w:r>
    </w:p>
    <w:p w14:paraId="78D1C02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The Strategic and Ethical Horizon</w:t>
      </w:r>
      <w:r w:rsidRPr="00E624C4">
        <w:rPr>
          <w:rFonts w:ascii="Times New Roman" w:hAnsi="Times New Roman" w:cs="Times New Roman"/>
          <w:sz w:val="20"/>
          <w:szCs w:val="20"/>
          <w:lang w:val="en-GB" w:eastAsia="en-GB"/>
        </w:rPr>
        <w:br/>
        <w:t>Demographic and geopolitical dynamics increasingly intersect with technology. Automation can widen generational divides, while instability accelerates digital transformation. To respond, HR must integrate demographic insight, political awareness, and technological foresight to design resilient organisations. This includes scenario planning, workforce analytics, and proactive skills development (OECD, 2021, p.47).</w:t>
      </w:r>
    </w:p>
    <w:p w14:paraId="6B906E8B" w14:textId="401D9ECA"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As Betts and Collier (2017, p.120) argue, the goal is not to limit migration or technology but to make them work for people. The future of HRM and IHRM lies in combining strategic pragmatism with human empathy creating systems of work that are globally competitive, socially responsible, and deeply human.</w:t>
      </w:r>
    </w:p>
    <w:p w14:paraId="5B7437BA" w14:textId="77777777" w:rsidR="00E624C4" w:rsidRDefault="00E624C4" w:rsidP="00E624C4">
      <w:pPr>
        <w:spacing w:line="240" w:lineRule="auto"/>
        <w:rPr>
          <w:rFonts w:ascii="Times New Roman" w:hAnsi="Times New Roman" w:cs="Times New Roman"/>
          <w:sz w:val="20"/>
          <w:szCs w:val="20"/>
          <w:lang w:val="en-GB" w:eastAsia="en-GB"/>
        </w:rPr>
      </w:pPr>
    </w:p>
    <w:p w14:paraId="4A3F0490" w14:textId="77777777" w:rsidR="00E624C4" w:rsidRDefault="00E624C4" w:rsidP="00E624C4">
      <w:pPr>
        <w:spacing w:line="240" w:lineRule="auto"/>
        <w:rPr>
          <w:rFonts w:ascii="Times New Roman" w:hAnsi="Times New Roman" w:cs="Times New Roman"/>
          <w:sz w:val="20"/>
          <w:szCs w:val="20"/>
          <w:lang w:val="en-GB" w:eastAsia="en-GB"/>
        </w:rPr>
      </w:pPr>
    </w:p>
    <w:p w14:paraId="4BC63EC9" w14:textId="77777777" w:rsidR="00E624C4" w:rsidRDefault="00E624C4" w:rsidP="00E624C4">
      <w:pPr>
        <w:spacing w:line="240" w:lineRule="auto"/>
        <w:rPr>
          <w:rFonts w:ascii="Times New Roman" w:hAnsi="Times New Roman" w:cs="Times New Roman"/>
          <w:sz w:val="20"/>
          <w:szCs w:val="20"/>
          <w:lang w:val="en-GB" w:eastAsia="en-GB"/>
        </w:rPr>
      </w:pPr>
    </w:p>
    <w:p w14:paraId="7A78E2AE" w14:textId="77777777" w:rsidR="00E624C4" w:rsidRDefault="00E624C4" w:rsidP="00E624C4">
      <w:pPr>
        <w:spacing w:line="240" w:lineRule="auto"/>
        <w:rPr>
          <w:rFonts w:ascii="Times New Roman" w:hAnsi="Times New Roman" w:cs="Times New Roman"/>
          <w:sz w:val="20"/>
          <w:szCs w:val="20"/>
          <w:lang w:val="en-GB" w:eastAsia="en-GB"/>
        </w:rPr>
      </w:pPr>
    </w:p>
    <w:p w14:paraId="10D81569" w14:textId="77777777" w:rsidR="00E624C4" w:rsidRDefault="00E624C4" w:rsidP="00E624C4">
      <w:pPr>
        <w:spacing w:line="240" w:lineRule="auto"/>
        <w:rPr>
          <w:rFonts w:ascii="Times New Roman" w:hAnsi="Times New Roman" w:cs="Times New Roman"/>
          <w:sz w:val="20"/>
          <w:szCs w:val="20"/>
          <w:lang w:val="en-GB" w:eastAsia="en-GB"/>
        </w:rPr>
      </w:pPr>
    </w:p>
    <w:p w14:paraId="1B866D4D" w14:textId="77777777" w:rsidR="00E624C4" w:rsidRDefault="00E624C4" w:rsidP="00E624C4">
      <w:pPr>
        <w:spacing w:line="240" w:lineRule="auto"/>
        <w:rPr>
          <w:rFonts w:ascii="Times New Roman" w:hAnsi="Times New Roman" w:cs="Times New Roman"/>
          <w:sz w:val="20"/>
          <w:szCs w:val="20"/>
          <w:lang w:val="en-GB" w:eastAsia="en-GB"/>
        </w:rPr>
      </w:pPr>
    </w:p>
    <w:p w14:paraId="11EC3CEE" w14:textId="77777777" w:rsidR="00E624C4" w:rsidRDefault="00E624C4" w:rsidP="00E624C4">
      <w:pPr>
        <w:spacing w:line="240" w:lineRule="auto"/>
        <w:rPr>
          <w:rFonts w:ascii="Times New Roman" w:hAnsi="Times New Roman" w:cs="Times New Roman"/>
          <w:sz w:val="20"/>
          <w:szCs w:val="20"/>
          <w:lang w:val="en-GB" w:eastAsia="en-GB"/>
        </w:rPr>
      </w:pPr>
    </w:p>
    <w:p w14:paraId="2202002D" w14:textId="77777777" w:rsidR="00E624C4" w:rsidRDefault="00E624C4" w:rsidP="00E624C4">
      <w:pPr>
        <w:spacing w:line="240" w:lineRule="auto"/>
        <w:rPr>
          <w:rFonts w:ascii="Times New Roman" w:hAnsi="Times New Roman" w:cs="Times New Roman"/>
          <w:sz w:val="20"/>
          <w:szCs w:val="20"/>
          <w:lang w:val="en-GB" w:eastAsia="en-GB"/>
        </w:rPr>
      </w:pPr>
    </w:p>
    <w:p w14:paraId="3465F8F7" w14:textId="77777777" w:rsidR="00E624C4" w:rsidRDefault="00E624C4" w:rsidP="00E624C4">
      <w:pPr>
        <w:spacing w:line="240" w:lineRule="auto"/>
        <w:rPr>
          <w:rFonts w:ascii="Times New Roman" w:hAnsi="Times New Roman" w:cs="Times New Roman"/>
          <w:sz w:val="20"/>
          <w:szCs w:val="20"/>
          <w:lang w:val="en-GB" w:eastAsia="en-GB"/>
        </w:rPr>
      </w:pPr>
    </w:p>
    <w:p w14:paraId="5CEFD9D0" w14:textId="77777777" w:rsidR="00E624C4" w:rsidRDefault="00E624C4" w:rsidP="00E624C4">
      <w:pPr>
        <w:spacing w:line="240" w:lineRule="auto"/>
        <w:rPr>
          <w:rFonts w:ascii="Times New Roman" w:hAnsi="Times New Roman" w:cs="Times New Roman"/>
          <w:sz w:val="20"/>
          <w:szCs w:val="20"/>
          <w:lang w:val="en-GB" w:eastAsia="en-GB"/>
        </w:rPr>
      </w:pPr>
    </w:p>
    <w:p w14:paraId="325822F6" w14:textId="77777777" w:rsidR="00E624C4" w:rsidRDefault="00E624C4" w:rsidP="00E624C4">
      <w:pPr>
        <w:spacing w:line="240" w:lineRule="auto"/>
        <w:rPr>
          <w:rFonts w:ascii="Times New Roman" w:hAnsi="Times New Roman" w:cs="Times New Roman"/>
          <w:sz w:val="20"/>
          <w:szCs w:val="20"/>
          <w:lang w:val="en-GB" w:eastAsia="en-GB"/>
        </w:rPr>
      </w:pPr>
    </w:p>
    <w:p w14:paraId="4376C059" w14:textId="77777777" w:rsidR="00E624C4" w:rsidRDefault="00E624C4" w:rsidP="00E624C4">
      <w:pPr>
        <w:spacing w:line="240" w:lineRule="auto"/>
        <w:rPr>
          <w:rFonts w:ascii="Times New Roman" w:hAnsi="Times New Roman" w:cs="Times New Roman"/>
          <w:sz w:val="20"/>
          <w:szCs w:val="20"/>
          <w:lang w:val="en-GB" w:eastAsia="en-GB"/>
        </w:rPr>
      </w:pPr>
    </w:p>
    <w:p w14:paraId="765D36FB" w14:textId="77777777" w:rsidR="00E624C4" w:rsidRPr="00E624C4" w:rsidRDefault="00E624C4" w:rsidP="00E624C4">
      <w:pPr>
        <w:spacing w:line="240" w:lineRule="auto"/>
        <w:rPr>
          <w:rFonts w:ascii="Times New Roman" w:hAnsi="Times New Roman" w:cs="Times New Roman"/>
          <w:sz w:val="20"/>
          <w:szCs w:val="20"/>
          <w:lang w:val="en-GB" w:eastAsia="en-GB"/>
        </w:rPr>
      </w:pPr>
    </w:p>
    <w:p w14:paraId="1E72C13B" w14:textId="4B617EED" w:rsidR="00E624C4" w:rsidRPr="00E624C4" w:rsidRDefault="00E624C4" w:rsidP="00E624C4">
      <w:pPr>
        <w:pStyle w:val="Heading1"/>
        <w:numPr>
          <w:ilvl w:val="0"/>
          <w:numId w:val="2"/>
        </w:numPr>
        <w:rPr>
          <w:rFonts w:eastAsia="Times New Roman"/>
          <w:b/>
          <w:bCs/>
          <w:color w:val="000000" w:themeColor="text1"/>
          <w:lang w:val="en-GB" w:eastAsia="en-GB"/>
        </w:rPr>
      </w:pPr>
      <w:bookmarkStart w:id="10" w:name="_Toc213787836"/>
      <w:bookmarkStart w:id="11" w:name="_Toc213956552"/>
      <w:bookmarkStart w:id="12" w:name="_Toc213956616"/>
      <w:r w:rsidRPr="00E624C4">
        <w:rPr>
          <w:rFonts w:eastAsia="Times New Roman"/>
          <w:b/>
          <w:bCs/>
          <w:color w:val="000000" w:themeColor="text1"/>
          <w:lang w:val="en-GB" w:eastAsia="en-GB"/>
        </w:rPr>
        <w:lastRenderedPageBreak/>
        <w:t>Addressing Skills Gaps and Talent Shortages through Strategic HR</w:t>
      </w:r>
      <w:bookmarkStart w:id="13" w:name="_Toc213176763"/>
      <w:bookmarkStart w:id="14" w:name="_Toc213176545"/>
      <w:r w:rsidRPr="00E624C4">
        <w:rPr>
          <w:rFonts w:eastAsia="Times New Roman"/>
          <w:b/>
          <w:bCs/>
          <w:color w:val="000000" w:themeColor="text1"/>
          <w:lang w:val="en-GB" w:eastAsia="en-GB"/>
        </w:rPr>
        <w:t>M</w:t>
      </w:r>
      <w:bookmarkStart w:id="15" w:name="_Toc213782456"/>
      <w:bookmarkStart w:id="16" w:name="_Toc213782827"/>
      <w:bookmarkStart w:id="17" w:name="_Toc213783369"/>
      <w:bookmarkEnd w:id="10"/>
      <w:bookmarkEnd w:id="11"/>
      <w:bookmarkEnd w:id="12"/>
      <w:r w:rsidRPr="00E624C4">
        <w:rPr>
          <w:rFonts w:eastAsia="Times New Roman"/>
          <w:b/>
          <w:bCs/>
          <w:color w:val="000000" w:themeColor="text1"/>
          <w:lang w:val="en-GB" w:eastAsia="en-GB"/>
        </w:rPr>
        <w:t xml:space="preserve"> </w:t>
      </w:r>
    </w:p>
    <w:p w14:paraId="336BC3B5" w14:textId="582D7CD0" w:rsidR="00E624C4" w:rsidRPr="00E624C4" w:rsidRDefault="00E624C4" w:rsidP="00E624C4">
      <w:pPr>
        <w:spacing w:line="240" w:lineRule="auto"/>
        <w:rPr>
          <w:rFonts w:ascii="Times New Roman" w:hAnsi="Times New Roman" w:cs="Times New Roman"/>
          <w:b/>
          <w:bCs/>
          <w:sz w:val="20"/>
          <w:szCs w:val="20"/>
          <w:lang w:val="en-GB" w:eastAsia="en-GB"/>
        </w:rPr>
      </w:pPr>
      <w:bookmarkStart w:id="18" w:name="_Toc213787837"/>
      <w:r w:rsidRPr="00E624C4">
        <w:rPr>
          <w:rFonts w:ascii="Times New Roman" w:eastAsia="Aptos" w:hAnsi="Times New Roman" w:cs="Times New Roman"/>
          <w:sz w:val="20"/>
          <w:szCs w:val="20"/>
          <w:lang w:val="en-GB"/>
        </w:rPr>
        <w:t>Skills shortages have become a persistent feature of the 21st-century labour market, affecting industries from technology and cybersecurity to healthcare and hospitality. The World Economic Forum (2023, p.15) reports that over 50% of companies globally struggle to fill critical roles, even in regions with high unemployment. This paradox simultaneous unemployment and unfilled roles highlight a structural “skills mismatch” that challenges both Human Resource Management (HRM) and International HRM (IHRM)</w:t>
      </w:r>
      <w:bookmarkEnd w:id="13"/>
      <w:bookmarkEnd w:id="14"/>
      <w:bookmarkEnd w:id="15"/>
      <w:bookmarkEnd w:id="16"/>
      <w:bookmarkEnd w:id="17"/>
      <w:bookmarkEnd w:id="18"/>
    </w:p>
    <w:p w14:paraId="483FD75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1. Understanding the Nature of Skills Gaps</w:t>
      </w:r>
      <w:r w:rsidRPr="00E624C4">
        <w:rPr>
          <w:rFonts w:ascii="Times New Roman" w:hAnsi="Times New Roman" w:cs="Times New Roman"/>
          <w:sz w:val="20"/>
          <w:szCs w:val="20"/>
          <w:lang w:val="en-GB" w:eastAsia="en-GB"/>
        </w:rPr>
        <w:br/>
        <w:t>Shortages arise from a combination of technological acceleration, educational lag, migration barriers, and evolving employee expectations. Automation continuously transforms job profiles faster than formal education systems can adapt (Brynjolfsson &amp; McAfee, 2014, p.84). Healthcare faces rising demand due to ageing populations, while technology sectors experience unprecedented demand for AI, data science, and cybersecurity expertise. Crucially, the gap is both quantitative and qualitative: organisations often struggle to find workers with the exact skills needed, making capability-focused planning essential.</w:t>
      </w:r>
    </w:p>
    <w:p w14:paraId="5434DD4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2. Strategic Workforce Planning</w:t>
      </w:r>
      <w:r w:rsidRPr="00E624C4">
        <w:rPr>
          <w:rFonts w:ascii="Times New Roman" w:hAnsi="Times New Roman" w:cs="Times New Roman"/>
          <w:sz w:val="20"/>
          <w:szCs w:val="20"/>
          <w:lang w:val="en-GB" w:eastAsia="en-GB"/>
        </w:rPr>
        <w:br/>
        <w:t>Effective HRM relies on strategic workforce planning to anticipate future skill needs. McKinsey (2020, p.14) emphasises scenario analysis, demand forecasting, and skills mapping to pre-empt shortages. Firms such as Siemens and Accenture now use AI-driven workforce analytics to predict attrition and skill obsolescence, combining quantitative data with qualitative insights like manager interviews and employee feedback (Cappelli, 2019, p.9).</w:t>
      </w:r>
    </w:p>
    <w:p w14:paraId="0B18C66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3. Developing Internal Talent Pipelines</w:t>
      </w:r>
      <w:r w:rsidRPr="00E624C4">
        <w:rPr>
          <w:rFonts w:ascii="Times New Roman" w:hAnsi="Times New Roman" w:cs="Times New Roman"/>
          <w:sz w:val="20"/>
          <w:szCs w:val="20"/>
          <w:lang w:val="en-GB" w:eastAsia="en-GB"/>
        </w:rPr>
        <w:br/>
        <w:t xml:space="preserve">Building internal talent is one of the most sustainable approaches. Apprenticeships, graduate schemes, and rotational programmes can bridge gaps while reinforcing organisational culture. IBM’s </w:t>
      </w:r>
      <w:r w:rsidRPr="00E624C4">
        <w:rPr>
          <w:rFonts w:ascii="Times New Roman" w:hAnsi="Times New Roman" w:cs="Times New Roman"/>
          <w:i/>
          <w:iCs/>
          <w:sz w:val="20"/>
          <w:szCs w:val="20"/>
          <w:lang w:val="en-GB" w:eastAsia="en-GB"/>
        </w:rPr>
        <w:t>Skills Build</w:t>
      </w:r>
      <w:r w:rsidRPr="00E624C4">
        <w:rPr>
          <w:rFonts w:ascii="Times New Roman" w:hAnsi="Times New Roman" w:cs="Times New Roman"/>
          <w:sz w:val="20"/>
          <w:szCs w:val="20"/>
          <w:lang w:val="en-GB" w:eastAsia="en-GB"/>
        </w:rPr>
        <w:t xml:space="preserve"> initiative, which offers training to employees and external learners, demonstrates how HRM can simultaneously address business needs and societal employability (OECD, 2021, p.45). IHRM ensures such programmes scale globally while remaining locally relevant.</w:t>
      </w:r>
    </w:p>
    <w:p w14:paraId="507F40D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4. Reskilling, Upskilling, and Lifelong Learning</w:t>
      </w:r>
      <w:r w:rsidRPr="00E624C4">
        <w:rPr>
          <w:rFonts w:ascii="Times New Roman" w:hAnsi="Times New Roman" w:cs="Times New Roman"/>
          <w:sz w:val="20"/>
          <w:szCs w:val="20"/>
          <w:lang w:val="en-GB" w:eastAsia="en-GB"/>
        </w:rPr>
        <w:br/>
        <w:t>The concept of lifelong employability is now critical. Skills life cycles can be as short as two years in fast-changing sectors (WEF, 2023, p.17). HR must embed continuous learning via flexible micro-credentials, AI-personalised learning, and modular training. Soft skills adaptability, problem-solving, and emotional intelligence are increasingly decisive as automation absorbs technical tasks (Autor, 2015, p.9).</w:t>
      </w:r>
    </w:p>
    <w:p w14:paraId="3CE67A0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5. Rethinking Talent Attraction and Retention</w:t>
      </w:r>
      <w:r w:rsidRPr="00E624C4">
        <w:rPr>
          <w:rFonts w:ascii="Times New Roman" w:hAnsi="Times New Roman" w:cs="Times New Roman"/>
          <w:sz w:val="20"/>
          <w:szCs w:val="20"/>
          <w:lang w:val="en-GB" w:eastAsia="en-GB"/>
        </w:rPr>
        <w:br/>
        <w:t>Addressing shortages requires revising the Employer Value Proposition (EVP). Modern talent seeks purpose, flexibility, and inclusion. For example, Unilever’s “Purpose-led Future of Work” framework aligns individual development with organisational purpose, supporting engagement and retention. Yet excessive flexibility can create ethical challenges, including burnout and inequity, which HR must mitigate (CIPD, 2022, p.9).</w:t>
      </w:r>
    </w:p>
    <w:p w14:paraId="70E3374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6. Leveraging External Partnerships and Global Sourcing</w:t>
      </w:r>
      <w:r w:rsidRPr="00E624C4">
        <w:rPr>
          <w:rFonts w:ascii="Times New Roman" w:hAnsi="Times New Roman" w:cs="Times New Roman"/>
          <w:sz w:val="20"/>
          <w:szCs w:val="20"/>
          <w:lang w:val="en-GB" w:eastAsia="en-GB"/>
        </w:rPr>
        <w:br/>
        <w:t>Some skills gaps demand collaboration or international sourcing. Partnerships with universities, governments, and industry bodies can co-create talent pipelines. Singapore’s Skills Future initiative exemplifies public–private collaboration for workforce development. IHRM also manages mobility, remote teams, and international contractors while navigating compliance, taxation, and cultural integration (De Stefano, 2016, p.480).</w:t>
      </w:r>
    </w:p>
    <w:p w14:paraId="57CD74F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7. Strategic Implications</w:t>
      </w:r>
      <w:r w:rsidRPr="00E624C4">
        <w:rPr>
          <w:rFonts w:ascii="Times New Roman" w:hAnsi="Times New Roman" w:cs="Times New Roman"/>
          <w:sz w:val="20"/>
          <w:szCs w:val="20"/>
          <w:lang w:val="en-GB" w:eastAsia="en-GB"/>
        </w:rPr>
        <w:br/>
        <w:t>Skills shortages are both a practical and moral challenge. HR must act as architect and advocate of human capability, balancing efficiency with equity and technology with empathy. As OECD (2022, p.22) notes, the future of competitiveness lies not in replacing workers with machines but enabling them to work alongside technology. HRM must evolve into human capability stewardship, integrating technology, policy, and education to empower people rather than displace them.</w:t>
      </w:r>
    </w:p>
    <w:p w14:paraId="000DFD0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eastAsia="Aptos" w:hAnsi="Times New Roman" w:cs="Times New Roman"/>
          <w:noProof/>
          <w:sz w:val="20"/>
          <w:szCs w:val="20"/>
          <w:lang w:val="en-GB"/>
        </w:rPr>
        <w:lastRenderedPageBreak/>
        <w:drawing>
          <wp:anchor distT="0" distB="0" distL="114300" distR="114300" simplePos="0" relativeHeight="251660288" behindDoc="0" locked="0" layoutInCell="1" allowOverlap="1" wp14:anchorId="585E21BC" wp14:editId="576620A1">
            <wp:simplePos x="0" y="0"/>
            <wp:positionH relativeFrom="column">
              <wp:posOffset>0</wp:posOffset>
            </wp:positionH>
            <wp:positionV relativeFrom="paragraph">
              <wp:posOffset>361315</wp:posOffset>
            </wp:positionV>
            <wp:extent cx="5731510" cy="3413125"/>
            <wp:effectExtent l="0" t="0" r="2540" b="0"/>
            <wp:wrapTopAndBottom/>
            <wp:docPr id="15" name="Picture 2"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aph of different colored bar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13125"/>
                    </a:xfrm>
                    <a:prstGeom prst="rect">
                      <a:avLst/>
                    </a:prstGeom>
                    <a:noFill/>
                  </pic:spPr>
                </pic:pic>
              </a:graphicData>
            </a:graphic>
            <wp14:sizeRelH relativeFrom="page">
              <wp14:pctWidth>0</wp14:pctWidth>
            </wp14:sizeRelH>
            <wp14:sizeRelV relativeFrom="page">
              <wp14:pctHeight>0</wp14:pctHeight>
            </wp14:sizeRelV>
          </wp:anchor>
        </w:drawing>
      </w:r>
    </w:p>
    <w:p w14:paraId="33B0DDB2"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2. Comparison between skill demand and availability in the global workforce (2025).</w:t>
      </w:r>
    </w:p>
    <w:p w14:paraId="2335BB93"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Source: Adapted from McKinsey (2020) and OECD (2021).</w:t>
      </w:r>
    </w:p>
    <w:p w14:paraId="3C56E896" w14:textId="77777777" w:rsidR="00E624C4" w:rsidRDefault="00E624C4" w:rsidP="00E624C4">
      <w:pPr>
        <w:spacing w:line="240" w:lineRule="auto"/>
        <w:rPr>
          <w:rFonts w:ascii="Times New Roman" w:hAnsi="Times New Roman" w:cs="Times New Roman"/>
          <w:sz w:val="20"/>
          <w:szCs w:val="20"/>
          <w:lang w:val="en-GB" w:eastAsia="en-GB"/>
        </w:rPr>
      </w:pPr>
    </w:p>
    <w:p w14:paraId="119095A0" w14:textId="77777777" w:rsidR="00E624C4" w:rsidRDefault="00E624C4" w:rsidP="00E624C4">
      <w:pPr>
        <w:spacing w:line="240" w:lineRule="auto"/>
        <w:rPr>
          <w:rFonts w:ascii="Times New Roman" w:hAnsi="Times New Roman" w:cs="Times New Roman"/>
          <w:sz w:val="20"/>
          <w:szCs w:val="20"/>
          <w:lang w:val="en-GB" w:eastAsia="en-GB"/>
        </w:rPr>
      </w:pPr>
    </w:p>
    <w:p w14:paraId="0E171D18" w14:textId="77777777" w:rsidR="00E624C4" w:rsidRDefault="00E624C4" w:rsidP="00E624C4">
      <w:pPr>
        <w:spacing w:line="240" w:lineRule="auto"/>
        <w:rPr>
          <w:rFonts w:ascii="Times New Roman" w:hAnsi="Times New Roman" w:cs="Times New Roman"/>
          <w:sz w:val="20"/>
          <w:szCs w:val="20"/>
          <w:lang w:val="en-GB" w:eastAsia="en-GB"/>
        </w:rPr>
      </w:pPr>
    </w:p>
    <w:p w14:paraId="34FF69BD" w14:textId="77777777" w:rsidR="00E624C4" w:rsidRDefault="00E624C4" w:rsidP="00E624C4">
      <w:pPr>
        <w:spacing w:line="240" w:lineRule="auto"/>
        <w:rPr>
          <w:rFonts w:ascii="Times New Roman" w:hAnsi="Times New Roman" w:cs="Times New Roman"/>
          <w:sz w:val="20"/>
          <w:szCs w:val="20"/>
          <w:lang w:val="en-GB" w:eastAsia="en-GB"/>
        </w:rPr>
      </w:pPr>
    </w:p>
    <w:p w14:paraId="09E81059" w14:textId="77777777" w:rsidR="00E624C4" w:rsidRDefault="00E624C4" w:rsidP="00E624C4">
      <w:pPr>
        <w:spacing w:line="240" w:lineRule="auto"/>
        <w:rPr>
          <w:rFonts w:ascii="Times New Roman" w:hAnsi="Times New Roman" w:cs="Times New Roman"/>
          <w:sz w:val="20"/>
          <w:szCs w:val="20"/>
          <w:lang w:val="en-GB" w:eastAsia="en-GB"/>
        </w:rPr>
      </w:pPr>
    </w:p>
    <w:p w14:paraId="4FCD6247" w14:textId="77777777" w:rsidR="00E624C4" w:rsidRDefault="00E624C4" w:rsidP="00E624C4">
      <w:pPr>
        <w:spacing w:line="240" w:lineRule="auto"/>
        <w:rPr>
          <w:rFonts w:ascii="Times New Roman" w:hAnsi="Times New Roman" w:cs="Times New Roman"/>
          <w:sz w:val="20"/>
          <w:szCs w:val="20"/>
          <w:lang w:val="en-GB" w:eastAsia="en-GB"/>
        </w:rPr>
      </w:pPr>
    </w:p>
    <w:p w14:paraId="10F0400B" w14:textId="77777777" w:rsidR="00E624C4" w:rsidRDefault="00E624C4" w:rsidP="00E624C4">
      <w:pPr>
        <w:spacing w:line="240" w:lineRule="auto"/>
        <w:rPr>
          <w:rFonts w:ascii="Times New Roman" w:hAnsi="Times New Roman" w:cs="Times New Roman"/>
          <w:sz w:val="20"/>
          <w:szCs w:val="20"/>
          <w:lang w:val="en-GB" w:eastAsia="en-GB"/>
        </w:rPr>
      </w:pPr>
    </w:p>
    <w:p w14:paraId="39D6B65C" w14:textId="77777777" w:rsidR="00E624C4" w:rsidRDefault="00E624C4" w:rsidP="00E624C4">
      <w:pPr>
        <w:spacing w:line="240" w:lineRule="auto"/>
        <w:rPr>
          <w:rFonts w:ascii="Times New Roman" w:hAnsi="Times New Roman" w:cs="Times New Roman"/>
          <w:sz w:val="20"/>
          <w:szCs w:val="20"/>
          <w:lang w:val="en-GB" w:eastAsia="en-GB"/>
        </w:rPr>
      </w:pPr>
    </w:p>
    <w:p w14:paraId="3FBEE48F" w14:textId="77777777" w:rsidR="00E624C4" w:rsidRDefault="00E624C4" w:rsidP="00E624C4">
      <w:pPr>
        <w:spacing w:line="240" w:lineRule="auto"/>
        <w:rPr>
          <w:rFonts w:ascii="Times New Roman" w:hAnsi="Times New Roman" w:cs="Times New Roman"/>
          <w:sz w:val="20"/>
          <w:szCs w:val="20"/>
          <w:lang w:val="en-GB" w:eastAsia="en-GB"/>
        </w:rPr>
      </w:pPr>
    </w:p>
    <w:p w14:paraId="4F25DD70" w14:textId="77777777" w:rsidR="00E624C4" w:rsidRDefault="00E624C4" w:rsidP="00E624C4">
      <w:pPr>
        <w:spacing w:line="240" w:lineRule="auto"/>
        <w:rPr>
          <w:rFonts w:ascii="Times New Roman" w:hAnsi="Times New Roman" w:cs="Times New Roman"/>
          <w:sz w:val="20"/>
          <w:szCs w:val="20"/>
          <w:lang w:val="en-GB" w:eastAsia="en-GB"/>
        </w:rPr>
      </w:pPr>
    </w:p>
    <w:p w14:paraId="0673187D" w14:textId="77777777" w:rsidR="00E624C4" w:rsidRDefault="00E624C4" w:rsidP="00E624C4">
      <w:pPr>
        <w:spacing w:line="240" w:lineRule="auto"/>
        <w:rPr>
          <w:rFonts w:ascii="Times New Roman" w:hAnsi="Times New Roman" w:cs="Times New Roman"/>
          <w:sz w:val="20"/>
          <w:szCs w:val="20"/>
          <w:lang w:val="en-GB" w:eastAsia="en-GB"/>
        </w:rPr>
      </w:pPr>
    </w:p>
    <w:p w14:paraId="43AA4C42" w14:textId="77777777" w:rsidR="00E624C4" w:rsidRDefault="00E624C4" w:rsidP="00E624C4">
      <w:pPr>
        <w:spacing w:line="240" w:lineRule="auto"/>
        <w:rPr>
          <w:rFonts w:ascii="Times New Roman" w:hAnsi="Times New Roman" w:cs="Times New Roman"/>
          <w:sz w:val="20"/>
          <w:szCs w:val="20"/>
          <w:lang w:val="en-GB" w:eastAsia="en-GB"/>
        </w:rPr>
      </w:pPr>
    </w:p>
    <w:p w14:paraId="313AC953" w14:textId="77777777" w:rsidR="00E624C4" w:rsidRDefault="00E624C4" w:rsidP="00E624C4">
      <w:pPr>
        <w:spacing w:line="240" w:lineRule="auto"/>
        <w:rPr>
          <w:rFonts w:ascii="Times New Roman" w:hAnsi="Times New Roman" w:cs="Times New Roman"/>
          <w:sz w:val="20"/>
          <w:szCs w:val="20"/>
          <w:lang w:val="en-GB" w:eastAsia="en-GB"/>
        </w:rPr>
      </w:pPr>
    </w:p>
    <w:p w14:paraId="4B762422" w14:textId="77777777" w:rsidR="00E624C4" w:rsidRDefault="00E624C4" w:rsidP="00E624C4">
      <w:pPr>
        <w:spacing w:line="240" w:lineRule="auto"/>
        <w:rPr>
          <w:rFonts w:ascii="Times New Roman" w:hAnsi="Times New Roman" w:cs="Times New Roman"/>
          <w:sz w:val="20"/>
          <w:szCs w:val="20"/>
          <w:lang w:val="en-GB" w:eastAsia="en-GB"/>
        </w:rPr>
      </w:pPr>
    </w:p>
    <w:p w14:paraId="6BBBBC95" w14:textId="77777777" w:rsidR="00E624C4" w:rsidRDefault="00E624C4" w:rsidP="00E624C4">
      <w:pPr>
        <w:spacing w:line="240" w:lineRule="auto"/>
        <w:rPr>
          <w:rFonts w:ascii="Times New Roman" w:hAnsi="Times New Roman" w:cs="Times New Roman"/>
          <w:sz w:val="20"/>
          <w:szCs w:val="20"/>
          <w:lang w:val="en-GB" w:eastAsia="en-GB"/>
        </w:rPr>
      </w:pPr>
    </w:p>
    <w:p w14:paraId="158FA04D" w14:textId="77777777" w:rsidR="00E624C4" w:rsidRDefault="00E624C4" w:rsidP="00E624C4">
      <w:pPr>
        <w:spacing w:line="240" w:lineRule="auto"/>
        <w:rPr>
          <w:rFonts w:ascii="Times New Roman" w:hAnsi="Times New Roman" w:cs="Times New Roman"/>
          <w:sz w:val="20"/>
          <w:szCs w:val="20"/>
          <w:lang w:val="en-GB" w:eastAsia="en-GB"/>
        </w:rPr>
      </w:pPr>
    </w:p>
    <w:p w14:paraId="32A90971" w14:textId="77777777" w:rsidR="00E624C4" w:rsidRPr="00E624C4" w:rsidRDefault="00E624C4" w:rsidP="00E624C4">
      <w:pPr>
        <w:spacing w:line="240" w:lineRule="auto"/>
        <w:rPr>
          <w:rFonts w:ascii="Times New Roman" w:hAnsi="Times New Roman" w:cs="Times New Roman"/>
          <w:sz w:val="20"/>
          <w:szCs w:val="20"/>
          <w:lang w:val="en-GB" w:eastAsia="en-GB"/>
        </w:rPr>
      </w:pPr>
    </w:p>
    <w:p w14:paraId="03D603BC"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19" w:name="_Toc213787838"/>
      <w:bookmarkStart w:id="20" w:name="_Toc213956553"/>
      <w:bookmarkStart w:id="21" w:name="_Toc213956617"/>
      <w:r w:rsidRPr="00E624C4">
        <w:rPr>
          <w:rFonts w:eastAsia="Times New Roman"/>
          <w:b/>
          <w:bCs/>
          <w:color w:val="000000" w:themeColor="text1"/>
          <w:lang w:val="en-GB" w:eastAsia="en-GB"/>
        </w:rPr>
        <w:lastRenderedPageBreak/>
        <w:t>Reflective Report on International Capability Development</w:t>
      </w:r>
      <w:bookmarkEnd w:id="19"/>
      <w:bookmarkEnd w:id="20"/>
      <w:bookmarkEnd w:id="21"/>
    </w:p>
    <w:p w14:paraId="4459F08E"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Technological Capability</w:t>
      </w:r>
      <w:r w:rsidRPr="00E624C4">
        <w:rPr>
          <w:rFonts w:ascii="Times New Roman" w:hAnsi="Times New Roman" w:cs="Times New Roman"/>
          <w:sz w:val="20"/>
          <w:szCs w:val="20"/>
          <w:lang w:val="en-GB" w:eastAsia="en-GB"/>
        </w:rPr>
        <w:br/>
        <w:t xml:space="preserve">Effective HR management increasingly relies on advanced technological tools, including HRIS systems, analytics dashboards, and AI applications. HR analytics enables organisations to make strategic workforce decisions, optimise recruitment, and anticipate skill shortages (Ramachandran, Babu &amp; Murugesan, 2023;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w:t>
      </w:r>
      <w:proofErr w:type="spellStart"/>
      <w:r w:rsidRPr="00E624C4">
        <w:rPr>
          <w:rFonts w:ascii="Times New Roman" w:hAnsi="Times New Roman" w:cs="Times New Roman"/>
          <w:sz w:val="20"/>
          <w:szCs w:val="20"/>
          <w:lang w:val="en-GB" w:eastAsia="en-GB"/>
        </w:rPr>
        <w:t>Bhandwalkar</w:t>
      </w:r>
      <w:proofErr w:type="spellEnd"/>
      <w:r w:rsidRPr="00E624C4">
        <w:rPr>
          <w:rFonts w:ascii="Times New Roman" w:hAnsi="Times New Roman" w:cs="Times New Roman"/>
          <w:sz w:val="20"/>
          <w:szCs w:val="20"/>
          <w:lang w:val="en-GB" w:eastAsia="en-GB"/>
        </w:rPr>
        <w:t xml:space="preserve"> &amp; Rege, 2024). Research highlights that while foundational skills in HRIS are common, advanced AI-driven analytics remains underutilised. Structured learning, such as accredited HR analytics programmes, has been shown to improve the translation of data into actionable insights, enhancing workforce planning and organisational outcomes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2023).</w:t>
      </w:r>
    </w:p>
    <w:p w14:paraId="496E465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noProof/>
          <w:sz w:val="20"/>
          <w:szCs w:val="20"/>
          <w:lang w:val="en-GB" w:eastAsia="en-GB"/>
        </w:rPr>
        <w:drawing>
          <wp:anchor distT="0" distB="0" distL="114300" distR="114300" simplePos="0" relativeHeight="251662336" behindDoc="0" locked="0" layoutInCell="1" allowOverlap="1" wp14:anchorId="10D153FE" wp14:editId="498FE5F4">
            <wp:simplePos x="0" y="0"/>
            <wp:positionH relativeFrom="column">
              <wp:posOffset>0</wp:posOffset>
            </wp:positionH>
            <wp:positionV relativeFrom="paragraph">
              <wp:posOffset>361315</wp:posOffset>
            </wp:positionV>
            <wp:extent cx="5731510" cy="3413125"/>
            <wp:effectExtent l="0" t="0" r="2540" b="0"/>
            <wp:wrapTopAndBottom/>
            <wp:docPr id="17" name="Picture 4" descr="A graph of a graph of adoption r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aph of a graph of adoption rat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13125"/>
                    </a:xfrm>
                    <a:prstGeom prst="rect">
                      <a:avLst/>
                    </a:prstGeom>
                    <a:noFill/>
                  </pic:spPr>
                </pic:pic>
              </a:graphicData>
            </a:graphic>
            <wp14:sizeRelH relativeFrom="page">
              <wp14:pctWidth>0</wp14:pctWidth>
            </wp14:sizeRelH>
            <wp14:sizeRelV relativeFrom="page">
              <wp14:pctHeight>0</wp14:pctHeight>
            </wp14:sizeRelV>
          </wp:anchor>
        </w:drawing>
      </w:r>
    </w:p>
    <w:p w14:paraId="268D276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Figure 4. Adoption rates of HR technologies across key sectors (2023).</w:t>
      </w:r>
    </w:p>
    <w:p w14:paraId="102DBCA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Source: Adapted from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xml:space="preserve"> (2023) and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et al. (2024).</w:t>
      </w:r>
    </w:p>
    <w:p w14:paraId="45AA9CB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Intercultural Communication</w:t>
      </w:r>
      <w:r w:rsidRPr="00E624C4">
        <w:rPr>
          <w:rFonts w:ascii="Times New Roman" w:hAnsi="Times New Roman" w:cs="Times New Roman"/>
          <w:sz w:val="20"/>
          <w:szCs w:val="20"/>
          <w:lang w:val="en-GB" w:eastAsia="en-GB"/>
        </w:rPr>
        <w:br/>
        <w:t xml:space="preserve">In international HR contexts, intercultural competence is critical. Studies show that effective communication across cultures enhances negotiation outcomes, team cohesion, and employee engagement (Spencer-Oatey, 2020; </w:t>
      </w:r>
      <w:proofErr w:type="spellStart"/>
      <w:r w:rsidRPr="00E624C4">
        <w:rPr>
          <w:rFonts w:ascii="Times New Roman" w:hAnsi="Times New Roman" w:cs="Times New Roman"/>
          <w:sz w:val="20"/>
          <w:szCs w:val="20"/>
          <w:lang w:val="en-GB" w:eastAsia="en-GB"/>
        </w:rPr>
        <w:t>Čuhlová</w:t>
      </w:r>
      <w:proofErr w:type="spellEnd"/>
      <w:r w:rsidRPr="00E624C4">
        <w:rPr>
          <w:rFonts w:ascii="Times New Roman" w:hAnsi="Times New Roman" w:cs="Times New Roman"/>
          <w:sz w:val="20"/>
          <w:szCs w:val="20"/>
          <w:lang w:val="en-GB" w:eastAsia="en-GB"/>
        </w:rPr>
        <w:t>, 2024). Cultural awareness and adaptability are particularly essential for global talent management, where diverse norms and expectations influence performance, motivation, and conflict resolution. Targeted intercultural training and structured frameworks improve negotiation strategies and foster inclusive workplaces.</w:t>
      </w:r>
    </w:p>
    <w:p w14:paraId="3D4B2113"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Leadership and Teamwork</w:t>
      </w:r>
      <w:r w:rsidRPr="00E624C4">
        <w:rPr>
          <w:rFonts w:ascii="Times New Roman" w:hAnsi="Times New Roman" w:cs="Times New Roman"/>
          <w:sz w:val="20"/>
          <w:szCs w:val="20"/>
          <w:lang w:val="en-GB" w:eastAsia="en-GB"/>
        </w:rPr>
        <w:br/>
        <w:t>Organisations operating internationally require leaders who can manage culturally diverse teams and drive collaborative outcomes. Evidence suggests that clearly defined roles, structured decision-making frameworks (such as RACI), and transparency in accountability improve efficiency while maintaining inclusivity (Bonilla-Chaves et al., 2023). Integrating technological tools, such as workforce analytics, further enables leaders to monitor performance, anticipate skill gaps, and support strategic HR initiatives (</w:t>
      </w: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2023).</w:t>
      </w:r>
    </w:p>
    <w:p w14:paraId="0640B4C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Continuous Learning and Capability Development</w:t>
      </w:r>
      <w:r w:rsidRPr="00E624C4">
        <w:rPr>
          <w:rFonts w:ascii="Times New Roman" w:hAnsi="Times New Roman" w:cs="Times New Roman"/>
          <w:sz w:val="20"/>
          <w:szCs w:val="20"/>
          <w:lang w:val="en-GB" w:eastAsia="en-GB"/>
        </w:rPr>
        <w:br/>
        <w:t xml:space="preserve">Rapid technological change and evolving global workforce needs necessitate continuous learning. Lifelong learning and micro-credential programmes equip HR professionals with skills in analytics, digital tools, and </w:t>
      </w:r>
      <w:r w:rsidRPr="00E624C4">
        <w:rPr>
          <w:rFonts w:ascii="Times New Roman" w:hAnsi="Times New Roman" w:cs="Times New Roman"/>
          <w:sz w:val="20"/>
          <w:szCs w:val="20"/>
          <w:lang w:val="en-GB" w:eastAsia="en-GB"/>
        </w:rPr>
        <w:lastRenderedPageBreak/>
        <w:t>intercultural management (Lee, 2024). Integrating learning into organisational processes, alongside soft skills development—such as adaptability, problem-solving, and emotional intelligence—ensures resilience and long-term employability in complex international environments (Autor, 2015).</w:t>
      </w:r>
    </w:p>
    <w:p w14:paraId="7B637507" w14:textId="77777777" w:rsid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b/>
          <w:bCs/>
          <w:sz w:val="20"/>
          <w:szCs w:val="20"/>
          <w:lang w:val="en-GB" w:eastAsia="en-GB"/>
        </w:rPr>
        <w:t>Strategic Implications</w:t>
      </w:r>
      <w:r w:rsidRPr="00E624C4">
        <w:rPr>
          <w:rFonts w:ascii="Times New Roman" w:hAnsi="Times New Roman" w:cs="Times New Roman"/>
          <w:sz w:val="20"/>
          <w:szCs w:val="20"/>
          <w:lang w:val="en-GB" w:eastAsia="en-GB"/>
        </w:rPr>
        <w:br/>
        <w:t xml:space="preserve">Developing international HR capability requires combining technological literacy, intercultural competence, and evidence-based leadership. Workforce planning must incorporate predictive analytics, structured skill development, and cross-cultural adaptability to meet organisational objectives globally. Collaborative initiatives with universities, industry bodies, and international partners enhance talent pipelines and address critical skill shortages (Ramachandran, Babu &amp; Murugesan, 2023; </w:t>
      </w: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w:t>
      </w:r>
      <w:proofErr w:type="spellStart"/>
      <w:r w:rsidRPr="00E624C4">
        <w:rPr>
          <w:rFonts w:ascii="Times New Roman" w:hAnsi="Times New Roman" w:cs="Times New Roman"/>
          <w:sz w:val="20"/>
          <w:szCs w:val="20"/>
          <w:lang w:val="en-GB" w:eastAsia="en-GB"/>
        </w:rPr>
        <w:t>Bhandwalkar</w:t>
      </w:r>
      <w:proofErr w:type="spellEnd"/>
      <w:r w:rsidRPr="00E624C4">
        <w:rPr>
          <w:rFonts w:ascii="Times New Roman" w:hAnsi="Times New Roman" w:cs="Times New Roman"/>
          <w:sz w:val="20"/>
          <w:szCs w:val="20"/>
          <w:lang w:val="en-GB" w:eastAsia="en-GB"/>
        </w:rPr>
        <w:t xml:space="preserve"> &amp; Rege, 2024). Organisations that integrate these approaches are better positioned to manage talent strategically in a global, technology-enabled workplace.</w:t>
      </w:r>
    </w:p>
    <w:p w14:paraId="42B480CE" w14:textId="77777777" w:rsidR="00E624C4" w:rsidRDefault="00E624C4" w:rsidP="00E624C4">
      <w:pPr>
        <w:spacing w:line="240" w:lineRule="auto"/>
        <w:rPr>
          <w:rFonts w:ascii="Times New Roman" w:hAnsi="Times New Roman" w:cs="Times New Roman"/>
          <w:sz w:val="20"/>
          <w:szCs w:val="20"/>
          <w:lang w:val="en-GB" w:eastAsia="en-GB"/>
        </w:rPr>
      </w:pPr>
    </w:p>
    <w:p w14:paraId="4DDB4A48" w14:textId="77777777" w:rsidR="00E624C4" w:rsidRDefault="00E624C4" w:rsidP="00E624C4">
      <w:pPr>
        <w:spacing w:line="240" w:lineRule="auto"/>
        <w:rPr>
          <w:rFonts w:ascii="Times New Roman" w:hAnsi="Times New Roman" w:cs="Times New Roman"/>
          <w:sz w:val="20"/>
          <w:szCs w:val="20"/>
          <w:lang w:val="en-GB" w:eastAsia="en-GB"/>
        </w:rPr>
      </w:pPr>
    </w:p>
    <w:p w14:paraId="21617AC2" w14:textId="77777777" w:rsidR="00E624C4" w:rsidRDefault="00E624C4" w:rsidP="00E624C4">
      <w:pPr>
        <w:spacing w:line="240" w:lineRule="auto"/>
        <w:rPr>
          <w:rFonts w:ascii="Times New Roman" w:hAnsi="Times New Roman" w:cs="Times New Roman"/>
          <w:sz w:val="20"/>
          <w:szCs w:val="20"/>
          <w:lang w:val="en-GB" w:eastAsia="en-GB"/>
        </w:rPr>
      </w:pPr>
    </w:p>
    <w:p w14:paraId="1F3F67D2" w14:textId="77777777" w:rsidR="00E624C4" w:rsidRDefault="00E624C4" w:rsidP="00E624C4">
      <w:pPr>
        <w:spacing w:line="240" w:lineRule="auto"/>
        <w:rPr>
          <w:rFonts w:ascii="Times New Roman" w:hAnsi="Times New Roman" w:cs="Times New Roman"/>
          <w:sz w:val="20"/>
          <w:szCs w:val="20"/>
          <w:lang w:val="en-GB" w:eastAsia="en-GB"/>
        </w:rPr>
      </w:pPr>
    </w:p>
    <w:p w14:paraId="2B3779F4" w14:textId="77777777" w:rsidR="00E624C4" w:rsidRDefault="00E624C4" w:rsidP="00E624C4">
      <w:pPr>
        <w:spacing w:line="240" w:lineRule="auto"/>
        <w:rPr>
          <w:rFonts w:ascii="Times New Roman" w:hAnsi="Times New Roman" w:cs="Times New Roman"/>
          <w:sz w:val="20"/>
          <w:szCs w:val="20"/>
          <w:lang w:val="en-GB" w:eastAsia="en-GB"/>
        </w:rPr>
      </w:pPr>
    </w:p>
    <w:p w14:paraId="4C7AAFF5" w14:textId="77777777" w:rsidR="00E624C4" w:rsidRDefault="00E624C4" w:rsidP="00E624C4">
      <w:pPr>
        <w:spacing w:line="240" w:lineRule="auto"/>
        <w:rPr>
          <w:rFonts w:ascii="Times New Roman" w:hAnsi="Times New Roman" w:cs="Times New Roman"/>
          <w:sz w:val="20"/>
          <w:szCs w:val="20"/>
          <w:lang w:val="en-GB" w:eastAsia="en-GB"/>
        </w:rPr>
      </w:pPr>
    </w:p>
    <w:p w14:paraId="11550B0E" w14:textId="77777777" w:rsidR="00E624C4" w:rsidRDefault="00E624C4" w:rsidP="00E624C4">
      <w:pPr>
        <w:spacing w:line="240" w:lineRule="auto"/>
        <w:rPr>
          <w:rFonts w:ascii="Times New Roman" w:hAnsi="Times New Roman" w:cs="Times New Roman"/>
          <w:sz w:val="20"/>
          <w:szCs w:val="20"/>
          <w:lang w:val="en-GB" w:eastAsia="en-GB"/>
        </w:rPr>
      </w:pPr>
    </w:p>
    <w:p w14:paraId="436EC174" w14:textId="77777777" w:rsidR="00E624C4" w:rsidRDefault="00E624C4" w:rsidP="00E624C4">
      <w:pPr>
        <w:spacing w:line="240" w:lineRule="auto"/>
        <w:rPr>
          <w:rFonts w:ascii="Times New Roman" w:hAnsi="Times New Roman" w:cs="Times New Roman"/>
          <w:sz w:val="20"/>
          <w:szCs w:val="20"/>
          <w:lang w:val="en-GB" w:eastAsia="en-GB"/>
        </w:rPr>
      </w:pPr>
    </w:p>
    <w:p w14:paraId="5F35A038" w14:textId="77777777" w:rsidR="00E624C4" w:rsidRDefault="00E624C4" w:rsidP="00E624C4">
      <w:pPr>
        <w:spacing w:line="240" w:lineRule="auto"/>
        <w:rPr>
          <w:rFonts w:ascii="Times New Roman" w:hAnsi="Times New Roman" w:cs="Times New Roman"/>
          <w:sz w:val="20"/>
          <w:szCs w:val="20"/>
          <w:lang w:val="en-GB" w:eastAsia="en-GB"/>
        </w:rPr>
      </w:pPr>
    </w:p>
    <w:p w14:paraId="054D1E6D" w14:textId="77777777" w:rsidR="00E624C4" w:rsidRDefault="00E624C4" w:rsidP="00E624C4">
      <w:pPr>
        <w:spacing w:line="240" w:lineRule="auto"/>
        <w:rPr>
          <w:rFonts w:ascii="Times New Roman" w:hAnsi="Times New Roman" w:cs="Times New Roman"/>
          <w:sz w:val="20"/>
          <w:szCs w:val="20"/>
          <w:lang w:val="en-GB" w:eastAsia="en-GB"/>
        </w:rPr>
      </w:pPr>
    </w:p>
    <w:p w14:paraId="7C9B8CD1" w14:textId="77777777" w:rsidR="00E624C4" w:rsidRDefault="00E624C4" w:rsidP="00E624C4">
      <w:pPr>
        <w:spacing w:line="240" w:lineRule="auto"/>
        <w:rPr>
          <w:rFonts w:ascii="Times New Roman" w:hAnsi="Times New Roman" w:cs="Times New Roman"/>
          <w:sz w:val="20"/>
          <w:szCs w:val="20"/>
          <w:lang w:val="en-GB" w:eastAsia="en-GB"/>
        </w:rPr>
      </w:pPr>
    </w:p>
    <w:p w14:paraId="61F8318E" w14:textId="77777777" w:rsidR="00E624C4" w:rsidRDefault="00E624C4" w:rsidP="00E624C4">
      <w:pPr>
        <w:spacing w:line="240" w:lineRule="auto"/>
        <w:rPr>
          <w:rFonts w:ascii="Times New Roman" w:hAnsi="Times New Roman" w:cs="Times New Roman"/>
          <w:sz w:val="20"/>
          <w:szCs w:val="20"/>
          <w:lang w:val="en-GB" w:eastAsia="en-GB"/>
        </w:rPr>
      </w:pPr>
    </w:p>
    <w:p w14:paraId="0640DBAB" w14:textId="77777777" w:rsidR="00E624C4" w:rsidRDefault="00E624C4" w:rsidP="00E624C4">
      <w:pPr>
        <w:spacing w:line="240" w:lineRule="auto"/>
        <w:rPr>
          <w:rFonts w:ascii="Times New Roman" w:hAnsi="Times New Roman" w:cs="Times New Roman"/>
          <w:sz w:val="20"/>
          <w:szCs w:val="20"/>
          <w:lang w:val="en-GB" w:eastAsia="en-GB"/>
        </w:rPr>
      </w:pPr>
    </w:p>
    <w:p w14:paraId="749B1754" w14:textId="77777777" w:rsidR="00E624C4" w:rsidRDefault="00E624C4" w:rsidP="00E624C4">
      <w:pPr>
        <w:spacing w:line="240" w:lineRule="auto"/>
        <w:rPr>
          <w:rFonts w:ascii="Times New Roman" w:hAnsi="Times New Roman" w:cs="Times New Roman"/>
          <w:sz w:val="20"/>
          <w:szCs w:val="20"/>
          <w:lang w:val="en-GB" w:eastAsia="en-GB"/>
        </w:rPr>
      </w:pPr>
    </w:p>
    <w:p w14:paraId="3B2EC35B" w14:textId="77777777" w:rsidR="00E624C4" w:rsidRDefault="00E624C4" w:rsidP="00E624C4">
      <w:pPr>
        <w:spacing w:line="240" w:lineRule="auto"/>
        <w:rPr>
          <w:rFonts w:ascii="Times New Roman" w:hAnsi="Times New Roman" w:cs="Times New Roman"/>
          <w:sz w:val="20"/>
          <w:szCs w:val="20"/>
          <w:lang w:val="en-GB" w:eastAsia="en-GB"/>
        </w:rPr>
      </w:pPr>
    </w:p>
    <w:p w14:paraId="757E131E" w14:textId="77777777" w:rsidR="00E624C4" w:rsidRDefault="00E624C4" w:rsidP="00E624C4">
      <w:pPr>
        <w:spacing w:line="240" w:lineRule="auto"/>
        <w:rPr>
          <w:rFonts w:ascii="Times New Roman" w:hAnsi="Times New Roman" w:cs="Times New Roman"/>
          <w:sz w:val="20"/>
          <w:szCs w:val="20"/>
          <w:lang w:val="en-GB" w:eastAsia="en-GB"/>
        </w:rPr>
      </w:pPr>
    </w:p>
    <w:p w14:paraId="55C5781E" w14:textId="77777777" w:rsidR="00E624C4" w:rsidRDefault="00E624C4" w:rsidP="00E624C4">
      <w:pPr>
        <w:spacing w:line="240" w:lineRule="auto"/>
        <w:rPr>
          <w:rFonts w:ascii="Times New Roman" w:hAnsi="Times New Roman" w:cs="Times New Roman"/>
          <w:sz w:val="20"/>
          <w:szCs w:val="20"/>
          <w:lang w:val="en-GB" w:eastAsia="en-GB"/>
        </w:rPr>
      </w:pPr>
    </w:p>
    <w:p w14:paraId="363C86AF" w14:textId="77777777" w:rsidR="00E624C4" w:rsidRDefault="00E624C4" w:rsidP="00E624C4">
      <w:pPr>
        <w:spacing w:line="240" w:lineRule="auto"/>
        <w:rPr>
          <w:rFonts w:ascii="Times New Roman" w:hAnsi="Times New Roman" w:cs="Times New Roman"/>
          <w:sz w:val="20"/>
          <w:szCs w:val="20"/>
          <w:lang w:val="en-GB" w:eastAsia="en-GB"/>
        </w:rPr>
      </w:pPr>
    </w:p>
    <w:p w14:paraId="105B995A" w14:textId="77777777" w:rsidR="00E624C4" w:rsidRDefault="00E624C4" w:rsidP="00E624C4">
      <w:pPr>
        <w:spacing w:line="240" w:lineRule="auto"/>
        <w:rPr>
          <w:rFonts w:ascii="Times New Roman" w:hAnsi="Times New Roman" w:cs="Times New Roman"/>
          <w:sz w:val="20"/>
          <w:szCs w:val="20"/>
          <w:lang w:val="en-GB" w:eastAsia="en-GB"/>
        </w:rPr>
      </w:pPr>
    </w:p>
    <w:p w14:paraId="2A528CED" w14:textId="77777777" w:rsidR="00E624C4" w:rsidRDefault="00E624C4" w:rsidP="00E624C4">
      <w:pPr>
        <w:spacing w:line="240" w:lineRule="auto"/>
        <w:rPr>
          <w:rFonts w:ascii="Times New Roman" w:hAnsi="Times New Roman" w:cs="Times New Roman"/>
          <w:sz w:val="20"/>
          <w:szCs w:val="20"/>
          <w:lang w:val="en-GB" w:eastAsia="en-GB"/>
        </w:rPr>
      </w:pPr>
    </w:p>
    <w:p w14:paraId="54957CA9" w14:textId="77777777" w:rsidR="00E624C4" w:rsidRDefault="00E624C4" w:rsidP="00E624C4">
      <w:pPr>
        <w:spacing w:line="240" w:lineRule="auto"/>
        <w:rPr>
          <w:rFonts w:ascii="Times New Roman" w:hAnsi="Times New Roman" w:cs="Times New Roman"/>
          <w:sz w:val="20"/>
          <w:szCs w:val="20"/>
          <w:lang w:val="en-GB" w:eastAsia="en-GB"/>
        </w:rPr>
      </w:pPr>
    </w:p>
    <w:p w14:paraId="2CD6438D" w14:textId="77777777" w:rsidR="00E624C4" w:rsidRDefault="00E624C4" w:rsidP="00E624C4">
      <w:pPr>
        <w:spacing w:line="240" w:lineRule="auto"/>
        <w:rPr>
          <w:rFonts w:ascii="Times New Roman" w:hAnsi="Times New Roman" w:cs="Times New Roman"/>
          <w:sz w:val="20"/>
          <w:szCs w:val="20"/>
          <w:lang w:val="en-GB" w:eastAsia="en-GB"/>
        </w:rPr>
      </w:pPr>
    </w:p>
    <w:p w14:paraId="605C1A04" w14:textId="77777777" w:rsidR="00E624C4" w:rsidRDefault="00E624C4" w:rsidP="00E624C4">
      <w:pPr>
        <w:spacing w:line="240" w:lineRule="auto"/>
        <w:rPr>
          <w:rFonts w:ascii="Times New Roman" w:hAnsi="Times New Roman" w:cs="Times New Roman"/>
          <w:sz w:val="20"/>
          <w:szCs w:val="20"/>
          <w:lang w:val="en-GB" w:eastAsia="en-GB"/>
        </w:rPr>
      </w:pPr>
    </w:p>
    <w:p w14:paraId="5A411ADD" w14:textId="77777777" w:rsidR="00E624C4" w:rsidRDefault="00E624C4" w:rsidP="00E624C4">
      <w:pPr>
        <w:spacing w:line="240" w:lineRule="auto"/>
        <w:rPr>
          <w:rFonts w:ascii="Times New Roman" w:hAnsi="Times New Roman" w:cs="Times New Roman"/>
          <w:sz w:val="20"/>
          <w:szCs w:val="20"/>
          <w:lang w:val="en-GB" w:eastAsia="en-GB"/>
        </w:rPr>
      </w:pPr>
    </w:p>
    <w:p w14:paraId="0DC64D32" w14:textId="77777777" w:rsidR="00E624C4" w:rsidRDefault="00E624C4" w:rsidP="00E624C4">
      <w:pPr>
        <w:spacing w:line="240" w:lineRule="auto"/>
        <w:rPr>
          <w:rFonts w:ascii="Times New Roman" w:hAnsi="Times New Roman" w:cs="Times New Roman"/>
          <w:sz w:val="20"/>
          <w:szCs w:val="20"/>
          <w:lang w:val="en-GB" w:eastAsia="en-GB"/>
        </w:rPr>
      </w:pPr>
    </w:p>
    <w:p w14:paraId="0FB820DE" w14:textId="77777777" w:rsidR="00E624C4" w:rsidRDefault="00E624C4" w:rsidP="00E624C4">
      <w:pPr>
        <w:spacing w:line="240" w:lineRule="auto"/>
        <w:rPr>
          <w:rFonts w:ascii="Times New Roman" w:hAnsi="Times New Roman" w:cs="Times New Roman"/>
          <w:sz w:val="20"/>
          <w:szCs w:val="20"/>
          <w:lang w:val="en-GB" w:eastAsia="en-GB"/>
        </w:rPr>
      </w:pPr>
    </w:p>
    <w:p w14:paraId="274286A9" w14:textId="77777777" w:rsidR="00E624C4" w:rsidRPr="00E624C4" w:rsidRDefault="00E624C4" w:rsidP="00E624C4">
      <w:pPr>
        <w:spacing w:line="240" w:lineRule="auto"/>
        <w:rPr>
          <w:rFonts w:ascii="Times New Roman" w:hAnsi="Times New Roman" w:cs="Times New Roman"/>
          <w:sz w:val="20"/>
          <w:szCs w:val="20"/>
          <w:lang w:val="en-GB" w:eastAsia="en-GB"/>
        </w:rPr>
      </w:pPr>
    </w:p>
    <w:p w14:paraId="2D182036" w14:textId="77777777" w:rsidR="00E624C4" w:rsidRPr="00E624C4" w:rsidRDefault="00E624C4" w:rsidP="00E624C4">
      <w:pPr>
        <w:pStyle w:val="Heading1"/>
        <w:numPr>
          <w:ilvl w:val="0"/>
          <w:numId w:val="2"/>
        </w:numPr>
        <w:rPr>
          <w:rFonts w:eastAsia="Times New Roman"/>
          <w:b/>
          <w:bCs/>
          <w:color w:val="000000" w:themeColor="text1"/>
          <w:lang w:val="en-GB" w:eastAsia="en-GB"/>
        </w:rPr>
      </w:pPr>
      <w:bookmarkStart w:id="22" w:name="_Toc213787839"/>
      <w:bookmarkStart w:id="23" w:name="_Toc213956554"/>
      <w:bookmarkStart w:id="24" w:name="_Toc213956618"/>
      <w:r w:rsidRPr="00E624C4">
        <w:rPr>
          <w:rFonts w:eastAsia="Times New Roman"/>
          <w:b/>
          <w:bCs/>
          <w:color w:val="000000" w:themeColor="text1"/>
          <w:lang w:val="en-GB" w:eastAsia="en-GB"/>
        </w:rPr>
        <w:lastRenderedPageBreak/>
        <w:t>Conclusion &amp; Recommendations</w:t>
      </w:r>
      <w:bookmarkEnd w:id="22"/>
      <w:bookmarkEnd w:id="23"/>
      <w:bookmarkEnd w:id="24"/>
    </w:p>
    <w:p w14:paraId="76F09C85" w14:textId="77777777" w:rsidR="00E624C4" w:rsidRDefault="00E624C4" w:rsidP="00E624C4">
      <w:pPr>
        <w:spacing w:line="240" w:lineRule="auto"/>
        <w:rPr>
          <w:rFonts w:ascii="Times New Roman" w:eastAsia="Aptos" w:hAnsi="Times New Roman" w:cs="Times New Roman"/>
          <w:sz w:val="20"/>
          <w:szCs w:val="20"/>
          <w:lang w:val="en-GB"/>
        </w:rPr>
      </w:pPr>
      <w:r w:rsidRPr="00E624C4">
        <w:rPr>
          <w:rFonts w:ascii="Times New Roman" w:eastAsia="Aptos" w:hAnsi="Times New Roman" w:cs="Times New Roman"/>
          <w:sz w:val="20"/>
          <w:szCs w:val="20"/>
          <w:lang w:val="en-GB"/>
        </w:rPr>
        <w:t>In conclusion, the evolving global labour market demands that organisations and HR practitioners proactively develop technological, intercultural, and leadership capabilities to remain relevant and effective. Rapid advancements in AI, data analytics and digital platforms, combined with shifting demographics and geopolitical volatility, mean that skills shortages and talent mismatches are no longer temporary issues but persistent structural challenges. Strategic workforce planning, continuous learning, and inclusive global talent strategies emerge as critical responses. Furthermore, international HR requires both analytical and human</w:t>
      </w:r>
      <w:r w:rsidRPr="00E624C4">
        <w:rPr>
          <w:rFonts w:ascii="Times New Roman" w:eastAsia="Aptos" w:hAnsi="Times New Roman" w:cs="Times New Roman"/>
          <w:sz w:val="20"/>
          <w:szCs w:val="20"/>
          <w:lang w:val="en-GB"/>
        </w:rPr>
        <w:noBreakHyphen/>
        <w:t>centred approaches: leveraging sophisticated tools while ensuring equity, cultural agility and ethical practice. Ultimately, the goal is not simply to fill roles, but to build resilient, adaptable human capital systems where people can evolve alongside technology and global change. By integrating insight, action and reflection into HR practice, organisations are better positioned to achieve sustainable growth and global competitiveness through their people.</w:t>
      </w:r>
    </w:p>
    <w:p w14:paraId="7C75123E" w14:textId="77777777" w:rsidR="00E624C4" w:rsidRDefault="00E624C4" w:rsidP="00E624C4">
      <w:pPr>
        <w:spacing w:line="240" w:lineRule="auto"/>
        <w:rPr>
          <w:rFonts w:ascii="Times New Roman" w:eastAsia="Aptos" w:hAnsi="Times New Roman" w:cs="Times New Roman"/>
          <w:sz w:val="20"/>
          <w:szCs w:val="20"/>
          <w:lang w:val="en-GB"/>
        </w:rPr>
      </w:pPr>
    </w:p>
    <w:p w14:paraId="02F51E68" w14:textId="77777777" w:rsidR="00E624C4" w:rsidRDefault="00E624C4" w:rsidP="00E624C4">
      <w:pPr>
        <w:spacing w:line="240" w:lineRule="auto"/>
        <w:rPr>
          <w:rFonts w:ascii="Times New Roman" w:eastAsia="Aptos" w:hAnsi="Times New Roman" w:cs="Times New Roman"/>
          <w:sz w:val="20"/>
          <w:szCs w:val="20"/>
          <w:lang w:val="en-GB"/>
        </w:rPr>
      </w:pPr>
    </w:p>
    <w:p w14:paraId="51A895D7" w14:textId="77777777" w:rsidR="00E624C4" w:rsidRDefault="00E624C4" w:rsidP="00E624C4">
      <w:pPr>
        <w:spacing w:line="240" w:lineRule="auto"/>
        <w:rPr>
          <w:rFonts w:ascii="Times New Roman" w:eastAsia="Aptos" w:hAnsi="Times New Roman" w:cs="Times New Roman"/>
          <w:sz w:val="20"/>
          <w:szCs w:val="20"/>
          <w:lang w:val="en-GB"/>
        </w:rPr>
      </w:pPr>
    </w:p>
    <w:p w14:paraId="6C963B80" w14:textId="77777777" w:rsidR="00E624C4" w:rsidRDefault="00E624C4" w:rsidP="00E624C4">
      <w:pPr>
        <w:spacing w:line="240" w:lineRule="auto"/>
        <w:rPr>
          <w:rFonts w:ascii="Times New Roman" w:eastAsia="Aptos" w:hAnsi="Times New Roman" w:cs="Times New Roman"/>
          <w:sz w:val="20"/>
          <w:szCs w:val="20"/>
          <w:lang w:val="en-GB"/>
        </w:rPr>
      </w:pPr>
    </w:p>
    <w:p w14:paraId="6D49B2E5" w14:textId="77777777" w:rsidR="00E624C4" w:rsidRDefault="00E624C4" w:rsidP="00E624C4">
      <w:pPr>
        <w:spacing w:line="240" w:lineRule="auto"/>
        <w:rPr>
          <w:rFonts w:ascii="Times New Roman" w:eastAsia="Aptos" w:hAnsi="Times New Roman" w:cs="Times New Roman"/>
          <w:sz w:val="20"/>
          <w:szCs w:val="20"/>
          <w:lang w:val="en-GB"/>
        </w:rPr>
      </w:pPr>
    </w:p>
    <w:p w14:paraId="06B8C218" w14:textId="77777777" w:rsidR="00E624C4" w:rsidRDefault="00E624C4" w:rsidP="00E624C4">
      <w:pPr>
        <w:spacing w:line="240" w:lineRule="auto"/>
        <w:rPr>
          <w:rFonts w:ascii="Times New Roman" w:eastAsia="Aptos" w:hAnsi="Times New Roman" w:cs="Times New Roman"/>
          <w:sz w:val="20"/>
          <w:szCs w:val="20"/>
          <w:lang w:val="en-GB"/>
        </w:rPr>
      </w:pPr>
    </w:p>
    <w:p w14:paraId="488C5296" w14:textId="77777777" w:rsidR="00E624C4" w:rsidRDefault="00E624C4" w:rsidP="00E624C4">
      <w:pPr>
        <w:spacing w:line="240" w:lineRule="auto"/>
        <w:rPr>
          <w:rFonts w:ascii="Times New Roman" w:eastAsia="Aptos" w:hAnsi="Times New Roman" w:cs="Times New Roman"/>
          <w:sz w:val="20"/>
          <w:szCs w:val="20"/>
          <w:lang w:val="en-GB"/>
        </w:rPr>
      </w:pPr>
    </w:p>
    <w:p w14:paraId="70124C16" w14:textId="77777777" w:rsidR="00E624C4" w:rsidRDefault="00E624C4" w:rsidP="00E624C4">
      <w:pPr>
        <w:spacing w:line="240" w:lineRule="auto"/>
        <w:rPr>
          <w:rFonts w:ascii="Times New Roman" w:eastAsia="Aptos" w:hAnsi="Times New Roman" w:cs="Times New Roman"/>
          <w:sz w:val="20"/>
          <w:szCs w:val="20"/>
          <w:lang w:val="en-GB"/>
        </w:rPr>
      </w:pPr>
    </w:p>
    <w:p w14:paraId="0D1B366F" w14:textId="77777777" w:rsidR="00E624C4" w:rsidRDefault="00E624C4" w:rsidP="00E624C4">
      <w:pPr>
        <w:spacing w:line="240" w:lineRule="auto"/>
        <w:rPr>
          <w:rFonts w:ascii="Times New Roman" w:eastAsia="Aptos" w:hAnsi="Times New Roman" w:cs="Times New Roman"/>
          <w:sz w:val="20"/>
          <w:szCs w:val="20"/>
          <w:lang w:val="en-GB"/>
        </w:rPr>
      </w:pPr>
    </w:p>
    <w:p w14:paraId="7DAC4E9C" w14:textId="77777777" w:rsidR="00E624C4" w:rsidRDefault="00E624C4" w:rsidP="00E624C4">
      <w:pPr>
        <w:spacing w:line="240" w:lineRule="auto"/>
        <w:rPr>
          <w:rFonts w:ascii="Times New Roman" w:eastAsia="Aptos" w:hAnsi="Times New Roman" w:cs="Times New Roman"/>
          <w:sz w:val="20"/>
          <w:szCs w:val="20"/>
          <w:lang w:val="en-GB"/>
        </w:rPr>
      </w:pPr>
    </w:p>
    <w:p w14:paraId="7347CCBD" w14:textId="77777777" w:rsidR="00E624C4" w:rsidRDefault="00E624C4" w:rsidP="00E624C4">
      <w:pPr>
        <w:spacing w:line="240" w:lineRule="auto"/>
        <w:rPr>
          <w:rFonts w:ascii="Times New Roman" w:eastAsia="Aptos" w:hAnsi="Times New Roman" w:cs="Times New Roman"/>
          <w:sz w:val="20"/>
          <w:szCs w:val="20"/>
          <w:lang w:val="en-GB"/>
        </w:rPr>
      </w:pPr>
    </w:p>
    <w:p w14:paraId="550CFDF5" w14:textId="77777777" w:rsidR="00E624C4" w:rsidRDefault="00E624C4" w:rsidP="00E624C4">
      <w:pPr>
        <w:spacing w:line="240" w:lineRule="auto"/>
        <w:rPr>
          <w:rFonts w:ascii="Times New Roman" w:eastAsia="Aptos" w:hAnsi="Times New Roman" w:cs="Times New Roman"/>
          <w:sz w:val="20"/>
          <w:szCs w:val="20"/>
          <w:lang w:val="en-GB"/>
        </w:rPr>
      </w:pPr>
    </w:p>
    <w:p w14:paraId="7BE59E78" w14:textId="77777777" w:rsidR="00E624C4" w:rsidRDefault="00E624C4" w:rsidP="00E624C4">
      <w:pPr>
        <w:spacing w:line="240" w:lineRule="auto"/>
        <w:rPr>
          <w:rFonts w:ascii="Times New Roman" w:eastAsia="Aptos" w:hAnsi="Times New Roman" w:cs="Times New Roman"/>
          <w:sz w:val="20"/>
          <w:szCs w:val="20"/>
          <w:lang w:val="en-GB"/>
        </w:rPr>
      </w:pPr>
    </w:p>
    <w:p w14:paraId="3CDFE964" w14:textId="77777777" w:rsidR="00E624C4" w:rsidRDefault="00E624C4" w:rsidP="00E624C4">
      <w:pPr>
        <w:spacing w:line="240" w:lineRule="auto"/>
        <w:rPr>
          <w:rFonts w:ascii="Times New Roman" w:eastAsia="Aptos" w:hAnsi="Times New Roman" w:cs="Times New Roman"/>
          <w:sz w:val="20"/>
          <w:szCs w:val="20"/>
          <w:lang w:val="en-GB"/>
        </w:rPr>
      </w:pPr>
    </w:p>
    <w:p w14:paraId="09454119" w14:textId="77777777" w:rsidR="00E624C4" w:rsidRDefault="00E624C4" w:rsidP="00E624C4">
      <w:pPr>
        <w:spacing w:line="240" w:lineRule="auto"/>
        <w:rPr>
          <w:rFonts w:ascii="Times New Roman" w:eastAsia="Aptos" w:hAnsi="Times New Roman" w:cs="Times New Roman"/>
          <w:sz w:val="20"/>
          <w:szCs w:val="20"/>
          <w:lang w:val="en-GB"/>
        </w:rPr>
      </w:pPr>
    </w:p>
    <w:p w14:paraId="46AFC647" w14:textId="77777777" w:rsidR="00E624C4" w:rsidRDefault="00E624C4" w:rsidP="00E624C4">
      <w:pPr>
        <w:spacing w:line="240" w:lineRule="auto"/>
        <w:rPr>
          <w:rFonts w:ascii="Times New Roman" w:eastAsia="Aptos" w:hAnsi="Times New Roman" w:cs="Times New Roman"/>
          <w:sz w:val="20"/>
          <w:szCs w:val="20"/>
          <w:lang w:val="en-GB"/>
        </w:rPr>
      </w:pPr>
    </w:p>
    <w:p w14:paraId="703DA292" w14:textId="77777777" w:rsidR="00E624C4" w:rsidRDefault="00E624C4" w:rsidP="00E624C4">
      <w:pPr>
        <w:spacing w:line="240" w:lineRule="auto"/>
        <w:rPr>
          <w:rFonts w:ascii="Times New Roman" w:eastAsia="Aptos" w:hAnsi="Times New Roman" w:cs="Times New Roman"/>
          <w:sz w:val="20"/>
          <w:szCs w:val="20"/>
          <w:lang w:val="en-GB"/>
        </w:rPr>
      </w:pPr>
    </w:p>
    <w:p w14:paraId="20C4A6B1" w14:textId="77777777" w:rsidR="00E624C4" w:rsidRDefault="00E624C4" w:rsidP="00E624C4">
      <w:pPr>
        <w:spacing w:line="240" w:lineRule="auto"/>
        <w:rPr>
          <w:rFonts w:ascii="Times New Roman" w:eastAsia="Aptos" w:hAnsi="Times New Roman" w:cs="Times New Roman"/>
          <w:sz w:val="20"/>
          <w:szCs w:val="20"/>
          <w:lang w:val="en-GB"/>
        </w:rPr>
      </w:pPr>
    </w:p>
    <w:p w14:paraId="0D8152B8" w14:textId="77777777" w:rsidR="00E624C4" w:rsidRDefault="00E624C4" w:rsidP="00E624C4">
      <w:pPr>
        <w:spacing w:line="240" w:lineRule="auto"/>
        <w:rPr>
          <w:rFonts w:ascii="Times New Roman" w:eastAsia="Aptos" w:hAnsi="Times New Roman" w:cs="Times New Roman"/>
          <w:sz w:val="20"/>
          <w:szCs w:val="20"/>
          <w:lang w:val="en-GB"/>
        </w:rPr>
      </w:pPr>
    </w:p>
    <w:p w14:paraId="35CA449C" w14:textId="77777777" w:rsidR="00E624C4" w:rsidRDefault="00E624C4" w:rsidP="00E624C4">
      <w:pPr>
        <w:spacing w:line="240" w:lineRule="auto"/>
        <w:rPr>
          <w:rFonts w:ascii="Times New Roman" w:eastAsia="Aptos" w:hAnsi="Times New Roman" w:cs="Times New Roman"/>
          <w:sz w:val="20"/>
          <w:szCs w:val="20"/>
          <w:lang w:val="en-GB"/>
        </w:rPr>
      </w:pPr>
    </w:p>
    <w:p w14:paraId="1FDB37F3" w14:textId="77777777" w:rsidR="00E624C4" w:rsidRDefault="00E624C4" w:rsidP="00E624C4">
      <w:pPr>
        <w:spacing w:line="240" w:lineRule="auto"/>
        <w:rPr>
          <w:rFonts w:ascii="Times New Roman" w:eastAsia="Aptos" w:hAnsi="Times New Roman" w:cs="Times New Roman"/>
          <w:sz w:val="20"/>
          <w:szCs w:val="20"/>
          <w:lang w:val="en-GB"/>
        </w:rPr>
      </w:pPr>
    </w:p>
    <w:p w14:paraId="2E7222F6" w14:textId="77777777" w:rsidR="00E624C4" w:rsidRDefault="00E624C4" w:rsidP="00E624C4">
      <w:pPr>
        <w:spacing w:line="240" w:lineRule="auto"/>
        <w:rPr>
          <w:rFonts w:ascii="Times New Roman" w:eastAsia="Aptos" w:hAnsi="Times New Roman" w:cs="Times New Roman"/>
          <w:sz w:val="20"/>
          <w:szCs w:val="20"/>
          <w:lang w:val="en-GB"/>
        </w:rPr>
      </w:pPr>
    </w:p>
    <w:p w14:paraId="74B49F0E" w14:textId="77777777" w:rsidR="00E624C4" w:rsidRDefault="00E624C4" w:rsidP="00E624C4">
      <w:pPr>
        <w:spacing w:line="240" w:lineRule="auto"/>
        <w:rPr>
          <w:rFonts w:ascii="Times New Roman" w:eastAsia="Aptos" w:hAnsi="Times New Roman" w:cs="Times New Roman"/>
          <w:sz w:val="20"/>
          <w:szCs w:val="20"/>
          <w:lang w:val="en-GB"/>
        </w:rPr>
      </w:pPr>
    </w:p>
    <w:p w14:paraId="46F431DB" w14:textId="77777777" w:rsidR="00E624C4" w:rsidRDefault="00E624C4" w:rsidP="00E624C4">
      <w:pPr>
        <w:spacing w:line="240" w:lineRule="auto"/>
        <w:rPr>
          <w:rFonts w:ascii="Times New Roman" w:eastAsia="Aptos" w:hAnsi="Times New Roman" w:cs="Times New Roman"/>
          <w:sz w:val="20"/>
          <w:szCs w:val="20"/>
          <w:lang w:val="en-GB"/>
        </w:rPr>
      </w:pPr>
    </w:p>
    <w:p w14:paraId="0FD0875F"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59559764" w14:textId="5668361B" w:rsidR="00E624C4" w:rsidRPr="00E624C4" w:rsidRDefault="00E624C4" w:rsidP="00E624C4">
      <w:pPr>
        <w:pStyle w:val="Heading1"/>
        <w:numPr>
          <w:ilvl w:val="0"/>
          <w:numId w:val="2"/>
        </w:numPr>
        <w:rPr>
          <w:rFonts w:eastAsia="Aptos"/>
          <w:b/>
          <w:bCs/>
          <w:color w:val="000000" w:themeColor="text1"/>
          <w:lang w:val="en-GB"/>
        </w:rPr>
      </w:pPr>
      <w:bookmarkStart w:id="25" w:name="_Toc213956555"/>
      <w:bookmarkStart w:id="26" w:name="_Toc213956619"/>
      <w:r w:rsidRPr="00E624C4">
        <w:rPr>
          <w:rFonts w:eastAsia="Aptos"/>
          <w:b/>
          <w:bCs/>
          <w:color w:val="000000" w:themeColor="text1"/>
          <w:lang w:val="en-GB"/>
        </w:rPr>
        <w:lastRenderedPageBreak/>
        <w:t>Reference list</w:t>
      </w:r>
      <w:bookmarkEnd w:id="25"/>
      <w:bookmarkEnd w:id="26"/>
    </w:p>
    <w:p w14:paraId="439DC9BE"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Abuhantash</w:t>
      </w:r>
      <w:proofErr w:type="spellEnd"/>
      <w:r w:rsidRPr="00E624C4">
        <w:rPr>
          <w:rFonts w:ascii="Times New Roman" w:hAnsi="Times New Roman" w:cs="Times New Roman"/>
          <w:sz w:val="20"/>
          <w:szCs w:val="20"/>
          <w:lang w:val="en-GB" w:eastAsia="en-GB"/>
        </w:rPr>
        <w:t xml:space="preserve">, A. (2023) ‘The Impact of Human Resource Information Systems on Organizational Performance: A Systematic Literature Review’, </w:t>
      </w:r>
      <w:r w:rsidRPr="00E624C4">
        <w:rPr>
          <w:rFonts w:ascii="Times New Roman" w:hAnsi="Times New Roman" w:cs="Times New Roman"/>
          <w:i/>
          <w:iCs/>
          <w:sz w:val="20"/>
          <w:szCs w:val="20"/>
          <w:lang w:val="en-GB" w:eastAsia="en-GB"/>
        </w:rPr>
        <w:t>European Journal of Business and Management Research</w:t>
      </w:r>
      <w:r w:rsidRPr="00E624C4">
        <w:rPr>
          <w:rFonts w:ascii="Times New Roman" w:hAnsi="Times New Roman" w:cs="Times New Roman"/>
          <w:sz w:val="20"/>
          <w:szCs w:val="20"/>
          <w:lang w:val="en-GB" w:eastAsia="en-GB"/>
        </w:rPr>
        <w:t xml:space="preserve">, 8(3), Article 1992. Available at: </w:t>
      </w:r>
      <w:hyperlink r:id="rId11" w:tgtFrame="_new" w:history="1">
        <w:r w:rsidRPr="00E624C4">
          <w:rPr>
            <w:rFonts w:ascii="Times New Roman" w:hAnsi="Times New Roman" w:cs="Times New Roman"/>
            <w:color w:val="0000FF"/>
            <w:sz w:val="20"/>
            <w:szCs w:val="20"/>
            <w:u w:val="single"/>
            <w:lang w:val="en-GB" w:eastAsia="en-GB"/>
          </w:rPr>
          <w:t>https://doi.org/10.24018/ejbmr.2023.8.3.1992</w:t>
        </w:r>
      </w:hyperlink>
      <w:r w:rsidRPr="00E624C4">
        <w:rPr>
          <w:rFonts w:ascii="Times New Roman" w:hAnsi="Times New Roman" w:cs="Times New Roman"/>
          <w:sz w:val="20"/>
          <w:szCs w:val="20"/>
          <w:lang w:val="en-GB" w:eastAsia="en-GB"/>
        </w:rPr>
        <w:t xml:space="preserve"> (Accessed: 4 November 2025).</w:t>
      </w:r>
    </w:p>
    <w:p w14:paraId="175165E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Autor, D.H. (2015) ‘Why are there still so many jobs? The history and future of workplace automation’, </w:t>
      </w:r>
      <w:r w:rsidRPr="00E624C4">
        <w:rPr>
          <w:rFonts w:ascii="Times New Roman" w:hAnsi="Times New Roman" w:cs="Times New Roman"/>
          <w:i/>
          <w:iCs/>
          <w:sz w:val="20"/>
          <w:szCs w:val="20"/>
          <w:lang w:val="en-GB" w:eastAsia="en-GB"/>
        </w:rPr>
        <w:t>Journal of Economic Perspectives</w:t>
      </w:r>
      <w:r w:rsidRPr="00E624C4">
        <w:rPr>
          <w:rFonts w:ascii="Times New Roman" w:hAnsi="Times New Roman" w:cs="Times New Roman"/>
          <w:sz w:val="20"/>
          <w:szCs w:val="20"/>
          <w:lang w:val="en-GB" w:eastAsia="en-GB"/>
        </w:rPr>
        <w:t xml:space="preserve">, 29(3), pp. 3–30. Available at: </w:t>
      </w:r>
      <w:hyperlink r:id="rId12" w:tgtFrame="_new" w:history="1">
        <w:r w:rsidRPr="00E624C4">
          <w:rPr>
            <w:rFonts w:ascii="Times New Roman" w:hAnsi="Times New Roman" w:cs="Times New Roman"/>
            <w:color w:val="0000FF"/>
            <w:sz w:val="20"/>
            <w:szCs w:val="20"/>
            <w:u w:val="single"/>
            <w:lang w:val="en-GB" w:eastAsia="en-GB"/>
          </w:rPr>
          <w:t>https://doi.org/10.1257/jep.29.3.3</w:t>
        </w:r>
      </w:hyperlink>
      <w:r w:rsidRPr="00E624C4">
        <w:rPr>
          <w:rFonts w:ascii="Times New Roman" w:hAnsi="Times New Roman" w:cs="Times New Roman"/>
          <w:sz w:val="20"/>
          <w:szCs w:val="20"/>
          <w:lang w:val="en-GB" w:eastAsia="en-GB"/>
        </w:rPr>
        <w:t xml:space="preserve"> (Accessed: 4 November 2025).</w:t>
      </w:r>
    </w:p>
    <w:p w14:paraId="28BE12C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Betts, A. and Collier, P. (2017) </w:t>
      </w:r>
      <w:r w:rsidRPr="00E624C4">
        <w:rPr>
          <w:rFonts w:ascii="Times New Roman" w:hAnsi="Times New Roman" w:cs="Times New Roman"/>
          <w:i/>
          <w:iCs/>
          <w:sz w:val="20"/>
          <w:szCs w:val="20"/>
          <w:lang w:val="en-GB" w:eastAsia="en-GB"/>
        </w:rPr>
        <w:t>Refuge: Transforming a Broken Refugee System.</w:t>
      </w:r>
      <w:r w:rsidRPr="00E624C4">
        <w:rPr>
          <w:rFonts w:ascii="Times New Roman" w:hAnsi="Times New Roman" w:cs="Times New Roman"/>
          <w:sz w:val="20"/>
          <w:szCs w:val="20"/>
          <w:lang w:val="en-GB" w:eastAsia="en-GB"/>
        </w:rPr>
        <w:t xml:space="preserve"> London: Penguin Books.</w:t>
      </w:r>
    </w:p>
    <w:p w14:paraId="1EE30BF3"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Bonilla-Chaves, E.F., et al. (2023) ‘Exploring the evolution of human resource analytics’, </w:t>
      </w:r>
      <w:r w:rsidRPr="00E624C4">
        <w:rPr>
          <w:rFonts w:ascii="Times New Roman" w:hAnsi="Times New Roman" w:cs="Times New Roman"/>
          <w:i/>
          <w:iCs/>
          <w:sz w:val="20"/>
          <w:szCs w:val="20"/>
          <w:lang w:val="en-GB" w:eastAsia="en-GB"/>
        </w:rPr>
        <w:t>Human Resource Development International</w:t>
      </w:r>
      <w:r w:rsidRPr="00E624C4">
        <w:rPr>
          <w:rFonts w:ascii="Times New Roman" w:hAnsi="Times New Roman" w:cs="Times New Roman"/>
          <w:sz w:val="20"/>
          <w:szCs w:val="20"/>
          <w:lang w:val="en-GB" w:eastAsia="en-GB"/>
        </w:rPr>
        <w:t>, 26(1), pp. 1–16.</w:t>
      </w:r>
    </w:p>
    <w:p w14:paraId="074E30D6"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Brynjolfsson, E. and McAfee, A. (2014) </w:t>
      </w:r>
      <w:r w:rsidRPr="00E624C4">
        <w:rPr>
          <w:rFonts w:ascii="Times New Roman" w:hAnsi="Times New Roman" w:cs="Times New Roman"/>
          <w:i/>
          <w:iCs/>
          <w:sz w:val="20"/>
          <w:szCs w:val="20"/>
          <w:lang w:val="en-GB" w:eastAsia="en-GB"/>
        </w:rPr>
        <w:t>The Second Machine Age: Work, Progress and Prosperity in a Time of Brilliant Technologies.</w:t>
      </w:r>
      <w:r w:rsidRPr="00E624C4">
        <w:rPr>
          <w:rFonts w:ascii="Times New Roman" w:hAnsi="Times New Roman" w:cs="Times New Roman"/>
          <w:sz w:val="20"/>
          <w:szCs w:val="20"/>
          <w:lang w:val="en-GB" w:eastAsia="en-GB"/>
        </w:rPr>
        <w:t xml:space="preserve"> New York: W. W. Norton &amp; Company.</w:t>
      </w:r>
    </w:p>
    <w:p w14:paraId="5DB4472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Cappelli, P. (2019) </w:t>
      </w:r>
      <w:r w:rsidRPr="00E624C4">
        <w:rPr>
          <w:rFonts w:ascii="Times New Roman" w:hAnsi="Times New Roman" w:cs="Times New Roman"/>
          <w:i/>
          <w:iCs/>
          <w:sz w:val="20"/>
          <w:szCs w:val="20"/>
          <w:lang w:val="en-GB" w:eastAsia="en-GB"/>
        </w:rPr>
        <w:t>Talent on Demand: Managing Talent in an Age of Uncertainty.</w:t>
      </w:r>
      <w:r w:rsidRPr="00E624C4">
        <w:rPr>
          <w:rFonts w:ascii="Times New Roman" w:hAnsi="Times New Roman" w:cs="Times New Roman"/>
          <w:sz w:val="20"/>
          <w:szCs w:val="20"/>
          <w:lang w:val="en-GB" w:eastAsia="en-GB"/>
        </w:rPr>
        <w:t xml:space="preserve"> Boston, MA: Harvard Business Review Press.</w:t>
      </w:r>
    </w:p>
    <w:p w14:paraId="6819781B"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Chartered Institute of Personnel and Development (CIPD) (2022) </w:t>
      </w:r>
      <w:r w:rsidRPr="00E624C4">
        <w:rPr>
          <w:rFonts w:ascii="Times New Roman" w:hAnsi="Times New Roman" w:cs="Times New Roman"/>
          <w:i/>
          <w:iCs/>
          <w:sz w:val="20"/>
          <w:szCs w:val="20"/>
          <w:lang w:val="en-GB" w:eastAsia="en-GB"/>
        </w:rPr>
        <w:t>Data and Digital: Understanding Employees’ Digital Rights.</w:t>
      </w:r>
      <w:r w:rsidRPr="00E624C4">
        <w:rPr>
          <w:rFonts w:ascii="Times New Roman" w:hAnsi="Times New Roman" w:cs="Times New Roman"/>
          <w:sz w:val="20"/>
          <w:szCs w:val="20"/>
          <w:lang w:val="en-GB" w:eastAsia="en-GB"/>
        </w:rPr>
        <w:t xml:space="preserve"> London: CIPD.</w:t>
      </w:r>
    </w:p>
    <w:p w14:paraId="342189B6"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Čuhlová</w:t>
      </w:r>
      <w:proofErr w:type="spellEnd"/>
      <w:r w:rsidRPr="00E624C4">
        <w:rPr>
          <w:rFonts w:ascii="Times New Roman" w:hAnsi="Times New Roman" w:cs="Times New Roman"/>
          <w:sz w:val="20"/>
          <w:szCs w:val="20"/>
          <w:lang w:val="en-GB" w:eastAsia="en-GB"/>
        </w:rPr>
        <w:t xml:space="preserve">, R. (2024) ‘Intercultural Negotiation Dynamics in the Digital Age’, </w:t>
      </w:r>
      <w:r w:rsidRPr="00E624C4">
        <w:rPr>
          <w:rFonts w:ascii="Times New Roman" w:hAnsi="Times New Roman" w:cs="Times New Roman"/>
          <w:i/>
          <w:iCs/>
          <w:sz w:val="20"/>
          <w:szCs w:val="20"/>
          <w:lang w:val="en-GB" w:eastAsia="en-GB"/>
        </w:rPr>
        <w:t>Journal of Intercultural Relations</w:t>
      </w:r>
      <w:r w:rsidRPr="00E624C4">
        <w:rPr>
          <w:rFonts w:ascii="Times New Roman" w:hAnsi="Times New Roman" w:cs="Times New Roman"/>
          <w:sz w:val="20"/>
          <w:szCs w:val="20"/>
          <w:lang w:val="en-GB" w:eastAsia="en-GB"/>
        </w:rPr>
        <w:t xml:space="preserve">. Available at: </w:t>
      </w:r>
      <w:hyperlink r:id="rId13" w:tgtFrame="_new" w:history="1">
        <w:r w:rsidRPr="00E624C4">
          <w:rPr>
            <w:rFonts w:ascii="Times New Roman" w:hAnsi="Times New Roman" w:cs="Times New Roman"/>
            <w:color w:val="0000FF"/>
            <w:sz w:val="20"/>
            <w:szCs w:val="20"/>
            <w:u w:val="single"/>
            <w:lang w:val="en-GB" w:eastAsia="en-GB"/>
          </w:rPr>
          <w:t>https://doi.org/10.1177/23294906241253516</w:t>
        </w:r>
      </w:hyperlink>
      <w:r w:rsidRPr="00E624C4">
        <w:rPr>
          <w:rFonts w:ascii="Times New Roman" w:hAnsi="Times New Roman" w:cs="Times New Roman"/>
          <w:sz w:val="20"/>
          <w:szCs w:val="20"/>
          <w:lang w:val="en-GB" w:eastAsia="en-GB"/>
        </w:rPr>
        <w:t xml:space="preserve"> (Accessed: 4 November 2025).</w:t>
      </w:r>
    </w:p>
    <w:p w14:paraId="05ACE629"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De Stefano, V. (2016) ‘The rise of the “just</w:t>
      </w:r>
      <w:r w:rsidRPr="00E624C4">
        <w:rPr>
          <w:rFonts w:ascii="Times New Roman" w:hAnsi="Times New Roman" w:cs="Times New Roman"/>
          <w:sz w:val="20"/>
          <w:szCs w:val="20"/>
          <w:lang w:val="en-GB" w:eastAsia="en-GB"/>
        </w:rPr>
        <w:noBreakHyphen/>
        <w:t>in</w:t>
      </w:r>
      <w:r w:rsidRPr="00E624C4">
        <w:rPr>
          <w:rFonts w:ascii="Times New Roman" w:hAnsi="Times New Roman" w:cs="Times New Roman"/>
          <w:sz w:val="20"/>
          <w:szCs w:val="20"/>
          <w:lang w:val="en-GB" w:eastAsia="en-GB"/>
        </w:rPr>
        <w:noBreakHyphen/>
        <w:t>time workforce”: On</w:t>
      </w:r>
      <w:r w:rsidRPr="00E624C4">
        <w:rPr>
          <w:rFonts w:ascii="Times New Roman" w:hAnsi="Times New Roman" w:cs="Times New Roman"/>
          <w:sz w:val="20"/>
          <w:szCs w:val="20"/>
          <w:lang w:val="en-GB" w:eastAsia="en-GB"/>
        </w:rPr>
        <w:noBreakHyphen/>
        <w:t xml:space="preserve">demand work, </w:t>
      </w:r>
      <w:proofErr w:type="spellStart"/>
      <w:r w:rsidRPr="00E624C4">
        <w:rPr>
          <w:rFonts w:ascii="Times New Roman" w:hAnsi="Times New Roman" w:cs="Times New Roman"/>
          <w:sz w:val="20"/>
          <w:szCs w:val="20"/>
          <w:lang w:val="en-GB" w:eastAsia="en-GB"/>
        </w:rPr>
        <w:t>crowdwork</w:t>
      </w:r>
      <w:proofErr w:type="spellEnd"/>
      <w:r w:rsidRPr="00E624C4">
        <w:rPr>
          <w:rFonts w:ascii="Times New Roman" w:hAnsi="Times New Roman" w:cs="Times New Roman"/>
          <w:sz w:val="20"/>
          <w:szCs w:val="20"/>
          <w:lang w:val="en-GB" w:eastAsia="en-GB"/>
        </w:rPr>
        <w:t>, and labour protection in the “gig</w:t>
      </w:r>
      <w:r w:rsidRPr="00E624C4">
        <w:rPr>
          <w:rFonts w:ascii="Times New Roman" w:hAnsi="Times New Roman" w:cs="Times New Roman"/>
          <w:sz w:val="20"/>
          <w:szCs w:val="20"/>
          <w:lang w:val="en-GB" w:eastAsia="en-GB"/>
        </w:rPr>
        <w:noBreakHyphen/>
        <w:t xml:space="preserve">economy”’, </w:t>
      </w:r>
      <w:r w:rsidRPr="00E624C4">
        <w:rPr>
          <w:rFonts w:ascii="Times New Roman" w:hAnsi="Times New Roman" w:cs="Times New Roman"/>
          <w:i/>
          <w:iCs/>
          <w:sz w:val="20"/>
          <w:szCs w:val="20"/>
          <w:lang w:val="en-GB" w:eastAsia="en-GB"/>
        </w:rPr>
        <w:t>Comparative Labour Law &amp; Policy Journal</w:t>
      </w:r>
      <w:r w:rsidRPr="00E624C4">
        <w:rPr>
          <w:rFonts w:ascii="Times New Roman" w:hAnsi="Times New Roman" w:cs="Times New Roman"/>
          <w:sz w:val="20"/>
          <w:szCs w:val="20"/>
          <w:lang w:val="en-GB" w:eastAsia="en-GB"/>
        </w:rPr>
        <w:t>, 37(3), pp. 471–504.</w:t>
      </w:r>
    </w:p>
    <w:p w14:paraId="55065A9B"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Hofstede, G. (1984) </w:t>
      </w:r>
      <w:r w:rsidRPr="00E624C4">
        <w:rPr>
          <w:rFonts w:ascii="Times New Roman" w:hAnsi="Times New Roman" w:cs="Times New Roman"/>
          <w:i/>
          <w:iCs/>
          <w:sz w:val="20"/>
          <w:szCs w:val="20"/>
          <w:lang w:val="en-GB" w:eastAsia="en-GB"/>
        </w:rPr>
        <w:t>Culture’s Consequences: International Differences in Work-Related Values.</w:t>
      </w:r>
      <w:r w:rsidRPr="00E624C4">
        <w:rPr>
          <w:rFonts w:ascii="Times New Roman" w:hAnsi="Times New Roman" w:cs="Times New Roman"/>
          <w:sz w:val="20"/>
          <w:szCs w:val="20"/>
          <w:lang w:val="en-GB" w:eastAsia="en-GB"/>
        </w:rPr>
        <w:t xml:space="preserve"> Beverly Hills, CA: Sage Publications.</w:t>
      </w:r>
    </w:p>
    <w:p w14:paraId="6FCED07C"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IKEA (2022) </w:t>
      </w:r>
      <w:r w:rsidRPr="00E624C4">
        <w:rPr>
          <w:rFonts w:ascii="Times New Roman" w:hAnsi="Times New Roman" w:cs="Times New Roman"/>
          <w:i/>
          <w:iCs/>
          <w:sz w:val="20"/>
          <w:szCs w:val="20"/>
          <w:lang w:val="en-GB" w:eastAsia="en-GB"/>
        </w:rPr>
        <w:t>IKEA Sustainability Report FY2022.</w:t>
      </w:r>
      <w:r w:rsidRPr="00E624C4">
        <w:rPr>
          <w:rFonts w:ascii="Times New Roman" w:hAnsi="Times New Roman" w:cs="Times New Roman"/>
          <w:sz w:val="20"/>
          <w:szCs w:val="20"/>
          <w:lang w:val="en-GB" w:eastAsia="en-GB"/>
        </w:rPr>
        <w:t xml:space="preserve"> </w:t>
      </w:r>
      <w:proofErr w:type="spellStart"/>
      <w:r w:rsidRPr="00E624C4">
        <w:rPr>
          <w:rFonts w:ascii="Times New Roman" w:hAnsi="Times New Roman" w:cs="Times New Roman"/>
          <w:sz w:val="20"/>
          <w:szCs w:val="20"/>
          <w:lang w:val="en-GB" w:eastAsia="en-GB"/>
        </w:rPr>
        <w:t>Älmhult</w:t>
      </w:r>
      <w:proofErr w:type="spellEnd"/>
      <w:r w:rsidRPr="00E624C4">
        <w:rPr>
          <w:rFonts w:ascii="Times New Roman" w:hAnsi="Times New Roman" w:cs="Times New Roman"/>
          <w:sz w:val="20"/>
          <w:szCs w:val="20"/>
          <w:lang w:val="en-GB" w:eastAsia="en-GB"/>
        </w:rPr>
        <w:t xml:space="preserve">: Inter IKEA Group. Available at: </w:t>
      </w:r>
      <w:hyperlink r:id="rId14" w:tgtFrame="_new" w:history="1">
        <w:r w:rsidRPr="00E624C4">
          <w:rPr>
            <w:rFonts w:ascii="Times New Roman" w:hAnsi="Times New Roman" w:cs="Times New Roman"/>
            <w:color w:val="0000FF"/>
            <w:sz w:val="20"/>
            <w:szCs w:val="20"/>
            <w:u w:val="single"/>
            <w:lang w:val="en-GB" w:eastAsia="en-GB"/>
          </w:rPr>
          <w:t>https://about.ikea.com/en/sustainability</w:t>
        </w:r>
      </w:hyperlink>
      <w:r w:rsidRPr="00E624C4">
        <w:rPr>
          <w:rFonts w:ascii="Times New Roman" w:hAnsi="Times New Roman" w:cs="Times New Roman"/>
          <w:sz w:val="20"/>
          <w:szCs w:val="20"/>
          <w:lang w:val="en-GB" w:eastAsia="en-GB"/>
        </w:rPr>
        <w:t xml:space="preserve"> (Accessed: 4 November 2025).</w:t>
      </w:r>
    </w:p>
    <w:p w14:paraId="6C211FA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Lee, J.Y. (2024) ‘Integrative literature review on people analytics and HR development’, </w:t>
      </w:r>
      <w:r w:rsidRPr="00E624C4">
        <w:rPr>
          <w:rFonts w:ascii="Times New Roman" w:hAnsi="Times New Roman" w:cs="Times New Roman"/>
          <w:i/>
          <w:iCs/>
          <w:sz w:val="20"/>
          <w:szCs w:val="20"/>
          <w:lang w:val="en-GB" w:eastAsia="en-GB"/>
        </w:rPr>
        <w:t>Human Resource Management Journal</w:t>
      </w:r>
      <w:r w:rsidRPr="00E624C4">
        <w:rPr>
          <w:rFonts w:ascii="Times New Roman" w:hAnsi="Times New Roman" w:cs="Times New Roman"/>
          <w:sz w:val="20"/>
          <w:szCs w:val="20"/>
          <w:lang w:val="en-GB" w:eastAsia="en-GB"/>
        </w:rPr>
        <w:t>, 34(2), pp. 198–215.</w:t>
      </w:r>
    </w:p>
    <w:p w14:paraId="4DC7439F"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McKinsey &amp; Company (2020a) </w:t>
      </w:r>
      <w:r w:rsidRPr="00E624C4">
        <w:rPr>
          <w:rFonts w:ascii="Times New Roman" w:hAnsi="Times New Roman" w:cs="Times New Roman"/>
          <w:i/>
          <w:iCs/>
          <w:sz w:val="20"/>
          <w:szCs w:val="20"/>
          <w:lang w:val="en-GB" w:eastAsia="en-GB"/>
        </w:rPr>
        <w:t>COVID-19: Implications for Business.</w:t>
      </w:r>
      <w:r w:rsidRPr="00E624C4">
        <w:rPr>
          <w:rFonts w:ascii="Times New Roman" w:hAnsi="Times New Roman" w:cs="Times New Roman"/>
          <w:sz w:val="20"/>
          <w:szCs w:val="20"/>
          <w:lang w:val="en-GB" w:eastAsia="en-GB"/>
        </w:rPr>
        <w:t xml:space="preserve"> Available at: </w:t>
      </w:r>
      <w:hyperlink r:id="rId15" w:tgtFrame="_new" w:history="1">
        <w:r w:rsidRPr="00E624C4">
          <w:rPr>
            <w:rFonts w:ascii="Times New Roman" w:hAnsi="Times New Roman" w:cs="Times New Roman"/>
            <w:color w:val="0000FF"/>
            <w:sz w:val="20"/>
            <w:szCs w:val="20"/>
            <w:u w:val="single"/>
            <w:lang w:val="en-GB" w:eastAsia="en-GB"/>
          </w:rPr>
          <w:t>https://www.mckinsey.com</w:t>
        </w:r>
      </w:hyperlink>
      <w:r w:rsidRPr="00E624C4">
        <w:rPr>
          <w:rFonts w:ascii="Times New Roman" w:hAnsi="Times New Roman" w:cs="Times New Roman"/>
          <w:sz w:val="20"/>
          <w:szCs w:val="20"/>
          <w:lang w:val="en-GB" w:eastAsia="en-GB"/>
        </w:rPr>
        <w:t xml:space="preserve"> (Accessed: 4 November 2025).</w:t>
      </w:r>
    </w:p>
    <w:p w14:paraId="707A0665"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McKinsey &amp; Company (2020b) </w:t>
      </w:r>
      <w:r w:rsidRPr="00E624C4">
        <w:rPr>
          <w:rFonts w:ascii="Times New Roman" w:hAnsi="Times New Roman" w:cs="Times New Roman"/>
          <w:i/>
          <w:iCs/>
          <w:sz w:val="20"/>
          <w:szCs w:val="20"/>
          <w:lang w:val="en-GB" w:eastAsia="en-GB"/>
        </w:rPr>
        <w:t>Beyond Hiring: How Companies are Reskilling to Address Talent Gaps.</w:t>
      </w:r>
      <w:r w:rsidRPr="00E624C4">
        <w:rPr>
          <w:rFonts w:ascii="Times New Roman" w:hAnsi="Times New Roman" w:cs="Times New Roman"/>
          <w:sz w:val="20"/>
          <w:szCs w:val="20"/>
          <w:lang w:val="en-GB" w:eastAsia="en-GB"/>
        </w:rPr>
        <w:t xml:space="preserve"> Available at: </w:t>
      </w:r>
      <w:hyperlink r:id="rId16" w:tgtFrame="_new" w:history="1">
        <w:r w:rsidRPr="00E624C4">
          <w:rPr>
            <w:rFonts w:ascii="Times New Roman" w:hAnsi="Times New Roman" w:cs="Times New Roman"/>
            <w:color w:val="0000FF"/>
            <w:sz w:val="20"/>
            <w:szCs w:val="20"/>
            <w:u w:val="single"/>
            <w:lang w:val="en-GB" w:eastAsia="en-GB"/>
          </w:rPr>
          <w:t>https://www.mckinsey.com/~/media/McKinsey/Business%20Functions/Organization/Our%20Insights/Beyond%20hiring%20How%20companies%20are%20reskilling%20to%20address%20talent%20gaps/Beyond-hiring-How-companies-are-reskilling.pdf</w:t>
        </w:r>
      </w:hyperlink>
      <w:r w:rsidRPr="00E624C4">
        <w:rPr>
          <w:rFonts w:ascii="Times New Roman" w:hAnsi="Times New Roman" w:cs="Times New Roman"/>
          <w:sz w:val="20"/>
          <w:szCs w:val="20"/>
          <w:lang w:val="en-GB" w:eastAsia="en-GB"/>
        </w:rPr>
        <w:t xml:space="preserve"> (Accessed: 4 November 2025).</w:t>
      </w:r>
    </w:p>
    <w:p w14:paraId="14545684"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(2021) </w:t>
      </w:r>
      <w:r w:rsidRPr="00E624C4">
        <w:rPr>
          <w:rFonts w:ascii="Times New Roman" w:hAnsi="Times New Roman" w:cs="Times New Roman"/>
          <w:i/>
          <w:iCs/>
          <w:sz w:val="20"/>
          <w:szCs w:val="20"/>
          <w:lang w:val="en-GB" w:eastAsia="en-GB"/>
        </w:rPr>
        <w:t>OECD Skills Outlook 2021: Learning for Life.</w:t>
      </w:r>
      <w:r w:rsidRPr="00E624C4">
        <w:rPr>
          <w:rFonts w:ascii="Times New Roman" w:hAnsi="Times New Roman" w:cs="Times New Roman"/>
          <w:sz w:val="20"/>
          <w:szCs w:val="20"/>
          <w:lang w:val="en-GB" w:eastAsia="en-GB"/>
        </w:rPr>
        <w:t xml:space="preserve"> Paris: OECD Publishing. Available at: </w:t>
      </w:r>
      <w:hyperlink r:id="rId17" w:tgtFrame="_new" w:history="1">
        <w:r w:rsidRPr="00E624C4">
          <w:rPr>
            <w:rFonts w:ascii="Times New Roman" w:hAnsi="Times New Roman" w:cs="Times New Roman"/>
            <w:color w:val="0000FF"/>
            <w:sz w:val="20"/>
            <w:szCs w:val="20"/>
            <w:u w:val="single"/>
            <w:lang w:val="en-GB" w:eastAsia="en-GB"/>
          </w:rPr>
          <w:t>https://doi.org/10.1787/0ae365b4-en</w:t>
        </w:r>
      </w:hyperlink>
      <w:r w:rsidRPr="00E624C4">
        <w:rPr>
          <w:rFonts w:ascii="Times New Roman" w:hAnsi="Times New Roman" w:cs="Times New Roman"/>
          <w:sz w:val="20"/>
          <w:szCs w:val="20"/>
          <w:lang w:val="en-GB" w:eastAsia="en-GB"/>
        </w:rPr>
        <w:t xml:space="preserve"> (Accessed: 4 November 2025).</w:t>
      </w:r>
    </w:p>
    <w:p w14:paraId="0287C951"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(2022a) </w:t>
      </w:r>
      <w:r w:rsidRPr="00E624C4">
        <w:rPr>
          <w:rFonts w:ascii="Times New Roman" w:hAnsi="Times New Roman" w:cs="Times New Roman"/>
          <w:i/>
          <w:iCs/>
          <w:sz w:val="20"/>
          <w:szCs w:val="20"/>
          <w:lang w:val="en-GB" w:eastAsia="en-GB"/>
        </w:rPr>
        <w:t xml:space="preserve">Pensions </w:t>
      </w:r>
      <w:proofErr w:type="gramStart"/>
      <w:r w:rsidRPr="00E624C4">
        <w:rPr>
          <w:rFonts w:ascii="Times New Roman" w:hAnsi="Times New Roman" w:cs="Times New Roman"/>
          <w:i/>
          <w:iCs/>
          <w:sz w:val="20"/>
          <w:szCs w:val="20"/>
          <w:lang w:val="en-GB" w:eastAsia="en-GB"/>
        </w:rPr>
        <w:t>at a Glance</w:t>
      </w:r>
      <w:proofErr w:type="gramEnd"/>
      <w:r w:rsidRPr="00E624C4">
        <w:rPr>
          <w:rFonts w:ascii="Times New Roman" w:hAnsi="Times New Roman" w:cs="Times New Roman"/>
          <w:i/>
          <w:iCs/>
          <w:sz w:val="20"/>
          <w:szCs w:val="20"/>
          <w:lang w:val="en-GB" w:eastAsia="en-GB"/>
        </w:rPr>
        <w:t xml:space="preserve"> 2022: OECD and G20 Indicators.</w:t>
      </w:r>
      <w:r w:rsidRPr="00E624C4">
        <w:rPr>
          <w:rFonts w:ascii="Times New Roman" w:hAnsi="Times New Roman" w:cs="Times New Roman"/>
          <w:sz w:val="20"/>
          <w:szCs w:val="20"/>
          <w:lang w:val="en-GB" w:eastAsia="en-GB"/>
        </w:rPr>
        <w:t xml:space="preserve"> Paris: OECD Publishing. Available at: </w:t>
      </w:r>
      <w:hyperlink r:id="rId18" w:tgtFrame="_new" w:history="1">
        <w:r w:rsidRPr="00E624C4">
          <w:rPr>
            <w:rFonts w:ascii="Times New Roman" w:hAnsi="Times New Roman" w:cs="Times New Roman"/>
            <w:color w:val="0000FF"/>
            <w:sz w:val="20"/>
            <w:szCs w:val="20"/>
            <w:u w:val="single"/>
            <w:lang w:val="en-GB" w:eastAsia="en-GB"/>
          </w:rPr>
          <w:t>https://doi.org/10.1787/6d3fb6c8-en</w:t>
        </w:r>
      </w:hyperlink>
      <w:r w:rsidRPr="00E624C4">
        <w:rPr>
          <w:rFonts w:ascii="Times New Roman" w:hAnsi="Times New Roman" w:cs="Times New Roman"/>
          <w:sz w:val="20"/>
          <w:szCs w:val="20"/>
          <w:lang w:val="en-GB" w:eastAsia="en-GB"/>
        </w:rPr>
        <w:t xml:space="preserve"> (Accessed: 4 November 2025).</w:t>
      </w:r>
    </w:p>
    <w:p w14:paraId="2E42E73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Organisation for Economic Co-operation and Development (OECD) (2022b) </w:t>
      </w:r>
      <w:r w:rsidRPr="00E624C4">
        <w:rPr>
          <w:rFonts w:ascii="Times New Roman" w:hAnsi="Times New Roman" w:cs="Times New Roman"/>
          <w:i/>
          <w:iCs/>
          <w:sz w:val="20"/>
          <w:szCs w:val="20"/>
          <w:lang w:val="en-GB" w:eastAsia="en-GB"/>
        </w:rPr>
        <w:t>The Future of Competitiveness: Human Capital and Skills.</w:t>
      </w:r>
      <w:r w:rsidRPr="00E624C4">
        <w:rPr>
          <w:rFonts w:ascii="Times New Roman" w:hAnsi="Times New Roman" w:cs="Times New Roman"/>
          <w:sz w:val="20"/>
          <w:szCs w:val="20"/>
          <w:lang w:val="en-GB" w:eastAsia="en-GB"/>
        </w:rPr>
        <w:t xml:space="preserve"> Paris: OECD Publishing.</w:t>
      </w:r>
    </w:p>
    <w:p w14:paraId="57AD0B10"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Ramachandran, R., Babu, V. and Murugesan, V.P. (2023) ‘Human resource analytics revisited: adoption, global acceptance and implementation’, </w:t>
      </w:r>
      <w:r w:rsidRPr="00E624C4">
        <w:rPr>
          <w:rFonts w:ascii="Times New Roman" w:hAnsi="Times New Roman" w:cs="Times New Roman"/>
          <w:i/>
          <w:iCs/>
          <w:sz w:val="20"/>
          <w:szCs w:val="20"/>
          <w:lang w:val="en-GB" w:eastAsia="en-GB"/>
        </w:rPr>
        <w:t>Benchmarking: An International Journal</w:t>
      </w:r>
      <w:r w:rsidRPr="00E624C4">
        <w:rPr>
          <w:rFonts w:ascii="Times New Roman" w:hAnsi="Times New Roman" w:cs="Times New Roman"/>
          <w:sz w:val="20"/>
          <w:szCs w:val="20"/>
          <w:lang w:val="en-GB" w:eastAsia="en-GB"/>
        </w:rPr>
        <w:t>, 30(4), pp. 1125–1149.</w:t>
      </w:r>
    </w:p>
    <w:p w14:paraId="248E4CB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Spencer-Oatey, H. (2020) ‘Establishing professional intercultural relations’, </w:t>
      </w:r>
      <w:r w:rsidRPr="00E624C4">
        <w:rPr>
          <w:rFonts w:ascii="Times New Roman" w:hAnsi="Times New Roman" w:cs="Times New Roman"/>
          <w:i/>
          <w:iCs/>
          <w:sz w:val="20"/>
          <w:szCs w:val="20"/>
          <w:lang w:val="en-GB" w:eastAsia="en-GB"/>
        </w:rPr>
        <w:t>International Journal of Intercultural Relations</w:t>
      </w:r>
      <w:r w:rsidRPr="00E624C4">
        <w:rPr>
          <w:rFonts w:ascii="Times New Roman" w:hAnsi="Times New Roman" w:cs="Times New Roman"/>
          <w:sz w:val="20"/>
          <w:szCs w:val="20"/>
          <w:lang w:val="en-GB" w:eastAsia="en-GB"/>
        </w:rPr>
        <w:t>, 74, pp. 10–23.</w:t>
      </w:r>
    </w:p>
    <w:p w14:paraId="0222C608"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lastRenderedPageBreak/>
        <w:t xml:space="preserve">United Nations Department of Economic and Social Affairs (UN DESA) (2021) </w:t>
      </w:r>
      <w:r w:rsidRPr="00E624C4">
        <w:rPr>
          <w:rFonts w:ascii="Times New Roman" w:hAnsi="Times New Roman" w:cs="Times New Roman"/>
          <w:i/>
          <w:iCs/>
          <w:sz w:val="20"/>
          <w:szCs w:val="20"/>
          <w:lang w:val="en-GB" w:eastAsia="en-GB"/>
        </w:rPr>
        <w:t>International Migration 2020 Highlights.</w:t>
      </w:r>
      <w:r w:rsidRPr="00E624C4">
        <w:rPr>
          <w:rFonts w:ascii="Times New Roman" w:hAnsi="Times New Roman" w:cs="Times New Roman"/>
          <w:sz w:val="20"/>
          <w:szCs w:val="20"/>
          <w:lang w:val="en-GB" w:eastAsia="en-GB"/>
        </w:rPr>
        <w:t xml:space="preserve"> New York: United Nations.</w:t>
      </w:r>
    </w:p>
    <w:p w14:paraId="0B13CC71" w14:textId="77777777" w:rsidR="00E624C4" w:rsidRPr="00E624C4" w:rsidRDefault="00E624C4" w:rsidP="00E624C4">
      <w:pPr>
        <w:spacing w:line="240" w:lineRule="auto"/>
        <w:rPr>
          <w:rFonts w:ascii="Times New Roman" w:hAnsi="Times New Roman" w:cs="Times New Roman"/>
          <w:sz w:val="20"/>
          <w:szCs w:val="20"/>
          <w:lang w:val="en-GB" w:eastAsia="en-GB"/>
        </w:rPr>
      </w:pPr>
      <w:proofErr w:type="spellStart"/>
      <w:r w:rsidRPr="00E624C4">
        <w:rPr>
          <w:rFonts w:ascii="Times New Roman" w:hAnsi="Times New Roman" w:cs="Times New Roman"/>
          <w:sz w:val="20"/>
          <w:szCs w:val="20"/>
          <w:lang w:val="en-GB" w:eastAsia="en-GB"/>
        </w:rPr>
        <w:t>Vhora</w:t>
      </w:r>
      <w:proofErr w:type="spellEnd"/>
      <w:r w:rsidRPr="00E624C4">
        <w:rPr>
          <w:rFonts w:ascii="Times New Roman" w:hAnsi="Times New Roman" w:cs="Times New Roman"/>
          <w:sz w:val="20"/>
          <w:szCs w:val="20"/>
          <w:lang w:val="en-GB" w:eastAsia="en-GB"/>
        </w:rPr>
        <w:t xml:space="preserve">, M.A., Bhandwalkar, V. and Rege, P.M. (2024) ‘AI-driven HR Analytics: Enhancing decision-making in workforce planning’, </w:t>
      </w:r>
      <w:r w:rsidRPr="00E624C4">
        <w:rPr>
          <w:rFonts w:ascii="Times New Roman" w:hAnsi="Times New Roman" w:cs="Times New Roman"/>
          <w:i/>
          <w:iCs/>
          <w:sz w:val="20"/>
          <w:szCs w:val="20"/>
          <w:lang w:val="en-GB" w:eastAsia="en-GB"/>
        </w:rPr>
        <w:t>International Journal of Research &amp; Scientific Innovation</w:t>
      </w:r>
      <w:r w:rsidRPr="00E624C4">
        <w:rPr>
          <w:rFonts w:ascii="Times New Roman" w:hAnsi="Times New Roman" w:cs="Times New Roman"/>
          <w:sz w:val="20"/>
          <w:szCs w:val="20"/>
          <w:lang w:val="en-GB" w:eastAsia="en-GB"/>
        </w:rPr>
        <w:t>, 11(09).</w:t>
      </w:r>
    </w:p>
    <w:p w14:paraId="1196D2FD"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World Bank (2021) </w:t>
      </w:r>
      <w:r w:rsidRPr="00E624C4">
        <w:rPr>
          <w:rFonts w:ascii="Times New Roman" w:hAnsi="Times New Roman" w:cs="Times New Roman"/>
          <w:i/>
          <w:iCs/>
          <w:sz w:val="20"/>
          <w:szCs w:val="20"/>
          <w:lang w:val="en-GB" w:eastAsia="en-GB"/>
        </w:rPr>
        <w:t>World Development Report 2021: Data for Better Lives.</w:t>
      </w:r>
      <w:r w:rsidRPr="00E624C4">
        <w:rPr>
          <w:rFonts w:ascii="Times New Roman" w:hAnsi="Times New Roman" w:cs="Times New Roman"/>
          <w:sz w:val="20"/>
          <w:szCs w:val="20"/>
          <w:lang w:val="en-GB" w:eastAsia="en-GB"/>
        </w:rPr>
        <w:t xml:space="preserve"> Washington, DC: World Bank. Available at: </w:t>
      </w:r>
      <w:hyperlink r:id="rId19" w:tgtFrame="_new" w:history="1">
        <w:r w:rsidRPr="00E624C4">
          <w:rPr>
            <w:rFonts w:ascii="Times New Roman" w:hAnsi="Times New Roman" w:cs="Times New Roman"/>
            <w:color w:val="0000FF"/>
            <w:sz w:val="20"/>
            <w:szCs w:val="20"/>
            <w:u w:val="single"/>
            <w:lang w:val="en-GB" w:eastAsia="en-GB"/>
          </w:rPr>
          <w:t>https://doi.org/10.1596/978-1-4648-1619-5</w:t>
        </w:r>
      </w:hyperlink>
      <w:r w:rsidRPr="00E624C4">
        <w:rPr>
          <w:rFonts w:ascii="Times New Roman" w:hAnsi="Times New Roman" w:cs="Times New Roman"/>
          <w:sz w:val="20"/>
          <w:szCs w:val="20"/>
          <w:lang w:val="en-GB" w:eastAsia="en-GB"/>
        </w:rPr>
        <w:t xml:space="preserve"> (Accessed: 4 November 2025).</w:t>
      </w:r>
    </w:p>
    <w:p w14:paraId="6228E667" w14:textId="77777777" w:rsidR="00E624C4" w:rsidRPr="00E624C4" w:rsidRDefault="00E624C4" w:rsidP="00E624C4">
      <w:pPr>
        <w:spacing w:line="240" w:lineRule="auto"/>
        <w:rPr>
          <w:rFonts w:ascii="Times New Roman" w:hAnsi="Times New Roman" w:cs="Times New Roman"/>
          <w:sz w:val="20"/>
          <w:szCs w:val="20"/>
          <w:lang w:val="en-GB" w:eastAsia="en-GB"/>
        </w:rPr>
      </w:pPr>
      <w:r w:rsidRPr="00E624C4">
        <w:rPr>
          <w:rFonts w:ascii="Times New Roman" w:hAnsi="Times New Roman" w:cs="Times New Roman"/>
          <w:sz w:val="20"/>
          <w:szCs w:val="20"/>
          <w:lang w:val="en-GB" w:eastAsia="en-GB"/>
        </w:rPr>
        <w:t xml:space="preserve">World Economic Forum (WEF) (2023) </w:t>
      </w:r>
      <w:r w:rsidRPr="00E624C4">
        <w:rPr>
          <w:rFonts w:ascii="Times New Roman" w:hAnsi="Times New Roman" w:cs="Times New Roman"/>
          <w:i/>
          <w:iCs/>
          <w:sz w:val="20"/>
          <w:szCs w:val="20"/>
          <w:lang w:val="en-GB" w:eastAsia="en-GB"/>
        </w:rPr>
        <w:t>The Future of Jobs Report 2023.</w:t>
      </w:r>
      <w:r w:rsidRPr="00E624C4">
        <w:rPr>
          <w:rFonts w:ascii="Times New Roman" w:hAnsi="Times New Roman" w:cs="Times New Roman"/>
          <w:sz w:val="20"/>
          <w:szCs w:val="20"/>
          <w:lang w:val="en-GB" w:eastAsia="en-GB"/>
        </w:rPr>
        <w:t xml:space="preserve"> Geneva: World Economic Forum. Available at: </w:t>
      </w:r>
      <w:hyperlink r:id="rId20" w:tgtFrame="_new" w:history="1">
        <w:r w:rsidRPr="00E624C4">
          <w:rPr>
            <w:rFonts w:ascii="Times New Roman" w:hAnsi="Times New Roman" w:cs="Times New Roman"/>
            <w:color w:val="0000FF"/>
            <w:sz w:val="20"/>
            <w:szCs w:val="20"/>
            <w:u w:val="single"/>
            <w:lang w:val="en-GB" w:eastAsia="en-GB"/>
          </w:rPr>
          <w:t>https://www.weforum.org/publications/the-future-of-jobs-report-2023</w:t>
        </w:r>
      </w:hyperlink>
      <w:r w:rsidRPr="00E624C4">
        <w:rPr>
          <w:rFonts w:ascii="Times New Roman" w:hAnsi="Times New Roman" w:cs="Times New Roman"/>
          <w:sz w:val="20"/>
          <w:szCs w:val="20"/>
          <w:lang w:val="en-GB" w:eastAsia="en-GB"/>
        </w:rPr>
        <w:t xml:space="preserve"> (Accessed: 4 November 2025).</w:t>
      </w:r>
    </w:p>
    <w:p w14:paraId="561BD858"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05477EBD"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22D5D92D"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00F955E3"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7860A454"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2E8D1391" w14:textId="77777777" w:rsidR="00E624C4" w:rsidRPr="00E624C4" w:rsidRDefault="00E624C4" w:rsidP="00E624C4">
      <w:pPr>
        <w:spacing w:line="240" w:lineRule="auto"/>
        <w:rPr>
          <w:rFonts w:ascii="Times New Roman" w:eastAsia="Aptos" w:hAnsi="Times New Roman" w:cs="Times New Roman"/>
          <w:sz w:val="20"/>
          <w:szCs w:val="20"/>
          <w:lang w:val="en-GB"/>
        </w:rPr>
      </w:pPr>
    </w:p>
    <w:p w14:paraId="537A5E8D" w14:textId="77777777" w:rsidR="0053254D" w:rsidRPr="00E624C4" w:rsidRDefault="0053254D" w:rsidP="00E624C4">
      <w:pPr>
        <w:spacing w:line="240" w:lineRule="auto"/>
        <w:rPr>
          <w:rFonts w:ascii="Times New Roman" w:hAnsi="Times New Roman" w:cs="Times New Roman"/>
          <w:sz w:val="20"/>
          <w:szCs w:val="20"/>
        </w:rPr>
      </w:pPr>
    </w:p>
    <w:sectPr w:rsidR="0053254D" w:rsidRPr="00E624C4" w:rsidSect="00422CB2">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454ECD"/>
    <w:multiLevelType w:val="hybridMultilevel"/>
    <w:tmpl w:val="A96AE3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74D37C1"/>
    <w:multiLevelType w:val="hybridMultilevel"/>
    <w:tmpl w:val="F12A9744"/>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num w:numId="1" w16cid:durableId="212923066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4148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doNotDisplayPageBoundaries/>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4C4"/>
    <w:rsid w:val="000204DB"/>
    <w:rsid w:val="00422CB2"/>
    <w:rsid w:val="0053254D"/>
    <w:rsid w:val="005C4D5B"/>
    <w:rsid w:val="00BB24E8"/>
    <w:rsid w:val="00C22AC5"/>
    <w:rsid w:val="00C47A06"/>
    <w:rsid w:val="00DE6263"/>
    <w:rsid w:val="00E624C4"/>
    <w:rsid w:val="00F1027D"/>
    <w:rsid w:val="00F66ADD"/>
    <w:rsid w:val="00FB00CC"/>
    <w:rsid w:val="00FC6F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8449F"/>
  <w15:chartTrackingRefBased/>
  <w15:docId w15:val="{1E90C502-FA5C-47E2-96D6-BAB68D10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4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4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4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4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4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4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4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4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4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4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4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4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4C4"/>
    <w:rPr>
      <w:rFonts w:eastAsiaTheme="majorEastAsia" w:cstheme="majorBidi"/>
      <w:color w:val="272727" w:themeColor="text1" w:themeTint="D8"/>
    </w:rPr>
  </w:style>
  <w:style w:type="paragraph" w:styleId="Title">
    <w:name w:val="Title"/>
    <w:basedOn w:val="Normal"/>
    <w:next w:val="Normal"/>
    <w:link w:val="TitleChar"/>
    <w:uiPriority w:val="10"/>
    <w:qFormat/>
    <w:rsid w:val="00E62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4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4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4C4"/>
    <w:pPr>
      <w:spacing w:before="160"/>
      <w:jc w:val="center"/>
    </w:pPr>
    <w:rPr>
      <w:i/>
      <w:iCs/>
      <w:color w:val="404040" w:themeColor="text1" w:themeTint="BF"/>
    </w:rPr>
  </w:style>
  <w:style w:type="character" w:customStyle="1" w:styleId="QuoteChar">
    <w:name w:val="Quote Char"/>
    <w:basedOn w:val="DefaultParagraphFont"/>
    <w:link w:val="Quote"/>
    <w:uiPriority w:val="29"/>
    <w:rsid w:val="00E624C4"/>
    <w:rPr>
      <w:i/>
      <w:iCs/>
      <w:color w:val="404040" w:themeColor="text1" w:themeTint="BF"/>
    </w:rPr>
  </w:style>
  <w:style w:type="paragraph" w:styleId="ListParagraph">
    <w:name w:val="List Paragraph"/>
    <w:basedOn w:val="Normal"/>
    <w:uiPriority w:val="34"/>
    <w:qFormat/>
    <w:rsid w:val="00E624C4"/>
    <w:pPr>
      <w:ind w:left="720"/>
      <w:contextualSpacing/>
    </w:pPr>
  </w:style>
  <w:style w:type="character" w:styleId="IntenseEmphasis">
    <w:name w:val="Intense Emphasis"/>
    <w:basedOn w:val="DefaultParagraphFont"/>
    <w:uiPriority w:val="21"/>
    <w:qFormat/>
    <w:rsid w:val="00E624C4"/>
    <w:rPr>
      <w:i/>
      <w:iCs/>
      <w:color w:val="0F4761" w:themeColor="accent1" w:themeShade="BF"/>
    </w:rPr>
  </w:style>
  <w:style w:type="paragraph" w:styleId="IntenseQuote">
    <w:name w:val="Intense Quote"/>
    <w:basedOn w:val="Normal"/>
    <w:next w:val="Normal"/>
    <w:link w:val="IntenseQuoteChar"/>
    <w:uiPriority w:val="30"/>
    <w:qFormat/>
    <w:rsid w:val="00E62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4C4"/>
    <w:rPr>
      <w:i/>
      <w:iCs/>
      <w:color w:val="0F4761" w:themeColor="accent1" w:themeShade="BF"/>
    </w:rPr>
  </w:style>
  <w:style w:type="character" w:styleId="IntenseReference">
    <w:name w:val="Intense Reference"/>
    <w:basedOn w:val="DefaultParagraphFont"/>
    <w:uiPriority w:val="32"/>
    <w:qFormat/>
    <w:rsid w:val="00E624C4"/>
    <w:rPr>
      <w:b/>
      <w:bCs/>
      <w:smallCaps/>
      <w:color w:val="0F4761" w:themeColor="accent1" w:themeShade="BF"/>
      <w:spacing w:val="5"/>
    </w:rPr>
  </w:style>
  <w:style w:type="character" w:styleId="Hyperlink">
    <w:name w:val="Hyperlink"/>
    <w:basedOn w:val="DefaultParagraphFont"/>
    <w:uiPriority w:val="99"/>
    <w:unhideWhenUsed/>
    <w:rsid w:val="00E624C4"/>
    <w:rPr>
      <w:color w:val="467886" w:themeColor="hyperlink"/>
      <w:u w:val="single"/>
    </w:rPr>
  </w:style>
  <w:style w:type="character" w:styleId="UnresolvedMention">
    <w:name w:val="Unresolved Mention"/>
    <w:basedOn w:val="DefaultParagraphFont"/>
    <w:uiPriority w:val="99"/>
    <w:semiHidden/>
    <w:unhideWhenUsed/>
    <w:rsid w:val="00E624C4"/>
    <w:rPr>
      <w:color w:val="605E5C"/>
      <w:shd w:val="clear" w:color="auto" w:fill="E1DFDD"/>
    </w:rPr>
  </w:style>
  <w:style w:type="paragraph" w:styleId="TOCHeading">
    <w:name w:val="TOC Heading"/>
    <w:basedOn w:val="Heading1"/>
    <w:next w:val="Normal"/>
    <w:uiPriority w:val="39"/>
    <w:unhideWhenUsed/>
    <w:qFormat/>
    <w:rsid w:val="000204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04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77/23294906241253516" TargetMode="External"/><Relationship Id="rId18" Type="http://schemas.openxmlformats.org/officeDocument/2006/relationships/hyperlink" Target="https://doi.org/10.1787/6d3fb6c8-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oi.org/10.1257/jep.29.3.3" TargetMode="External"/><Relationship Id="rId17" Type="http://schemas.openxmlformats.org/officeDocument/2006/relationships/hyperlink" Target="https://doi.org/10.1787/0ae365b4-en" TargetMode="External"/><Relationship Id="rId2" Type="http://schemas.openxmlformats.org/officeDocument/2006/relationships/numbering" Target="numbering.xml"/><Relationship Id="rId16" Type="http://schemas.openxmlformats.org/officeDocument/2006/relationships/hyperlink" Target="https://www.mckinsey.com/~/media/McKinsey/Business%20Functions/Organization/Our%20Insights/Beyond%20hiring%20How%20companies%20are%20reskilling%20to%20address%20talent%20gaps/Beyond-hiring-How-companies-are-reskilling.pdf" TargetMode="External"/><Relationship Id="rId20" Type="http://schemas.openxmlformats.org/officeDocument/2006/relationships/hyperlink" Target="https://www.weforum.org/publications/the-future-of-jobs-report-2023"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24018/ejbmr.2023.8.3.1992" TargetMode="External"/><Relationship Id="rId5" Type="http://schemas.openxmlformats.org/officeDocument/2006/relationships/webSettings" Target="webSettings.xml"/><Relationship Id="rId15" Type="http://schemas.openxmlformats.org/officeDocument/2006/relationships/hyperlink" Target="https://www.mckinsey.com" TargetMode="External"/><Relationship Id="rId10" Type="http://schemas.openxmlformats.org/officeDocument/2006/relationships/image" Target="media/image5.png"/><Relationship Id="rId19" Type="http://schemas.openxmlformats.org/officeDocument/2006/relationships/hyperlink" Target="https://doi.org/10.1596/978-1-4648-1619-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bout.ikea.com/en/sustain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0E721-1E2A-4B95-9FD9-7042EB5E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3299</Words>
  <Characters>22403</Characters>
  <Application>Microsoft Office Word</Application>
  <DocSecurity>0</DocSecurity>
  <Lines>497</Lines>
  <Paragraphs>107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25595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yadav</dc:creator>
  <cp:keywords/>
  <dc:description/>
  <cp:lastModifiedBy>Yadav Shubham</cp:lastModifiedBy>
  <cp:revision>2</cp:revision>
  <dcterms:created xsi:type="dcterms:W3CDTF">2025-11-13T21:32:00Z</dcterms:created>
  <dcterms:modified xsi:type="dcterms:W3CDTF">2025-11-13T21:32:00Z</dcterms:modified>
  <cp:category/>
</cp:coreProperties>
</file>