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54FBB"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13D07E52" w14:textId="77777777" w:rsidR="00455B38" w:rsidRDefault="00830A6B" w:rsidP="00830A6B">
      <w:pPr>
        <w:spacing w:before="100" w:beforeAutospacing="1" w:after="100" w:afterAutospacing="1" w:line="360" w:lineRule="auto"/>
        <w:ind w:left="5040"/>
        <w:jc w:val="both"/>
        <w:outlineLvl w:val="2"/>
        <w:rPr>
          <w:rFonts w:ascii="Arial" w:eastAsia="Times New Roman" w:hAnsi="Arial" w:cs="Arial"/>
          <w:b/>
          <w:bCs/>
        </w:rPr>
      </w:pPr>
      <w:r>
        <w:rPr>
          <w:rFonts w:ascii="Arial" w:eastAsia="Times New Roman" w:hAnsi="Arial" w:cs="Arial"/>
          <w:b/>
          <w:bCs/>
          <w:noProof/>
        </w:rPr>
        <w:drawing>
          <wp:inline distT="0" distB="0" distL="0" distR="0" wp14:anchorId="06DF3265" wp14:editId="1A9A0E23">
            <wp:extent cx="2792095" cy="1158240"/>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1"/>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830A6B" w:rsidRPr="00830A6B" w14:paraId="68BB421C" w14:textId="77777777" w:rsidTr="00507D16">
        <w:trPr>
          <w:trHeight w:val="179"/>
          <w:jc w:val="center"/>
        </w:trPr>
        <w:tc>
          <w:tcPr>
            <w:tcW w:w="0" w:type="auto"/>
            <w:hideMark/>
          </w:tcPr>
          <w:p w14:paraId="408ACAE8" w14:textId="77777777" w:rsidR="00830A6B" w:rsidRPr="00830A6B" w:rsidRDefault="00830A6B" w:rsidP="00830A6B">
            <w:pPr>
              <w:tabs>
                <w:tab w:val="right" w:pos="2299"/>
              </w:tabs>
              <w:spacing w:line="360" w:lineRule="auto"/>
              <w:jc w:val="both"/>
              <w:rPr>
                <w:rFonts w:ascii="Arial" w:eastAsia="Times New Roman" w:hAnsi="Arial" w:cs="Arial"/>
                <w:b/>
                <w:bCs/>
              </w:rPr>
            </w:pPr>
            <w:r w:rsidRPr="00830A6B">
              <w:rPr>
                <w:rFonts w:ascii="Arial" w:eastAsia="Times New Roman" w:hAnsi="Arial" w:cs="Arial"/>
                <w:b/>
                <w:bCs/>
              </w:rPr>
              <w:t>Student Name:</w:t>
            </w:r>
            <w:r w:rsidRPr="00830A6B">
              <w:rPr>
                <w:rFonts w:ascii="Arial" w:eastAsia="Times New Roman" w:hAnsi="Arial" w:cs="Arial"/>
                <w:b/>
                <w:bCs/>
              </w:rPr>
              <w:tab/>
            </w:r>
          </w:p>
        </w:tc>
        <w:tc>
          <w:tcPr>
            <w:tcW w:w="5825" w:type="dxa"/>
            <w:hideMark/>
          </w:tcPr>
          <w:p w14:paraId="27970C2F" w14:textId="3E185627" w:rsidR="00830A6B" w:rsidRPr="00E12EC2" w:rsidRDefault="00E12EC2" w:rsidP="00830A6B">
            <w:pPr>
              <w:spacing w:line="360" w:lineRule="auto"/>
              <w:jc w:val="both"/>
              <w:rPr>
                <w:rFonts w:ascii="Arial" w:eastAsia="Times New Roman" w:hAnsi="Arial" w:cs="Arial"/>
                <w:b/>
              </w:rPr>
            </w:pPr>
            <w:proofErr w:type="spellStart"/>
            <w:r>
              <w:rPr>
                <w:rFonts w:ascii="Arial" w:eastAsia="Times New Roman" w:hAnsi="Arial" w:cs="Arial"/>
                <w:b/>
              </w:rPr>
              <w:t>Nofiza</w:t>
            </w:r>
            <w:proofErr w:type="spellEnd"/>
            <w:r>
              <w:rPr>
                <w:rFonts w:ascii="Arial" w:eastAsia="Times New Roman" w:hAnsi="Arial" w:cs="Arial"/>
                <w:b/>
              </w:rPr>
              <w:t xml:space="preserve"> Sajid</w:t>
            </w:r>
          </w:p>
        </w:tc>
      </w:tr>
      <w:tr w:rsidR="00830A6B" w:rsidRPr="00830A6B" w14:paraId="5A2F537D" w14:textId="77777777" w:rsidTr="00507D16">
        <w:trPr>
          <w:jc w:val="center"/>
        </w:trPr>
        <w:tc>
          <w:tcPr>
            <w:tcW w:w="0" w:type="auto"/>
            <w:hideMark/>
          </w:tcPr>
          <w:p w14:paraId="72E4209C" w14:textId="77777777" w:rsidR="00830A6B" w:rsidRPr="00830A6B" w:rsidRDefault="00830A6B" w:rsidP="00830A6B">
            <w:pPr>
              <w:spacing w:line="360" w:lineRule="auto"/>
              <w:jc w:val="both"/>
              <w:rPr>
                <w:rFonts w:ascii="Arial" w:eastAsia="Times New Roman" w:hAnsi="Arial" w:cs="Arial"/>
              </w:rPr>
            </w:pPr>
            <w:r w:rsidRPr="00830A6B">
              <w:rPr>
                <w:rFonts w:ascii="Arial" w:eastAsia="Times New Roman" w:hAnsi="Arial" w:cs="Arial"/>
                <w:b/>
                <w:bCs/>
              </w:rPr>
              <w:t>Student ID Number:</w:t>
            </w:r>
          </w:p>
        </w:tc>
        <w:tc>
          <w:tcPr>
            <w:tcW w:w="5825" w:type="dxa"/>
            <w:hideMark/>
          </w:tcPr>
          <w:p w14:paraId="34C3E4DA" w14:textId="26337311" w:rsidR="00830A6B" w:rsidRPr="004F6921" w:rsidRDefault="00E12EC2" w:rsidP="00830A6B">
            <w:pPr>
              <w:spacing w:line="360" w:lineRule="auto"/>
              <w:jc w:val="both"/>
              <w:rPr>
                <w:rFonts w:ascii="Arial" w:eastAsia="Times New Roman" w:hAnsi="Arial" w:cs="Arial"/>
                <w:b/>
                <w:bCs/>
              </w:rPr>
            </w:pPr>
            <w:r w:rsidRPr="004F6921">
              <w:rPr>
                <w:rFonts w:ascii="Arial" w:eastAsia="Times New Roman" w:hAnsi="Arial" w:cs="Arial"/>
                <w:b/>
                <w:bCs/>
              </w:rPr>
              <w:t>240</w:t>
            </w:r>
            <w:r w:rsidR="004F6921" w:rsidRPr="004F6921">
              <w:rPr>
                <w:rFonts w:ascii="Arial" w:eastAsia="Times New Roman" w:hAnsi="Arial" w:cs="Arial"/>
                <w:b/>
                <w:bCs/>
              </w:rPr>
              <w:t>7944</w:t>
            </w:r>
          </w:p>
        </w:tc>
      </w:tr>
      <w:tr w:rsidR="00830A6B" w:rsidRPr="00830A6B" w14:paraId="7104D1C5" w14:textId="77777777" w:rsidTr="00507D16">
        <w:trPr>
          <w:jc w:val="center"/>
        </w:trPr>
        <w:tc>
          <w:tcPr>
            <w:tcW w:w="0" w:type="auto"/>
            <w:hideMark/>
          </w:tcPr>
          <w:p w14:paraId="64A2C982" w14:textId="77777777" w:rsidR="00830A6B" w:rsidRPr="00830A6B" w:rsidRDefault="00830A6B" w:rsidP="00830A6B">
            <w:pPr>
              <w:spacing w:line="360" w:lineRule="auto"/>
              <w:jc w:val="both"/>
              <w:rPr>
                <w:rFonts w:ascii="Arial" w:eastAsia="Times New Roman" w:hAnsi="Arial" w:cs="Arial"/>
              </w:rPr>
            </w:pPr>
            <w:proofErr w:type="spellStart"/>
            <w:r w:rsidRPr="00830A6B">
              <w:rPr>
                <w:rFonts w:ascii="Arial" w:eastAsia="Times New Roman" w:hAnsi="Arial" w:cs="Arial"/>
                <w:b/>
                <w:bCs/>
              </w:rPr>
              <w:t>Programme</w:t>
            </w:r>
            <w:proofErr w:type="spellEnd"/>
            <w:r w:rsidRPr="00830A6B">
              <w:rPr>
                <w:rFonts w:ascii="Arial" w:eastAsia="Times New Roman" w:hAnsi="Arial" w:cs="Arial"/>
                <w:b/>
                <w:bCs/>
              </w:rPr>
              <w:t>:</w:t>
            </w:r>
          </w:p>
        </w:tc>
        <w:tc>
          <w:tcPr>
            <w:tcW w:w="5825" w:type="dxa"/>
            <w:hideMark/>
          </w:tcPr>
          <w:p w14:paraId="54197E08" w14:textId="77777777" w:rsidR="00830A6B" w:rsidRPr="00830A6B" w:rsidRDefault="00830A6B" w:rsidP="00830A6B">
            <w:pPr>
              <w:spacing w:line="360" w:lineRule="auto"/>
              <w:jc w:val="both"/>
              <w:rPr>
                <w:rFonts w:ascii="Arial" w:eastAsia="Times New Roman" w:hAnsi="Arial" w:cs="Arial"/>
                <w:b/>
              </w:rPr>
            </w:pPr>
            <w:r w:rsidRPr="00830A6B">
              <w:rPr>
                <w:rFonts w:ascii="Arial" w:hAnsi="Arial" w:cs="Arial"/>
                <w:b/>
              </w:rPr>
              <w:t>Certificate of Higher Education Skills for the Workplace (Health &amp; Social Care)</w:t>
            </w:r>
          </w:p>
        </w:tc>
      </w:tr>
      <w:tr w:rsidR="00830A6B" w:rsidRPr="00830A6B" w14:paraId="4C7A5E91" w14:textId="77777777" w:rsidTr="00507D16">
        <w:trPr>
          <w:jc w:val="center"/>
        </w:trPr>
        <w:tc>
          <w:tcPr>
            <w:tcW w:w="0" w:type="auto"/>
            <w:hideMark/>
          </w:tcPr>
          <w:p w14:paraId="60F05CBD" w14:textId="77777777" w:rsidR="00830A6B" w:rsidRPr="00830A6B" w:rsidRDefault="00830A6B" w:rsidP="00830A6B">
            <w:pPr>
              <w:spacing w:line="360" w:lineRule="auto"/>
              <w:jc w:val="both"/>
              <w:rPr>
                <w:rFonts w:ascii="Arial" w:eastAsia="Times New Roman" w:hAnsi="Arial" w:cs="Arial"/>
              </w:rPr>
            </w:pPr>
            <w:r w:rsidRPr="00830A6B">
              <w:rPr>
                <w:rFonts w:ascii="Arial" w:eastAsia="Times New Roman" w:hAnsi="Arial" w:cs="Arial"/>
                <w:b/>
                <w:bCs/>
              </w:rPr>
              <w:t>Module Title:</w:t>
            </w:r>
          </w:p>
        </w:tc>
        <w:tc>
          <w:tcPr>
            <w:tcW w:w="5825" w:type="dxa"/>
            <w:hideMark/>
          </w:tcPr>
          <w:p w14:paraId="0022A757" w14:textId="77777777" w:rsidR="00830A6B" w:rsidRPr="00830A6B" w:rsidRDefault="00830A6B" w:rsidP="00830A6B">
            <w:pPr>
              <w:spacing w:line="360" w:lineRule="auto"/>
              <w:jc w:val="both"/>
              <w:rPr>
                <w:rFonts w:ascii="Arial" w:eastAsia="Times New Roman" w:hAnsi="Arial" w:cs="Arial"/>
                <w:b/>
              </w:rPr>
            </w:pPr>
            <w:r w:rsidRPr="00830A6B">
              <w:rPr>
                <w:rFonts w:ascii="Arial" w:hAnsi="Arial" w:cs="Arial"/>
                <w:b/>
              </w:rPr>
              <w:t>Introduction to Public Health</w:t>
            </w:r>
          </w:p>
        </w:tc>
      </w:tr>
      <w:tr w:rsidR="00830A6B" w:rsidRPr="00830A6B" w14:paraId="1A7CC96E" w14:textId="77777777" w:rsidTr="00507D16">
        <w:trPr>
          <w:jc w:val="center"/>
        </w:trPr>
        <w:tc>
          <w:tcPr>
            <w:tcW w:w="0" w:type="auto"/>
            <w:hideMark/>
          </w:tcPr>
          <w:p w14:paraId="0D8AAFBB" w14:textId="77777777" w:rsidR="00830A6B" w:rsidRPr="00830A6B" w:rsidRDefault="00830A6B" w:rsidP="00830A6B">
            <w:pPr>
              <w:spacing w:line="360" w:lineRule="auto"/>
              <w:jc w:val="both"/>
              <w:rPr>
                <w:rFonts w:ascii="Arial" w:eastAsia="Times New Roman" w:hAnsi="Arial" w:cs="Arial"/>
              </w:rPr>
            </w:pPr>
            <w:r w:rsidRPr="00830A6B">
              <w:rPr>
                <w:rFonts w:ascii="Arial" w:eastAsia="Times New Roman" w:hAnsi="Arial" w:cs="Arial"/>
                <w:b/>
                <w:bCs/>
              </w:rPr>
              <w:t>Module Code:</w:t>
            </w:r>
          </w:p>
        </w:tc>
        <w:tc>
          <w:tcPr>
            <w:tcW w:w="5825" w:type="dxa"/>
            <w:hideMark/>
          </w:tcPr>
          <w:p w14:paraId="1C844CA3" w14:textId="77777777" w:rsidR="00830A6B" w:rsidRPr="00830A6B" w:rsidRDefault="00830A6B" w:rsidP="00830A6B">
            <w:pPr>
              <w:spacing w:line="360" w:lineRule="auto"/>
              <w:jc w:val="both"/>
              <w:rPr>
                <w:rFonts w:ascii="Arial" w:eastAsia="Times New Roman" w:hAnsi="Arial" w:cs="Arial"/>
                <w:b/>
              </w:rPr>
            </w:pPr>
            <w:r w:rsidRPr="00830A6B">
              <w:rPr>
                <w:rFonts w:ascii="Arial" w:hAnsi="Arial" w:cs="Arial"/>
                <w:b/>
              </w:rPr>
              <w:t>LCHS4008</w:t>
            </w:r>
          </w:p>
        </w:tc>
      </w:tr>
      <w:tr w:rsidR="00830A6B" w:rsidRPr="00830A6B" w14:paraId="50977587" w14:textId="77777777" w:rsidTr="00507D16">
        <w:trPr>
          <w:jc w:val="center"/>
        </w:trPr>
        <w:tc>
          <w:tcPr>
            <w:tcW w:w="0" w:type="auto"/>
            <w:hideMark/>
          </w:tcPr>
          <w:p w14:paraId="40484DFD" w14:textId="77777777" w:rsidR="00830A6B" w:rsidRPr="00830A6B" w:rsidRDefault="00830A6B" w:rsidP="00830A6B">
            <w:pPr>
              <w:spacing w:line="360" w:lineRule="auto"/>
              <w:jc w:val="both"/>
              <w:rPr>
                <w:rFonts w:ascii="Arial" w:eastAsia="Times New Roman" w:hAnsi="Arial" w:cs="Arial"/>
              </w:rPr>
            </w:pPr>
            <w:r w:rsidRPr="00830A6B">
              <w:rPr>
                <w:rFonts w:ascii="Arial" w:eastAsia="Times New Roman" w:hAnsi="Arial" w:cs="Arial"/>
                <w:b/>
                <w:bCs/>
              </w:rPr>
              <w:t>Lecturer:</w:t>
            </w:r>
          </w:p>
        </w:tc>
        <w:tc>
          <w:tcPr>
            <w:tcW w:w="5825" w:type="dxa"/>
            <w:hideMark/>
          </w:tcPr>
          <w:p w14:paraId="30E4B243" w14:textId="77777777" w:rsidR="00830A6B" w:rsidRPr="00830A6B" w:rsidRDefault="00830A6B" w:rsidP="00830A6B">
            <w:pPr>
              <w:spacing w:line="360" w:lineRule="auto"/>
              <w:jc w:val="both"/>
              <w:rPr>
                <w:rFonts w:ascii="Arial" w:eastAsia="Times New Roman" w:hAnsi="Arial" w:cs="Arial"/>
              </w:rPr>
            </w:pPr>
          </w:p>
        </w:tc>
      </w:tr>
    </w:tbl>
    <w:p w14:paraId="5D8496EE"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429F0EF7"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6B0DDFC9"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0E4F1BDB"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0BEC6160"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066057ED"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3919CD7B"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2DECABDF"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6B8A48B9"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3314E2AF"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4349289E"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68A81574"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134BFE1A" w14:textId="77777777" w:rsidR="00830A6B" w:rsidRPr="00830A6B" w:rsidRDefault="00830A6B" w:rsidP="00830A6B">
      <w:pPr>
        <w:spacing w:before="100" w:beforeAutospacing="1" w:after="100" w:afterAutospacing="1" w:line="240" w:lineRule="auto"/>
        <w:outlineLvl w:val="1"/>
        <w:rPr>
          <w:rFonts w:ascii="Arial" w:eastAsia="Times New Roman" w:hAnsi="Arial" w:cs="Arial"/>
          <w:b/>
          <w:bCs/>
          <w:sz w:val="28"/>
          <w:szCs w:val="28"/>
        </w:rPr>
      </w:pPr>
      <w:r w:rsidRPr="00830A6B">
        <w:rPr>
          <w:rFonts w:ascii="Arial" w:eastAsia="Times New Roman" w:hAnsi="Arial" w:cs="Arial"/>
          <w:b/>
          <w:bCs/>
          <w:sz w:val="28"/>
          <w:szCs w:val="28"/>
        </w:rPr>
        <w:t>Table of Contents</w:t>
      </w:r>
    </w:p>
    <w:p w14:paraId="655FE1B1" w14:textId="77777777" w:rsidR="00830A6B" w:rsidRPr="00830A6B" w:rsidRDefault="00830A6B" w:rsidP="00830A6B">
      <w:pPr>
        <w:spacing w:before="100" w:beforeAutospacing="1" w:after="100" w:afterAutospacing="1" w:line="240" w:lineRule="auto"/>
        <w:rPr>
          <w:rFonts w:ascii="Arial" w:eastAsia="Times New Roman" w:hAnsi="Arial" w:cs="Arial"/>
          <w:sz w:val="28"/>
          <w:szCs w:val="28"/>
        </w:rPr>
      </w:pPr>
      <w:r w:rsidRPr="00830A6B">
        <w:rPr>
          <w:rFonts w:ascii="Arial" w:eastAsia="Times New Roman" w:hAnsi="Arial" w:cs="Arial"/>
          <w:b/>
          <w:bCs/>
          <w:sz w:val="28"/>
          <w:szCs w:val="28"/>
        </w:rPr>
        <w:t>1. Introduction</w:t>
      </w:r>
      <w:r w:rsidRPr="00830A6B">
        <w:rPr>
          <w:rFonts w:ascii="Arial" w:eastAsia="Times New Roman" w:hAnsi="Arial" w:cs="Arial"/>
          <w:sz w:val="28"/>
          <w:szCs w:val="28"/>
        </w:rPr>
        <w:t xml:space="preserve"> ........................</w:t>
      </w:r>
      <w:r>
        <w:rPr>
          <w:rFonts w:ascii="Arial" w:eastAsia="Times New Roman" w:hAnsi="Arial" w:cs="Arial"/>
          <w:sz w:val="28"/>
          <w:szCs w:val="28"/>
        </w:rPr>
        <w:t>.....................................</w:t>
      </w:r>
      <w:r w:rsidRPr="00830A6B">
        <w:rPr>
          <w:rFonts w:ascii="Arial" w:eastAsia="Times New Roman" w:hAnsi="Arial" w:cs="Arial"/>
          <w:sz w:val="28"/>
          <w:szCs w:val="28"/>
        </w:rPr>
        <w:t>.............................. 3</w:t>
      </w:r>
      <w:r w:rsidRPr="00830A6B">
        <w:rPr>
          <w:rFonts w:ascii="Arial" w:eastAsia="Times New Roman" w:hAnsi="Arial" w:cs="Arial"/>
          <w:sz w:val="28"/>
          <w:szCs w:val="28"/>
        </w:rPr>
        <w:br/>
      </w:r>
      <w:r w:rsidRPr="00830A6B">
        <w:rPr>
          <w:rFonts w:ascii="Arial" w:eastAsia="Times New Roman" w:hAnsi="Arial" w:cs="Arial"/>
          <w:b/>
          <w:bCs/>
          <w:sz w:val="28"/>
          <w:szCs w:val="28"/>
        </w:rPr>
        <w:t>2. Main Body</w:t>
      </w:r>
      <w:r w:rsidRPr="00830A6B">
        <w:rPr>
          <w:rFonts w:ascii="Arial" w:eastAsia="Times New Roman" w:hAnsi="Arial" w:cs="Arial"/>
          <w:sz w:val="28"/>
          <w:szCs w:val="28"/>
        </w:rPr>
        <w:t xml:space="preserve"> ...................................</w:t>
      </w:r>
      <w:r>
        <w:rPr>
          <w:rFonts w:ascii="Arial" w:eastAsia="Times New Roman" w:hAnsi="Arial" w:cs="Arial"/>
          <w:sz w:val="28"/>
          <w:szCs w:val="28"/>
        </w:rPr>
        <w:t>........................................................... 3</w:t>
      </w:r>
      <w:r w:rsidRPr="00830A6B">
        <w:rPr>
          <w:rFonts w:ascii="Arial" w:eastAsia="Times New Roman" w:hAnsi="Arial" w:cs="Arial"/>
          <w:sz w:val="28"/>
          <w:szCs w:val="28"/>
        </w:rPr>
        <w:br/>
      </w:r>
      <w:r w:rsidRPr="00830A6B">
        <w:rPr>
          <w:rFonts w:ascii="Arial" w:eastAsia="Times New Roman" w:hAnsi="Arial" w:cs="Arial"/>
          <w:sz w:val="28"/>
          <w:szCs w:val="28"/>
        </w:rPr>
        <w:t> </w:t>
      </w:r>
      <w:r w:rsidRPr="00830A6B">
        <w:rPr>
          <w:rFonts w:ascii="Arial" w:eastAsia="Times New Roman" w:hAnsi="Arial" w:cs="Arial"/>
          <w:sz w:val="28"/>
          <w:szCs w:val="28"/>
        </w:rPr>
        <w:t>2.1 Approaches Used to Measure and Monitor Stroke ........</w:t>
      </w:r>
      <w:r>
        <w:rPr>
          <w:rFonts w:ascii="Arial" w:eastAsia="Times New Roman" w:hAnsi="Arial" w:cs="Arial"/>
          <w:sz w:val="28"/>
          <w:szCs w:val="28"/>
        </w:rPr>
        <w:t>................... 3</w:t>
      </w:r>
      <w:r w:rsidRPr="00830A6B">
        <w:rPr>
          <w:rFonts w:ascii="Arial" w:eastAsia="Times New Roman" w:hAnsi="Arial" w:cs="Arial"/>
          <w:sz w:val="28"/>
          <w:szCs w:val="28"/>
        </w:rPr>
        <w:br/>
      </w:r>
      <w:r w:rsidRPr="00830A6B">
        <w:rPr>
          <w:rFonts w:ascii="Arial" w:eastAsia="Times New Roman" w:hAnsi="Arial" w:cs="Arial"/>
          <w:sz w:val="28"/>
          <w:szCs w:val="28"/>
        </w:rPr>
        <w:t> </w:t>
      </w:r>
      <w:r w:rsidRPr="00830A6B">
        <w:rPr>
          <w:rFonts w:ascii="Arial" w:eastAsia="Times New Roman" w:hAnsi="Arial" w:cs="Arial"/>
          <w:sz w:val="28"/>
          <w:szCs w:val="28"/>
        </w:rPr>
        <w:t>2.2 How Stroke is Controlled ....................................</w:t>
      </w:r>
      <w:r>
        <w:rPr>
          <w:rFonts w:ascii="Arial" w:eastAsia="Times New Roman" w:hAnsi="Arial" w:cs="Arial"/>
          <w:sz w:val="28"/>
          <w:szCs w:val="28"/>
        </w:rPr>
        <w:t>............................... 4</w:t>
      </w:r>
      <w:r w:rsidRPr="00830A6B">
        <w:rPr>
          <w:rFonts w:ascii="Arial" w:eastAsia="Times New Roman" w:hAnsi="Arial" w:cs="Arial"/>
          <w:sz w:val="28"/>
          <w:szCs w:val="28"/>
        </w:rPr>
        <w:br/>
      </w:r>
      <w:r w:rsidRPr="00830A6B">
        <w:rPr>
          <w:rFonts w:ascii="Arial" w:eastAsia="Times New Roman" w:hAnsi="Arial" w:cs="Arial"/>
          <w:sz w:val="28"/>
          <w:szCs w:val="28"/>
        </w:rPr>
        <w:t> </w:t>
      </w:r>
      <w:r w:rsidRPr="00830A6B">
        <w:rPr>
          <w:rFonts w:ascii="Arial" w:eastAsia="Times New Roman" w:hAnsi="Arial" w:cs="Arial"/>
          <w:sz w:val="28"/>
          <w:szCs w:val="28"/>
        </w:rPr>
        <w:t>2.3 Consequences of Stroke on People in the Community .....</w:t>
      </w:r>
      <w:r>
        <w:rPr>
          <w:rFonts w:ascii="Arial" w:eastAsia="Times New Roman" w:hAnsi="Arial" w:cs="Arial"/>
          <w:sz w:val="28"/>
          <w:szCs w:val="28"/>
        </w:rPr>
        <w:t>................ 5</w:t>
      </w:r>
      <w:r w:rsidRPr="00830A6B">
        <w:rPr>
          <w:rFonts w:ascii="Arial" w:eastAsia="Times New Roman" w:hAnsi="Arial" w:cs="Arial"/>
          <w:sz w:val="28"/>
          <w:szCs w:val="28"/>
        </w:rPr>
        <w:br/>
      </w:r>
      <w:r w:rsidRPr="00830A6B">
        <w:rPr>
          <w:rFonts w:ascii="Arial" w:eastAsia="Times New Roman" w:hAnsi="Arial" w:cs="Arial"/>
          <w:sz w:val="28"/>
          <w:szCs w:val="28"/>
        </w:rPr>
        <w:t> </w:t>
      </w:r>
      <w:r w:rsidRPr="00830A6B">
        <w:rPr>
          <w:rFonts w:ascii="Arial" w:eastAsia="Times New Roman" w:hAnsi="Arial" w:cs="Arial"/>
          <w:sz w:val="28"/>
          <w:szCs w:val="28"/>
        </w:rPr>
        <w:t>2.4 Health and Social Care Support Services ................</w:t>
      </w:r>
      <w:r>
        <w:rPr>
          <w:rFonts w:ascii="Arial" w:eastAsia="Times New Roman" w:hAnsi="Arial" w:cs="Arial"/>
          <w:sz w:val="28"/>
          <w:szCs w:val="28"/>
        </w:rPr>
        <w:t>......................... 6</w:t>
      </w:r>
      <w:r w:rsidRPr="00830A6B">
        <w:rPr>
          <w:rFonts w:ascii="Arial" w:eastAsia="Times New Roman" w:hAnsi="Arial" w:cs="Arial"/>
          <w:sz w:val="28"/>
          <w:szCs w:val="28"/>
        </w:rPr>
        <w:br/>
      </w:r>
      <w:r w:rsidRPr="00830A6B">
        <w:rPr>
          <w:rFonts w:ascii="Arial" w:eastAsia="Times New Roman" w:hAnsi="Arial" w:cs="Arial"/>
          <w:sz w:val="28"/>
          <w:szCs w:val="28"/>
        </w:rPr>
        <w:t> </w:t>
      </w:r>
      <w:r w:rsidRPr="00830A6B">
        <w:rPr>
          <w:rFonts w:ascii="Arial" w:eastAsia="Times New Roman" w:hAnsi="Arial" w:cs="Arial"/>
          <w:sz w:val="28"/>
          <w:szCs w:val="28"/>
        </w:rPr>
        <w:t>Table 1: Key Approaches and Interventions for Stroke .....</w:t>
      </w:r>
      <w:r>
        <w:rPr>
          <w:rFonts w:ascii="Arial" w:eastAsia="Times New Roman" w:hAnsi="Arial" w:cs="Arial"/>
          <w:sz w:val="28"/>
          <w:szCs w:val="28"/>
        </w:rPr>
        <w:t>...................... 7</w:t>
      </w:r>
      <w:r w:rsidRPr="00830A6B">
        <w:rPr>
          <w:rFonts w:ascii="Arial" w:eastAsia="Times New Roman" w:hAnsi="Arial" w:cs="Arial"/>
          <w:sz w:val="28"/>
          <w:szCs w:val="28"/>
        </w:rPr>
        <w:br/>
      </w:r>
      <w:r w:rsidRPr="00830A6B">
        <w:rPr>
          <w:rFonts w:ascii="Arial" w:eastAsia="Times New Roman" w:hAnsi="Arial" w:cs="Arial"/>
          <w:b/>
          <w:bCs/>
          <w:sz w:val="28"/>
          <w:szCs w:val="28"/>
        </w:rPr>
        <w:t>3. Conclusion</w:t>
      </w:r>
      <w:r w:rsidRPr="00830A6B">
        <w:rPr>
          <w:rFonts w:ascii="Arial" w:eastAsia="Times New Roman" w:hAnsi="Arial" w:cs="Arial"/>
          <w:sz w:val="28"/>
          <w:szCs w:val="28"/>
        </w:rPr>
        <w:t xml:space="preserve"> ..................................................</w:t>
      </w:r>
      <w:r>
        <w:rPr>
          <w:rFonts w:ascii="Arial" w:eastAsia="Times New Roman" w:hAnsi="Arial" w:cs="Arial"/>
          <w:sz w:val="28"/>
          <w:szCs w:val="28"/>
        </w:rPr>
        <w:t>.......................................... 8</w:t>
      </w:r>
      <w:r w:rsidRPr="00830A6B">
        <w:rPr>
          <w:rFonts w:ascii="Arial" w:eastAsia="Times New Roman" w:hAnsi="Arial" w:cs="Arial"/>
          <w:sz w:val="28"/>
          <w:szCs w:val="28"/>
        </w:rPr>
        <w:br/>
      </w:r>
      <w:r w:rsidRPr="00830A6B">
        <w:rPr>
          <w:rFonts w:ascii="Arial" w:eastAsia="Times New Roman" w:hAnsi="Arial" w:cs="Arial"/>
          <w:b/>
          <w:bCs/>
          <w:sz w:val="28"/>
          <w:szCs w:val="28"/>
        </w:rPr>
        <w:t>4. References</w:t>
      </w:r>
      <w:r w:rsidRPr="00830A6B">
        <w:rPr>
          <w:rFonts w:ascii="Arial" w:eastAsia="Times New Roman" w:hAnsi="Arial" w:cs="Arial"/>
          <w:sz w:val="28"/>
          <w:szCs w:val="28"/>
        </w:rPr>
        <w:t xml:space="preserve"> ...............................................</w:t>
      </w:r>
      <w:r>
        <w:rPr>
          <w:rFonts w:ascii="Arial" w:eastAsia="Times New Roman" w:hAnsi="Arial" w:cs="Arial"/>
          <w:sz w:val="28"/>
          <w:szCs w:val="28"/>
        </w:rPr>
        <w:t>............................................. 9</w:t>
      </w:r>
    </w:p>
    <w:p w14:paraId="2A62309F"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13F01E21"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7DC08DB5"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5F096205"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06025108"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21EB5302"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5BDC48EB"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2CE64D5E"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1A32DB81"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2C1B9ADD"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3A10D033"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32100C0B"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2CAAE1D5" w14:textId="77777777" w:rsidR="00455B38" w:rsidRDefault="00455B38" w:rsidP="00455B38">
      <w:pPr>
        <w:spacing w:before="100" w:beforeAutospacing="1" w:after="100" w:afterAutospacing="1" w:line="360" w:lineRule="auto"/>
        <w:jc w:val="both"/>
        <w:outlineLvl w:val="2"/>
        <w:rPr>
          <w:rFonts w:ascii="Arial" w:eastAsia="Times New Roman" w:hAnsi="Arial" w:cs="Arial"/>
          <w:b/>
          <w:bCs/>
        </w:rPr>
      </w:pPr>
    </w:p>
    <w:p w14:paraId="32A66812" w14:textId="77777777" w:rsidR="00455B38" w:rsidRPr="00455B38" w:rsidRDefault="00455B38" w:rsidP="00455B38">
      <w:pPr>
        <w:spacing w:before="100" w:beforeAutospacing="1" w:after="100" w:afterAutospacing="1" w:line="360" w:lineRule="auto"/>
        <w:jc w:val="both"/>
        <w:outlineLvl w:val="2"/>
        <w:rPr>
          <w:rFonts w:ascii="Arial" w:eastAsia="Times New Roman" w:hAnsi="Arial" w:cs="Arial"/>
          <w:b/>
          <w:bCs/>
        </w:rPr>
      </w:pPr>
      <w:r w:rsidRPr="00455B38">
        <w:rPr>
          <w:rFonts w:ascii="Arial" w:eastAsia="Times New Roman" w:hAnsi="Arial" w:cs="Arial"/>
          <w:b/>
          <w:bCs/>
        </w:rPr>
        <w:t xml:space="preserve">Introduction </w:t>
      </w:r>
    </w:p>
    <w:p w14:paraId="34F33D27" w14:textId="77777777" w:rsid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Stroke is a serious cerebrovascular condition </w:t>
      </w:r>
      <w:proofErr w:type="spellStart"/>
      <w:r w:rsidRPr="00455B38">
        <w:rPr>
          <w:rFonts w:ascii="Arial" w:eastAsia="Times New Roman" w:hAnsi="Arial" w:cs="Arial"/>
        </w:rPr>
        <w:t>characterised</w:t>
      </w:r>
      <w:proofErr w:type="spellEnd"/>
      <w:r w:rsidRPr="00455B38">
        <w:rPr>
          <w:rFonts w:ascii="Arial" w:eastAsia="Times New Roman" w:hAnsi="Arial" w:cs="Arial"/>
        </w:rPr>
        <w:t xml:space="preserve"> by the sudden interruption of blood supply to the brain, resulting in neurological deficit and potential long-term disability. It is broadly classified into </w:t>
      </w:r>
      <w:proofErr w:type="spellStart"/>
      <w:r w:rsidRPr="00455B38">
        <w:rPr>
          <w:rFonts w:ascii="Arial" w:eastAsia="Times New Roman" w:hAnsi="Arial" w:cs="Arial"/>
        </w:rPr>
        <w:t>ischaemic</w:t>
      </w:r>
      <w:proofErr w:type="spellEnd"/>
      <w:r w:rsidRPr="00455B38">
        <w:rPr>
          <w:rFonts w:ascii="Arial" w:eastAsia="Times New Roman" w:hAnsi="Arial" w:cs="Arial"/>
        </w:rPr>
        <w:t xml:space="preserve"> stroke, caused by arterial occlusion, and </w:t>
      </w:r>
      <w:proofErr w:type="spellStart"/>
      <w:r w:rsidRPr="00455B38">
        <w:rPr>
          <w:rFonts w:ascii="Arial" w:eastAsia="Times New Roman" w:hAnsi="Arial" w:cs="Arial"/>
        </w:rPr>
        <w:t>haemorrhagic</w:t>
      </w:r>
      <w:proofErr w:type="spellEnd"/>
      <w:r w:rsidRPr="00455B38">
        <w:rPr>
          <w:rFonts w:ascii="Arial" w:eastAsia="Times New Roman" w:hAnsi="Arial" w:cs="Arial"/>
        </w:rPr>
        <w:t xml:space="preserve"> stroke, resulting from intracranial bleeding (</w:t>
      </w:r>
      <w:proofErr w:type="spellStart"/>
      <w:r w:rsidRPr="00455B38">
        <w:rPr>
          <w:rFonts w:ascii="Arial" w:eastAsia="Times New Roman" w:hAnsi="Arial" w:cs="Arial"/>
        </w:rPr>
        <w:t>Kleindorfer</w:t>
      </w:r>
      <w:proofErr w:type="spellEnd"/>
      <w:r w:rsidRPr="00455B38">
        <w:rPr>
          <w:rFonts w:ascii="Arial" w:eastAsia="Times New Roman" w:hAnsi="Arial" w:cs="Arial"/>
        </w:rPr>
        <w:t xml:space="preserve"> et al., 2021). Common signs and symptoms include sudden facial drooping, arm weakness, speech difficulties, visual disturbance and loss of coordination, often </w:t>
      </w:r>
      <w:proofErr w:type="spellStart"/>
      <w:r w:rsidRPr="00455B38">
        <w:rPr>
          <w:rFonts w:ascii="Arial" w:eastAsia="Times New Roman" w:hAnsi="Arial" w:cs="Arial"/>
        </w:rPr>
        <w:t>recognised</w:t>
      </w:r>
      <w:proofErr w:type="spellEnd"/>
      <w:r w:rsidRPr="00455B38">
        <w:rPr>
          <w:rFonts w:ascii="Arial" w:eastAsia="Times New Roman" w:hAnsi="Arial" w:cs="Arial"/>
        </w:rPr>
        <w:t xml:space="preserve"> through the FAST (Face, Arm, Speech, Time) framework promoted in the United Kingdom. Globally, stroke remains a major public health concern, with approximately 12 million new cases reported annually and it is one of the leading causes of death and disability worldwide (</w:t>
      </w:r>
      <w:proofErr w:type="spellStart"/>
      <w:r w:rsidRPr="00455B38">
        <w:rPr>
          <w:rFonts w:ascii="Arial" w:eastAsia="Times New Roman" w:hAnsi="Arial" w:cs="Arial"/>
        </w:rPr>
        <w:t>Feigin</w:t>
      </w:r>
      <w:proofErr w:type="spellEnd"/>
      <w:r w:rsidRPr="00455B38">
        <w:rPr>
          <w:rFonts w:ascii="Arial" w:eastAsia="Times New Roman" w:hAnsi="Arial" w:cs="Arial"/>
        </w:rPr>
        <w:t xml:space="preserve"> et al., 2022). In the UK, around 100,000 people experience a stroke each year, with nearly one million individuals living with its long-term effects, demonstrating the substantial burden on health and social care services (Stroke Association, 2023).</w:t>
      </w:r>
    </w:p>
    <w:p w14:paraId="727DC700" w14:textId="77777777" w:rsid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noProof/>
        </w:rPr>
        <w:drawing>
          <wp:inline distT="0" distB="0" distL="0" distR="0" wp14:anchorId="231D12AF" wp14:editId="2D627F5E">
            <wp:extent cx="6121400" cy="2076450"/>
            <wp:effectExtent l="0" t="0" r="0" b="0"/>
            <wp:docPr id="1" name="Picture 1" descr="Signs and Symptoms of Stroke | Stroke | C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igns and Symptoms of Stroke | Stroke | CD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21400" cy="2076450"/>
                    </a:xfrm>
                    <a:prstGeom prst="rect">
                      <a:avLst/>
                    </a:prstGeom>
                    <a:noFill/>
                    <a:ln>
                      <a:noFill/>
                    </a:ln>
                  </pic:spPr>
                </pic:pic>
              </a:graphicData>
            </a:graphic>
          </wp:inline>
        </w:drawing>
      </w:r>
    </w:p>
    <w:p w14:paraId="5E482FED" w14:textId="77777777" w:rsidR="00455B38" w:rsidRPr="00455B38" w:rsidRDefault="00830A6B" w:rsidP="00455B38">
      <w:pPr>
        <w:spacing w:before="100" w:beforeAutospacing="1" w:after="100" w:afterAutospacing="1" w:line="360" w:lineRule="auto"/>
        <w:jc w:val="both"/>
        <w:rPr>
          <w:rFonts w:ascii="Arial" w:eastAsia="Times New Roman" w:hAnsi="Arial" w:cs="Arial"/>
          <w:b/>
        </w:rPr>
      </w:pPr>
      <w:r>
        <w:rPr>
          <w:rFonts w:ascii="Arial" w:eastAsia="Times New Roman" w:hAnsi="Arial" w:cs="Arial"/>
          <w:b/>
        </w:rPr>
        <w:t xml:space="preserve">                                                               </w:t>
      </w:r>
      <w:r w:rsidRPr="00830A6B">
        <w:rPr>
          <w:rFonts w:ascii="Arial" w:eastAsia="Times New Roman" w:hAnsi="Arial" w:cs="Arial"/>
          <w:b/>
        </w:rPr>
        <w:t>(</w:t>
      </w:r>
      <w:proofErr w:type="spellStart"/>
      <w:r w:rsidRPr="00830A6B">
        <w:rPr>
          <w:rFonts w:ascii="Arial" w:eastAsia="Times New Roman" w:hAnsi="Arial" w:cs="Arial"/>
          <w:b/>
        </w:rPr>
        <w:t>Espanol</w:t>
      </w:r>
      <w:proofErr w:type="spellEnd"/>
      <w:r w:rsidRPr="00830A6B">
        <w:rPr>
          <w:rFonts w:ascii="Arial" w:eastAsia="Times New Roman" w:hAnsi="Arial" w:cs="Arial"/>
          <w:b/>
        </w:rPr>
        <w:t>, 2024)</w:t>
      </w:r>
    </w:p>
    <w:p w14:paraId="12638AB7" w14:textId="77777777" w:rsidR="00455B38" w:rsidRPr="00455B38" w:rsidRDefault="00455B38" w:rsidP="00455B38">
      <w:pPr>
        <w:spacing w:before="100" w:beforeAutospacing="1" w:after="100" w:afterAutospacing="1" w:line="360" w:lineRule="auto"/>
        <w:jc w:val="both"/>
        <w:outlineLvl w:val="2"/>
        <w:rPr>
          <w:rFonts w:ascii="Arial" w:eastAsia="Times New Roman" w:hAnsi="Arial" w:cs="Arial"/>
          <w:b/>
          <w:bCs/>
        </w:rPr>
      </w:pPr>
      <w:r w:rsidRPr="00455B38">
        <w:rPr>
          <w:rFonts w:ascii="Arial" w:eastAsia="Times New Roman" w:hAnsi="Arial" w:cs="Arial"/>
          <w:b/>
          <w:bCs/>
        </w:rPr>
        <w:t>2.1 Approaches Used to Measure and Monitor Stroke</w:t>
      </w:r>
    </w:p>
    <w:p w14:paraId="0FCD4C60"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Effective measurement and monitoring of stroke are essential for improving clinical outcomes, guiding service planning and reducing population-level burden. In the UK, stroke surveillance operates at both individual clinical and national audit levels. One of the most significant monitoring systems is the Sentinel Stroke National Audit </w:t>
      </w:r>
      <w:proofErr w:type="spellStart"/>
      <w:r w:rsidRPr="00455B38">
        <w:rPr>
          <w:rFonts w:ascii="Arial" w:eastAsia="Times New Roman" w:hAnsi="Arial" w:cs="Arial"/>
        </w:rPr>
        <w:t>Programme</w:t>
      </w:r>
      <w:proofErr w:type="spellEnd"/>
      <w:r w:rsidRPr="00455B38">
        <w:rPr>
          <w:rFonts w:ascii="Arial" w:eastAsia="Times New Roman" w:hAnsi="Arial" w:cs="Arial"/>
        </w:rPr>
        <w:t xml:space="preserve"> (SSNAP), which collects comprehensive data on stroke care across England, Wales and Northern Ireland. SSNAP enables benchmarking of hospital performance, tracks treatment timelines such as thrombolysis delivery, and supports quality improvement initiatives (Intercollegiate Stroke Working Party, 2023).</w:t>
      </w:r>
    </w:p>
    <w:p w14:paraId="51F7B3B3"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At the clinical level, early diagnosis relies heavily on neuroimaging. Computed tomography (CT) scanning is the first-line investigation used to differentiate between </w:t>
      </w:r>
      <w:proofErr w:type="spellStart"/>
      <w:r w:rsidRPr="00455B38">
        <w:rPr>
          <w:rFonts w:ascii="Arial" w:eastAsia="Times New Roman" w:hAnsi="Arial" w:cs="Arial"/>
        </w:rPr>
        <w:t>ischaemic</w:t>
      </w:r>
      <w:proofErr w:type="spellEnd"/>
      <w:r w:rsidRPr="00455B38">
        <w:rPr>
          <w:rFonts w:ascii="Arial" w:eastAsia="Times New Roman" w:hAnsi="Arial" w:cs="Arial"/>
        </w:rPr>
        <w:t xml:space="preserve"> and </w:t>
      </w:r>
      <w:proofErr w:type="spellStart"/>
      <w:r w:rsidRPr="00455B38">
        <w:rPr>
          <w:rFonts w:ascii="Arial" w:eastAsia="Times New Roman" w:hAnsi="Arial" w:cs="Arial"/>
        </w:rPr>
        <w:t>haemorrhagic</w:t>
      </w:r>
      <w:proofErr w:type="spellEnd"/>
      <w:r w:rsidRPr="00455B38">
        <w:rPr>
          <w:rFonts w:ascii="Arial" w:eastAsia="Times New Roman" w:hAnsi="Arial" w:cs="Arial"/>
        </w:rPr>
        <w:t xml:space="preserve"> stroke, which is critical because treatment pathways differ significantly (</w:t>
      </w:r>
      <w:proofErr w:type="spellStart"/>
      <w:r w:rsidRPr="00455B38">
        <w:rPr>
          <w:rFonts w:ascii="Arial" w:eastAsia="Times New Roman" w:hAnsi="Arial" w:cs="Arial"/>
        </w:rPr>
        <w:t>Kleindorfer</w:t>
      </w:r>
      <w:proofErr w:type="spellEnd"/>
      <w:r w:rsidRPr="00455B38">
        <w:rPr>
          <w:rFonts w:ascii="Arial" w:eastAsia="Times New Roman" w:hAnsi="Arial" w:cs="Arial"/>
        </w:rPr>
        <w:t xml:space="preserve"> et al., 2021). Magnetic resonance imaging (MRI) provides more detailed </w:t>
      </w:r>
      <w:proofErr w:type="spellStart"/>
      <w:r w:rsidRPr="00455B38">
        <w:rPr>
          <w:rFonts w:ascii="Arial" w:eastAsia="Times New Roman" w:hAnsi="Arial" w:cs="Arial"/>
        </w:rPr>
        <w:t>visualisation</w:t>
      </w:r>
      <w:proofErr w:type="spellEnd"/>
      <w:r w:rsidRPr="00455B38">
        <w:rPr>
          <w:rFonts w:ascii="Arial" w:eastAsia="Times New Roman" w:hAnsi="Arial" w:cs="Arial"/>
        </w:rPr>
        <w:t xml:space="preserve"> of brain tissue and is particularly useful in detecting small infarcts and transient </w:t>
      </w:r>
      <w:proofErr w:type="spellStart"/>
      <w:r w:rsidRPr="00455B38">
        <w:rPr>
          <w:rFonts w:ascii="Arial" w:eastAsia="Times New Roman" w:hAnsi="Arial" w:cs="Arial"/>
        </w:rPr>
        <w:t>ischaemic</w:t>
      </w:r>
      <w:proofErr w:type="spellEnd"/>
      <w:r w:rsidRPr="00455B38">
        <w:rPr>
          <w:rFonts w:ascii="Arial" w:eastAsia="Times New Roman" w:hAnsi="Arial" w:cs="Arial"/>
        </w:rPr>
        <w:t xml:space="preserve"> attacks. These imaging modalities form the cornerstone of acute stroke assessment in UK stroke units.</w:t>
      </w:r>
    </w:p>
    <w:p w14:paraId="26B5B60B"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proofErr w:type="spellStart"/>
      <w:r w:rsidRPr="00455B38">
        <w:rPr>
          <w:rFonts w:ascii="Arial" w:eastAsia="Times New Roman" w:hAnsi="Arial" w:cs="Arial"/>
        </w:rPr>
        <w:t>Standardised</w:t>
      </w:r>
      <w:proofErr w:type="spellEnd"/>
      <w:r w:rsidRPr="00455B38">
        <w:rPr>
          <w:rFonts w:ascii="Arial" w:eastAsia="Times New Roman" w:hAnsi="Arial" w:cs="Arial"/>
        </w:rPr>
        <w:t xml:space="preserve"> clinical scoring systems are also widely used to monitor stroke severity and progression. The National Institutes of Health Stroke Scale (NIHSS) is commonly applied to quantify neurological impairment and predict outcomes. Regular reassessment using such tools supports clinical decision-making and rehabilitation planning (</w:t>
      </w:r>
      <w:proofErr w:type="spellStart"/>
      <w:r w:rsidRPr="00455B38">
        <w:rPr>
          <w:rFonts w:ascii="Arial" w:eastAsia="Times New Roman" w:hAnsi="Arial" w:cs="Arial"/>
        </w:rPr>
        <w:t>Winstein</w:t>
      </w:r>
      <w:proofErr w:type="spellEnd"/>
      <w:r w:rsidRPr="00455B38">
        <w:rPr>
          <w:rFonts w:ascii="Arial" w:eastAsia="Times New Roman" w:hAnsi="Arial" w:cs="Arial"/>
        </w:rPr>
        <w:t xml:space="preserve"> et al., 2021). In addition, electronic health records and primary care databases contribute to population monitoring by identifying trends in incidence, mortality and risk factors.</w:t>
      </w:r>
    </w:p>
    <w:p w14:paraId="24157992"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Public health surveillance further strengthens monitoring. Global estimates from the World Stroke Organization indicate that stroke continues to impose a substantial burden worldwide, with rising incidence linked to ageing populations and persistent vascular risk factors (</w:t>
      </w:r>
      <w:proofErr w:type="spellStart"/>
      <w:r w:rsidRPr="00455B38">
        <w:rPr>
          <w:rFonts w:ascii="Arial" w:eastAsia="Times New Roman" w:hAnsi="Arial" w:cs="Arial"/>
        </w:rPr>
        <w:t>Feigin</w:t>
      </w:r>
      <w:proofErr w:type="spellEnd"/>
      <w:r w:rsidRPr="00455B38">
        <w:rPr>
          <w:rFonts w:ascii="Arial" w:eastAsia="Times New Roman" w:hAnsi="Arial" w:cs="Arial"/>
        </w:rPr>
        <w:t xml:space="preserve"> et al., 2022). In the UK context, SSNAP data and Stroke Association reports provide ongoing evaluation of service effectiveness and patient outcomes. However, disparities in access to rapid imaging and specialist stroke units remain a challenge in some regions, highlighting the need for continued investment in equitable monitoring systems.</w:t>
      </w:r>
    </w:p>
    <w:p w14:paraId="66E5AB01" w14:textId="77777777" w:rsidR="00455B38" w:rsidRPr="00455B38" w:rsidRDefault="00455B38" w:rsidP="00455B38">
      <w:pPr>
        <w:spacing w:before="100" w:beforeAutospacing="1" w:after="100" w:afterAutospacing="1" w:line="360" w:lineRule="auto"/>
        <w:jc w:val="both"/>
        <w:outlineLvl w:val="2"/>
        <w:rPr>
          <w:rFonts w:ascii="Arial" w:eastAsia="Times New Roman" w:hAnsi="Arial" w:cs="Arial"/>
          <w:b/>
          <w:bCs/>
        </w:rPr>
      </w:pPr>
      <w:r w:rsidRPr="00455B38">
        <w:rPr>
          <w:rFonts w:ascii="Arial" w:eastAsia="Times New Roman" w:hAnsi="Arial" w:cs="Arial"/>
          <w:b/>
          <w:bCs/>
        </w:rPr>
        <w:t>2.2 How Stroke is Controlled</w:t>
      </w:r>
    </w:p>
    <w:p w14:paraId="13DE44D2"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Control of stroke involves a multi-layered strategy encompassing primary prevention, secondary prevention and acute clinical management. Primary prevention focuses on reducing modifiable risk factors such as hypertension, smoking, diabetes, obesity and physical inactivity. Hypertension is the most significant modifiable risk factor, and effective blood pressure control has been shown to substantially reduce stroke incidence (</w:t>
      </w:r>
      <w:proofErr w:type="spellStart"/>
      <w:r w:rsidRPr="00455B38">
        <w:rPr>
          <w:rFonts w:ascii="Arial" w:eastAsia="Times New Roman" w:hAnsi="Arial" w:cs="Arial"/>
        </w:rPr>
        <w:t>Kleindorfer</w:t>
      </w:r>
      <w:proofErr w:type="spellEnd"/>
      <w:r w:rsidRPr="00455B38">
        <w:rPr>
          <w:rFonts w:ascii="Arial" w:eastAsia="Times New Roman" w:hAnsi="Arial" w:cs="Arial"/>
        </w:rPr>
        <w:t xml:space="preserve"> et al., 2021). Public health campaigns in the UK promote healthy lifestyles, including smoking cessation, improved diet and increased physical activity.</w:t>
      </w:r>
    </w:p>
    <w:p w14:paraId="5102DEA4"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Secondary prevention targets individuals who have already experienced a stroke or transient </w:t>
      </w:r>
      <w:proofErr w:type="spellStart"/>
      <w:r w:rsidRPr="00455B38">
        <w:rPr>
          <w:rFonts w:ascii="Arial" w:eastAsia="Times New Roman" w:hAnsi="Arial" w:cs="Arial"/>
        </w:rPr>
        <w:t>ischaemic</w:t>
      </w:r>
      <w:proofErr w:type="spellEnd"/>
      <w:r w:rsidRPr="00455B38">
        <w:rPr>
          <w:rFonts w:ascii="Arial" w:eastAsia="Times New Roman" w:hAnsi="Arial" w:cs="Arial"/>
        </w:rPr>
        <w:t xml:space="preserve"> attack (TIA). Pharmacological interventions play a key role, including antiplatelet therapy, anticoagulation for atrial fibrillation, statins for lipid control and antihypertensive medications. NICE guidelines </w:t>
      </w:r>
      <w:proofErr w:type="spellStart"/>
      <w:r w:rsidRPr="00455B38">
        <w:rPr>
          <w:rFonts w:ascii="Arial" w:eastAsia="Times New Roman" w:hAnsi="Arial" w:cs="Arial"/>
        </w:rPr>
        <w:t>emphasise</w:t>
      </w:r>
      <w:proofErr w:type="spellEnd"/>
      <w:r w:rsidRPr="00455B38">
        <w:rPr>
          <w:rFonts w:ascii="Arial" w:eastAsia="Times New Roman" w:hAnsi="Arial" w:cs="Arial"/>
        </w:rPr>
        <w:t xml:space="preserve"> </w:t>
      </w:r>
      <w:proofErr w:type="spellStart"/>
      <w:r w:rsidRPr="00455B38">
        <w:rPr>
          <w:rFonts w:ascii="Arial" w:eastAsia="Times New Roman" w:hAnsi="Arial" w:cs="Arial"/>
        </w:rPr>
        <w:t>personalised</w:t>
      </w:r>
      <w:proofErr w:type="spellEnd"/>
      <w:r w:rsidRPr="00455B38">
        <w:rPr>
          <w:rFonts w:ascii="Arial" w:eastAsia="Times New Roman" w:hAnsi="Arial" w:cs="Arial"/>
        </w:rPr>
        <w:t xml:space="preserve"> risk management and regular follow-up in primary care to prevent recurrence (NICE, 2023). Evidence suggests that comprehensive secondary prevention can significantly reduce the risk of recurrent stroke and associated mortality.</w:t>
      </w:r>
    </w:p>
    <w:p w14:paraId="762415D0"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Acute stroke management is another critical component of disease control. Rapid recognition and emergency response are promoted in the UK through the FAST campaign, which encourages early hospital presentation. For eligible patients with </w:t>
      </w:r>
      <w:proofErr w:type="spellStart"/>
      <w:r w:rsidRPr="00455B38">
        <w:rPr>
          <w:rFonts w:ascii="Arial" w:eastAsia="Times New Roman" w:hAnsi="Arial" w:cs="Arial"/>
        </w:rPr>
        <w:t>ischaemic</w:t>
      </w:r>
      <w:proofErr w:type="spellEnd"/>
      <w:r w:rsidRPr="00455B38">
        <w:rPr>
          <w:rFonts w:ascii="Arial" w:eastAsia="Times New Roman" w:hAnsi="Arial" w:cs="Arial"/>
        </w:rPr>
        <w:t xml:space="preserve"> stroke, intravenous thrombolysis and mechanical </w:t>
      </w:r>
      <w:proofErr w:type="spellStart"/>
      <w:r w:rsidRPr="00455B38">
        <w:rPr>
          <w:rFonts w:ascii="Arial" w:eastAsia="Times New Roman" w:hAnsi="Arial" w:cs="Arial"/>
        </w:rPr>
        <w:t>thrombectomy</w:t>
      </w:r>
      <w:proofErr w:type="spellEnd"/>
      <w:r w:rsidRPr="00455B38">
        <w:rPr>
          <w:rFonts w:ascii="Arial" w:eastAsia="Times New Roman" w:hAnsi="Arial" w:cs="Arial"/>
        </w:rPr>
        <w:t xml:space="preserve"> can restore cerebral blood flow and improve functional outcomes when delivered within strict time windows (</w:t>
      </w:r>
      <w:proofErr w:type="spellStart"/>
      <w:r w:rsidRPr="00455B38">
        <w:rPr>
          <w:rFonts w:ascii="Arial" w:eastAsia="Times New Roman" w:hAnsi="Arial" w:cs="Arial"/>
        </w:rPr>
        <w:t>Kleindorfer</w:t>
      </w:r>
      <w:proofErr w:type="spellEnd"/>
      <w:r w:rsidRPr="00455B38">
        <w:rPr>
          <w:rFonts w:ascii="Arial" w:eastAsia="Times New Roman" w:hAnsi="Arial" w:cs="Arial"/>
        </w:rPr>
        <w:t xml:space="preserve"> et al., 2021). The expansion of hyper-acute stroke units across England has improved access to these time-sensitive treatments.</w:t>
      </w:r>
    </w:p>
    <w:p w14:paraId="6165BD67"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Long-term control also includes structured rehabilitation and risk-factor modification. Multidisciplinary stroke units have been shown to reduce mortality and dependency compared with general medical wards (Langhorne and Ramachandra, 2020). Despite these advances, challenges remain, including delays in hospital arrival, regional variation in </w:t>
      </w:r>
      <w:proofErr w:type="spellStart"/>
      <w:r w:rsidRPr="00455B38">
        <w:rPr>
          <w:rFonts w:ascii="Arial" w:eastAsia="Times New Roman" w:hAnsi="Arial" w:cs="Arial"/>
        </w:rPr>
        <w:t>thrombectomy</w:t>
      </w:r>
      <w:proofErr w:type="spellEnd"/>
      <w:r w:rsidRPr="00455B38">
        <w:rPr>
          <w:rFonts w:ascii="Arial" w:eastAsia="Times New Roman" w:hAnsi="Arial" w:cs="Arial"/>
        </w:rPr>
        <w:t xml:space="preserve"> access and ongoing inequalities linked to socioeconomic status. Strengthening prevention strategies and ensuring consistent implementation of national guidelines remain priorities for UK health policy.</w:t>
      </w:r>
    </w:p>
    <w:p w14:paraId="17200764" w14:textId="77777777" w:rsidR="00455B38" w:rsidRPr="00455B38" w:rsidRDefault="00455B38" w:rsidP="00455B38">
      <w:pPr>
        <w:spacing w:before="100" w:beforeAutospacing="1" w:after="100" w:afterAutospacing="1" w:line="360" w:lineRule="auto"/>
        <w:jc w:val="both"/>
        <w:outlineLvl w:val="2"/>
        <w:rPr>
          <w:rFonts w:ascii="Arial" w:eastAsia="Times New Roman" w:hAnsi="Arial" w:cs="Arial"/>
          <w:b/>
          <w:bCs/>
        </w:rPr>
      </w:pPr>
      <w:r w:rsidRPr="00455B38">
        <w:rPr>
          <w:rFonts w:ascii="Arial" w:eastAsia="Times New Roman" w:hAnsi="Arial" w:cs="Arial"/>
          <w:b/>
          <w:bCs/>
        </w:rPr>
        <w:t>2.3 Consequences of Stroke on People in the Community</w:t>
      </w:r>
    </w:p>
    <w:p w14:paraId="42C83B2E"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Stroke has profound and often lifelong consequences for individuals, families and communities. Physically, many survivors experience hemiparesis, mobility limitations, dysphagia and chronic pain, which significantly reduce independence in activities of daily living. Cognitive impairment and post-stroke dementia are also common, affecting memory, attention and executive functioning (</w:t>
      </w:r>
      <w:proofErr w:type="spellStart"/>
      <w:r w:rsidRPr="00455B38">
        <w:rPr>
          <w:rFonts w:ascii="Arial" w:eastAsia="Times New Roman" w:hAnsi="Arial" w:cs="Arial"/>
        </w:rPr>
        <w:t>Winstein</w:t>
      </w:r>
      <w:proofErr w:type="spellEnd"/>
      <w:r w:rsidRPr="00455B38">
        <w:rPr>
          <w:rFonts w:ascii="Arial" w:eastAsia="Times New Roman" w:hAnsi="Arial" w:cs="Arial"/>
        </w:rPr>
        <w:t xml:space="preserve"> et al., 2021). These impairments frequently require long-term rehabilitation and support.</w:t>
      </w:r>
    </w:p>
    <w:p w14:paraId="169321DD"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Psychological consequences are equally significant. Depression and anxiety affect a substantial proportion of stroke survivors and are associated with poorer recovery outcomes and reduced quality of life. Social isolation may develop due to communication difficulties, particularly in individuals with aphasia. These challenges highlight the importance of holistic post-stroke care that addresses both physical and emotional needs.</w:t>
      </w:r>
    </w:p>
    <w:p w14:paraId="2586E012"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The impact extends beyond the individual to family members and informal </w:t>
      </w:r>
      <w:proofErr w:type="spellStart"/>
      <w:r w:rsidRPr="00455B38">
        <w:rPr>
          <w:rFonts w:ascii="Arial" w:eastAsia="Times New Roman" w:hAnsi="Arial" w:cs="Arial"/>
        </w:rPr>
        <w:t>carers</w:t>
      </w:r>
      <w:proofErr w:type="spellEnd"/>
      <w:r w:rsidRPr="00455B38">
        <w:rPr>
          <w:rFonts w:ascii="Arial" w:eastAsia="Times New Roman" w:hAnsi="Arial" w:cs="Arial"/>
        </w:rPr>
        <w:t xml:space="preserve">. Many </w:t>
      </w:r>
      <w:proofErr w:type="spellStart"/>
      <w:r w:rsidRPr="00455B38">
        <w:rPr>
          <w:rFonts w:ascii="Arial" w:eastAsia="Times New Roman" w:hAnsi="Arial" w:cs="Arial"/>
        </w:rPr>
        <w:t>carers</w:t>
      </w:r>
      <w:proofErr w:type="spellEnd"/>
      <w:r w:rsidRPr="00455B38">
        <w:rPr>
          <w:rFonts w:ascii="Arial" w:eastAsia="Times New Roman" w:hAnsi="Arial" w:cs="Arial"/>
        </w:rPr>
        <w:t xml:space="preserve"> experience emotional stress, financial strain and reduced employment opportunities as they assume caregiving responsibilities. The Stroke Association (2023) reports that unpaid </w:t>
      </w:r>
      <w:proofErr w:type="spellStart"/>
      <w:r w:rsidRPr="00455B38">
        <w:rPr>
          <w:rFonts w:ascii="Arial" w:eastAsia="Times New Roman" w:hAnsi="Arial" w:cs="Arial"/>
        </w:rPr>
        <w:t>carers</w:t>
      </w:r>
      <w:proofErr w:type="spellEnd"/>
      <w:r w:rsidRPr="00455B38">
        <w:rPr>
          <w:rFonts w:ascii="Arial" w:eastAsia="Times New Roman" w:hAnsi="Arial" w:cs="Arial"/>
        </w:rPr>
        <w:t xml:space="preserve"> provide a large proportion of long-term support in the UK, often with limited formal assistance. Caregiver burden is </w:t>
      </w:r>
      <w:proofErr w:type="spellStart"/>
      <w:r w:rsidRPr="00455B38">
        <w:rPr>
          <w:rFonts w:ascii="Arial" w:eastAsia="Times New Roman" w:hAnsi="Arial" w:cs="Arial"/>
        </w:rPr>
        <w:t>recognised</w:t>
      </w:r>
      <w:proofErr w:type="spellEnd"/>
      <w:r w:rsidRPr="00455B38">
        <w:rPr>
          <w:rFonts w:ascii="Arial" w:eastAsia="Times New Roman" w:hAnsi="Arial" w:cs="Arial"/>
        </w:rPr>
        <w:t xml:space="preserve"> as a major public health concern linked to chronic conditions such as stroke.</w:t>
      </w:r>
    </w:p>
    <w:p w14:paraId="424EE2A3"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From a societal perspective, stroke imposes substantial economic costs. These include acute hospital care, rehabilitation services, long-term social care and productivity losses. Patel et al. (2020) estimate that stroke generates significant financial pressure on the UK health and social care system, particularly due to long-term disability needs. Furthermore, health inequalities persist, with higher stroke incidence and poorer outcomes observed in deprived populations.</w:t>
      </w:r>
    </w:p>
    <w:p w14:paraId="675967B8"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Community services also face increasing demand as the UK population ages and survival rates improve. While advances in acute care have reduced mortality, more people are living with stroke-related disability, creating sustained pressure on community rehabilitation and social care provision. Addressing these consequences requires coordinated, person-centred and adequately resourced services.</w:t>
      </w:r>
    </w:p>
    <w:p w14:paraId="6BECFC3F" w14:textId="77777777" w:rsidR="00455B38" w:rsidRPr="00455B38" w:rsidRDefault="00455B38" w:rsidP="00455B38">
      <w:pPr>
        <w:spacing w:before="100" w:beforeAutospacing="1" w:after="100" w:afterAutospacing="1" w:line="360" w:lineRule="auto"/>
        <w:jc w:val="both"/>
        <w:outlineLvl w:val="2"/>
        <w:rPr>
          <w:rFonts w:ascii="Arial" w:eastAsia="Times New Roman" w:hAnsi="Arial" w:cs="Arial"/>
          <w:b/>
          <w:bCs/>
        </w:rPr>
      </w:pPr>
      <w:r w:rsidRPr="00455B38">
        <w:rPr>
          <w:rFonts w:ascii="Arial" w:eastAsia="Times New Roman" w:hAnsi="Arial" w:cs="Arial"/>
          <w:b/>
          <w:bCs/>
        </w:rPr>
        <w:t>2.4 Health and Social Care Support Services Required in the Community</w:t>
      </w:r>
    </w:p>
    <w:p w14:paraId="7D95E722"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Meeting the complex needs of people affected by stroke requires an integrated, multidisciplinary approach across health and social care systems. In the UK, specialist stroke units form the foundation of acute care, providing coordinated medical management, early rehabilitation and discharge planning. Evidence demonstrates that </w:t>
      </w:r>
      <w:proofErr w:type="spellStart"/>
      <w:r w:rsidRPr="00455B38">
        <w:rPr>
          <w:rFonts w:ascii="Arial" w:eastAsia="Times New Roman" w:hAnsi="Arial" w:cs="Arial"/>
        </w:rPr>
        <w:t>organised</w:t>
      </w:r>
      <w:proofErr w:type="spellEnd"/>
      <w:r w:rsidRPr="00455B38">
        <w:rPr>
          <w:rFonts w:ascii="Arial" w:eastAsia="Times New Roman" w:hAnsi="Arial" w:cs="Arial"/>
        </w:rPr>
        <w:t xml:space="preserve"> stroke unit care significantly improves survival and functional outcomes (Langhorne and Ramachandra, 2020).</w:t>
      </w:r>
    </w:p>
    <w:p w14:paraId="7AD0F2EB"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Following hospital discharge, community rehabilitation services play a critical role. These typically include physiotherapy, occupational therapy and speech and language therapy delivered through Early Supported Discharge (ESD) teams. ESD </w:t>
      </w:r>
      <w:proofErr w:type="spellStart"/>
      <w:r w:rsidRPr="00455B38">
        <w:rPr>
          <w:rFonts w:ascii="Arial" w:eastAsia="Times New Roman" w:hAnsi="Arial" w:cs="Arial"/>
        </w:rPr>
        <w:t>programmes</w:t>
      </w:r>
      <w:proofErr w:type="spellEnd"/>
      <w:r w:rsidRPr="00455B38">
        <w:rPr>
          <w:rFonts w:ascii="Arial" w:eastAsia="Times New Roman" w:hAnsi="Arial" w:cs="Arial"/>
        </w:rPr>
        <w:t xml:space="preserve"> enable patients to continue rehabilitation at home while maintaining clinical oversight, and they have been shown to reduce hospital length of stay without compromising recovery (</w:t>
      </w:r>
      <w:proofErr w:type="spellStart"/>
      <w:r w:rsidRPr="00455B38">
        <w:rPr>
          <w:rFonts w:ascii="Arial" w:eastAsia="Times New Roman" w:hAnsi="Arial" w:cs="Arial"/>
        </w:rPr>
        <w:t>Winstein</w:t>
      </w:r>
      <w:proofErr w:type="spellEnd"/>
      <w:r w:rsidRPr="00455B38">
        <w:rPr>
          <w:rFonts w:ascii="Arial" w:eastAsia="Times New Roman" w:hAnsi="Arial" w:cs="Arial"/>
        </w:rPr>
        <w:t xml:space="preserve"> et al., 2021).</w:t>
      </w:r>
    </w:p>
    <w:p w14:paraId="3D040D0B"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Primary care services are central to long-term management. General practitioners monitor risk factors, manage medications and coordinate referrals to specialist services. Regular reviews help prevent recurrent stroke and address emerging complications. NICE (2023) </w:t>
      </w:r>
      <w:proofErr w:type="spellStart"/>
      <w:r w:rsidRPr="00455B38">
        <w:rPr>
          <w:rFonts w:ascii="Arial" w:eastAsia="Times New Roman" w:hAnsi="Arial" w:cs="Arial"/>
        </w:rPr>
        <w:t>emphasises</w:t>
      </w:r>
      <w:proofErr w:type="spellEnd"/>
      <w:r w:rsidRPr="00455B38">
        <w:rPr>
          <w:rFonts w:ascii="Arial" w:eastAsia="Times New Roman" w:hAnsi="Arial" w:cs="Arial"/>
        </w:rPr>
        <w:t xml:space="preserve"> the importance of </w:t>
      </w:r>
      <w:proofErr w:type="spellStart"/>
      <w:r w:rsidRPr="00455B38">
        <w:rPr>
          <w:rFonts w:ascii="Arial" w:eastAsia="Times New Roman" w:hAnsi="Arial" w:cs="Arial"/>
        </w:rPr>
        <w:t>personalised</w:t>
      </w:r>
      <w:proofErr w:type="spellEnd"/>
      <w:r w:rsidRPr="00455B38">
        <w:rPr>
          <w:rFonts w:ascii="Arial" w:eastAsia="Times New Roman" w:hAnsi="Arial" w:cs="Arial"/>
        </w:rPr>
        <w:t xml:space="preserve"> care planning and continuity of care within primary care settings.</w:t>
      </w:r>
    </w:p>
    <w:p w14:paraId="5F753995"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Social care support is equally essential, particularly for individuals with significant disability. Services may include domiciliary care, home adaptations, assistive technology and respite care for families. Local authorities assess eligibility and coordinate support packages aimed at maintaining independence and quality of life. However, access to social care in the UK remains variable, and unmet need persists in some communities.</w:t>
      </w:r>
    </w:p>
    <w:p w14:paraId="2F2EFA1F"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Voluntary sector </w:t>
      </w:r>
      <w:proofErr w:type="spellStart"/>
      <w:r w:rsidRPr="00455B38">
        <w:rPr>
          <w:rFonts w:ascii="Arial" w:eastAsia="Times New Roman" w:hAnsi="Arial" w:cs="Arial"/>
        </w:rPr>
        <w:t>organisations</w:t>
      </w:r>
      <w:proofErr w:type="spellEnd"/>
      <w:r w:rsidRPr="00455B38">
        <w:rPr>
          <w:rFonts w:ascii="Arial" w:eastAsia="Times New Roman" w:hAnsi="Arial" w:cs="Arial"/>
        </w:rPr>
        <w:t xml:space="preserve"> provide valuable complementary support. The Stroke Association offers information, peer support groups, emotional counselling and community reintegration </w:t>
      </w:r>
      <w:proofErr w:type="spellStart"/>
      <w:r w:rsidRPr="00455B38">
        <w:rPr>
          <w:rFonts w:ascii="Arial" w:eastAsia="Times New Roman" w:hAnsi="Arial" w:cs="Arial"/>
        </w:rPr>
        <w:t>programmes</w:t>
      </w:r>
      <w:proofErr w:type="spellEnd"/>
      <w:r w:rsidRPr="00455B38">
        <w:rPr>
          <w:rFonts w:ascii="Arial" w:eastAsia="Times New Roman" w:hAnsi="Arial" w:cs="Arial"/>
        </w:rPr>
        <w:t>. Such services help reduce social isolation and support self-management among stroke survivors (Stroke Association, 2023). Integrated Care Systems (ICSs) in England aim to improve coordination between NHS services, local authorities and voluntary providers, though implementation is still evolving.</w:t>
      </w:r>
    </w:p>
    <w:p w14:paraId="383E4DCE"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 xml:space="preserve">Despite progress, workforce shortages, regional disparities and funding pressures continue to challenge service delivery. Future priorities include expanding community rehabilitation capacity, improving equitable access to </w:t>
      </w:r>
      <w:proofErr w:type="spellStart"/>
      <w:r w:rsidRPr="00455B38">
        <w:rPr>
          <w:rFonts w:ascii="Arial" w:eastAsia="Times New Roman" w:hAnsi="Arial" w:cs="Arial"/>
        </w:rPr>
        <w:t>thrombectomy</w:t>
      </w:r>
      <w:proofErr w:type="spellEnd"/>
      <w:r w:rsidRPr="00455B38">
        <w:rPr>
          <w:rFonts w:ascii="Arial" w:eastAsia="Times New Roman" w:hAnsi="Arial" w:cs="Arial"/>
        </w:rPr>
        <w:t xml:space="preserve"> services and strengthening support for informal </w:t>
      </w:r>
      <w:proofErr w:type="spellStart"/>
      <w:r w:rsidRPr="00455B38">
        <w:rPr>
          <w:rFonts w:ascii="Arial" w:eastAsia="Times New Roman" w:hAnsi="Arial" w:cs="Arial"/>
        </w:rPr>
        <w:t>carers</w:t>
      </w:r>
      <w:proofErr w:type="spellEnd"/>
      <w:r w:rsidRPr="00455B38">
        <w:rPr>
          <w:rFonts w:ascii="Arial" w:eastAsia="Times New Roman" w:hAnsi="Arial" w:cs="Arial"/>
        </w:rPr>
        <w:t>. A whole-system, person-centred approach is essential to meet the growing needs of the UK stroke population.</w:t>
      </w:r>
    </w:p>
    <w:p w14:paraId="493BA9CF" w14:textId="77777777" w:rsidR="00455B38" w:rsidRPr="00455B38" w:rsidRDefault="00455B38" w:rsidP="00455B38">
      <w:pPr>
        <w:spacing w:before="100" w:beforeAutospacing="1" w:after="100" w:afterAutospacing="1" w:line="240" w:lineRule="auto"/>
        <w:jc w:val="both"/>
        <w:outlineLvl w:val="2"/>
        <w:rPr>
          <w:rFonts w:ascii="Arial" w:eastAsia="Times New Roman" w:hAnsi="Arial" w:cs="Arial"/>
          <w:b/>
          <w:bCs/>
        </w:rPr>
      </w:pPr>
      <w:r w:rsidRPr="00455B38">
        <w:rPr>
          <w:rFonts w:ascii="Arial" w:eastAsia="Times New Roman" w:hAnsi="Arial" w:cs="Arial"/>
          <w:b/>
          <w:bCs/>
        </w:rPr>
        <w:t>Table 1: Key Approaches and Interventions for Stroke in the UK</w:t>
      </w:r>
    </w:p>
    <w:tbl>
      <w:tblPr>
        <w:tblStyle w:val="PlainTable4"/>
        <w:tblW w:w="0" w:type="auto"/>
        <w:tblLook w:val="04A0" w:firstRow="1" w:lastRow="0" w:firstColumn="1" w:lastColumn="0" w:noHBand="0" w:noVBand="1"/>
      </w:tblPr>
      <w:tblGrid>
        <w:gridCol w:w="3355"/>
        <w:gridCol w:w="3219"/>
        <w:gridCol w:w="2786"/>
      </w:tblGrid>
      <w:tr w:rsidR="00455B38" w:rsidRPr="00455B38" w14:paraId="7AB4A230" w14:textId="77777777" w:rsidTr="00455B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EE391A" w14:textId="77777777" w:rsidR="00455B38" w:rsidRPr="00455B38" w:rsidRDefault="00455B38" w:rsidP="00455B38">
            <w:pPr>
              <w:jc w:val="both"/>
              <w:rPr>
                <w:rFonts w:ascii="Arial" w:eastAsia="Times New Roman" w:hAnsi="Arial" w:cs="Arial"/>
              </w:rPr>
            </w:pPr>
            <w:r w:rsidRPr="00455B38">
              <w:rPr>
                <w:rFonts w:ascii="Arial" w:eastAsia="Times New Roman" w:hAnsi="Arial" w:cs="Arial"/>
              </w:rPr>
              <w:t xml:space="preserve">Approach </w:t>
            </w:r>
          </w:p>
        </w:tc>
        <w:tc>
          <w:tcPr>
            <w:tcW w:w="0" w:type="auto"/>
            <w:hideMark/>
          </w:tcPr>
          <w:p w14:paraId="1E115830" w14:textId="77777777" w:rsidR="00455B38" w:rsidRPr="00455B38" w:rsidRDefault="00455B38" w:rsidP="00455B3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455B38">
              <w:rPr>
                <w:rFonts w:ascii="Arial" w:eastAsia="Times New Roman" w:hAnsi="Arial" w:cs="Arial"/>
              </w:rPr>
              <w:t xml:space="preserve">Purpose </w:t>
            </w:r>
          </w:p>
        </w:tc>
        <w:tc>
          <w:tcPr>
            <w:tcW w:w="0" w:type="auto"/>
            <w:hideMark/>
          </w:tcPr>
          <w:p w14:paraId="1A70F6B1" w14:textId="77777777" w:rsidR="00455B38" w:rsidRPr="00455B38" w:rsidRDefault="00455B38" w:rsidP="00455B38">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455B38">
              <w:rPr>
                <w:rFonts w:ascii="Arial" w:eastAsia="Times New Roman" w:hAnsi="Arial" w:cs="Arial"/>
              </w:rPr>
              <w:t>References</w:t>
            </w:r>
          </w:p>
        </w:tc>
      </w:tr>
      <w:tr w:rsidR="00455B38" w:rsidRPr="00455B38" w14:paraId="02D38339" w14:textId="77777777" w:rsidTr="00455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BF0CFC" w14:textId="77777777" w:rsidR="00455B38" w:rsidRPr="00455B38" w:rsidRDefault="00455B38" w:rsidP="00455B38">
            <w:pPr>
              <w:jc w:val="both"/>
              <w:rPr>
                <w:rFonts w:ascii="Arial" w:eastAsia="Times New Roman" w:hAnsi="Arial" w:cs="Arial"/>
              </w:rPr>
            </w:pPr>
            <w:r w:rsidRPr="00455B38">
              <w:rPr>
                <w:rFonts w:ascii="Arial" w:eastAsia="Times New Roman" w:hAnsi="Arial" w:cs="Arial"/>
              </w:rPr>
              <w:t>SSNAP (National Audit)</w:t>
            </w:r>
          </w:p>
        </w:tc>
        <w:tc>
          <w:tcPr>
            <w:tcW w:w="0" w:type="auto"/>
            <w:hideMark/>
          </w:tcPr>
          <w:p w14:paraId="02622200" w14:textId="77777777" w:rsidR="00455B38" w:rsidRPr="00455B38" w:rsidRDefault="00455B38" w:rsidP="00455B38">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55B38">
              <w:rPr>
                <w:rFonts w:ascii="Arial" w:eastAsia="Times New Roman" w:hAnsi="Arial" w:cs="Arial"/>
              </w:rPr>
              <w:t>Monitors stroke care quality and hospital performance</w:t>
            </w:r>
          </w:p>
        </w:tc>
        <w:tc>
          <w:tcPr>
            <w:tcW w:w="0" w:type="auto"/>
            <w:hideMark/>
          </w:tcPr>
          <w:p w14:paraId="09BF169F" w14:textId="77777777" w:rsidR="00455B38" w:rsidRPr="00455B38" w:rsidRDefault="00455B38" w:rsidP="00455B38">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55B38">
              <w:rPr>
                <w:rFonts w:ascii="Arial" w:eastAsia="Times New Roman" w:hAnsi="Arial" w:cs="Arial"/>
              </w:rPr>
              <w:t>Intercollegiate Stroke Working Party, 2023</w:t>
            </w:r>
          </w:p>
        </w:tc>
      </w:tr>
      <w:tr w:rsidR="00455B38" w:rsidRPr="00455B38" w14:paraId="7C55AA17" w14:textId="77777777" w:rsidTr="00455B38">
        <w:tc>
          <w:tcPr>
            <w:cnfStyle w:val="001000000000" w:firstRow="0" w:lastRow="0" w:firstColumn="1" w:lastColumn="0" w:oddVBand="0" w:evenVBand="0" w:oddHBand="0" w:evenHBand="0" w:firstRowFirstColumn="0" w:firstRowLastColumn="0" w:lastRowFirstColumn="0" w:lastRowLastColumn="0"/>
            <w:tcW w:w="0" w:type="auto"/>
            <w:hideMark/>
          </w:tcPr>
          <w:p w14:paraId="075DC152" w14:textId="77777777" w:rsidR="00455B38" w:rsidRPr="00455B38" w:rsidRDefault="00455B38" w:rsidP="00455B38">
            <w:pPr>
              <w:jc w:val="both"/>
              <w:rPr>
                <w:rFonts w:ascii="Arial" w:eastAsia="Times New Roman" w:hAnsi="Arial" w:cs="Arial"/>
              </w:rPr>
            </w:pPr>
            <w:r w:rsidRPr="00455B38">
              <w:rPr>
                <w:rFonts w:ascii="Arial" w:eastAsia="Times New Roman" w:hAnsi="Arial" w:cs="Arial"/>
              </w:rPr>
              <w:t>Cognitive &amp; Neurological Assessment</w:t>
            </w:r>
          </w:p>
        </w:tc>
        <w:tc>
          <w:tcPr>
            <w:tcW w:w="0" w:type="auto"/>
            <w:hideMark/>
          </w:tcPr>
          <w:p w14:paraId="32CE2409" w14:textId="77777777" w:rsidR="00455B38" w:rsidRPr="00455B38" w:rsidRDefault="00455B38" w:rsidP="00455B3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455B38">
              <w:rPr>
                <w:rFonts w:ascii="Arial" w:eastAsia="Times New Roman" w:hAnsi="Arial" w:cs="Arial"/>
              </w:rPr>
              <w:t>Quantifies stroke severity, guides rehabilitation</w:t>
            </w:r>
          </w:p>
        </w:tc>
        <w:tc>
          <w:tcPr>
            <w:tcW w:w="0" w:type="auto"/>
            <w:hideMark/>
          </w:tcPr>
          <w:p w14:paraId="29494E82" w14:textId="77777777" w:rsidR="00455B38" w:rsidRPr="00455B38" w:rsidRDefault="00455B38" w:rsidP="00455B3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roofErr w:type="spellStart"/>
            <w:r w:rsidRPr="00455B38">
              <w:rPr>
                <w:rFonts w:ascii="Arial" w:eastAsia="Times New Roman" w:hAnsi="Arial" w:cs="Arial"/>
              </w:rPr>
              <w:t>Winstein</w:t>
            </w:r>
            <w:proofErr w:type="spellEnd"/>
            <w:r w:rsidRPr="00455B38">
              <w:rPr>
                <w:rFonts w:ascii="Arial" w:eastAsia="Times New Roman" w:hAnsi="Arial" w:cs="Arial"/>
              </w:rPr>
              <w:t xml:space="preserve"> et al., 2021</w:t>
            </w:r>
          </w:p>
        </w:tc>
      </w:tr>
      <w:tr w:rsidR="00455B38" w:rsidRPr="00455B38" w14:paraId="34D7288B" w14:textId="77777777" w:rsidTr="00455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6B1E87" w14:textId="77777777" w:rsidR="00455B38" w:rsidRPr="00455B38" w:rsidRDefault="00455B38" w:rsidP="00455B38">
            <w:pPr>
              <w:jc w:val="both"/>
              <w:rPr>
                <w:rFonts w:ascii="Arial" w:eastAsia="Times New Roman" w:hAnsi="Arial" w:cs="Arial"/>
              </w:rPr>
            </w:pPr>
            <w:r w:rsidRPr="00455B38">
              <w:rPr>
                <w:rFonts w:ascii="Arial" w:eastAsia="Times New Roman" w:hAnsi="Arial" w:cs="Arial"/>
              </w:rPr>
              <w:t>Neuroimaging (CT/MRI)</w:t>
            </w:r>
          </w:p>
        </w:tc>
        <w:tc>
          <w:tcPr>
            <w:tcW w:w="0" w:type="auto"/>
            <w:hideMark/>
          </w:tcPr>
          <w:p w14:paraId="117F09B9" w14:textId="77777777" w:rsidR="00455B38" w:rsidRPr="00455B38" w:rsidRDefault="00455B38" w:rsidP="00455B38">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55B38">
              <w:rPr>
                <w:rFonts w:ascii="Arial" w:eastAsia="Times New Roman" w:hAnsi="Arial" w:cs="Arial"/>
              </w:rPr>
              <w:t xml:space="preserve">Differentiates </w:t>
            </w:r>
            <w:proofErr w:type="spellStart"/>
            <w:r w:rsidRPr="00455B38">
              <w:rPr>
                <w:rFonts w:ascii="Arial" w:eastAsia="Times New Roman" w:hAnsi="Arial" w:cs="Arial"/>
              </w:rPr>
              <w:t>ischaemic</w:t>
            </w:r>
            <w:proofErr w:type="spellEnd"/>
            <w:r w:rsidRPr="00455B38">
              <w:rPr>
                <w:rFonts w:ascii="Arial" w:eastAsia="Times New Roman" w:hAnsi="Arial" w:cs="Arial"/>
              </w:rPr>
              <w:t xml:space="preserve"> vs </w:t>
            </w:r>
            <w:proofErr w:type="spellStart"/>
            <w:r w:rsidRPr="00455B38">
              <w:rPr>
                <w:rFonts w:ascii="Arial" w:eastAsia="Times New Roman" w:hAnsi="Arial" w:cs="Arial"/>
              </w:rPr>
              <w:t>haemorrhagic</w:t>
            </w:r>
            <w:proofErr w:type="spellEnd"/>
            <w:r w:rsidRPr="00455B38">
              <w:rPr>
                <w:rFonts w:ascii="Arial" w:eastAsia="Times New Roman" w:hAnsi="Arial" w:cs="Arial"/>
              </w:rPr>
              <w:t xml:space="preserve"> stroke</w:t>
            </w:r>
          </w:p>
        </w:tc>
        <w:tc>
          <w:tcPr>
            <w:tcW w:w="0" w:type="auto"/>
            <w:hideMark/>
          </w:tcPr>
          <w:p w14:paraId="51A4A83E" w14:textId="77777777" w:rsidR="00455B38" w:rsidRPr="00455B38" w:rsidRDefault="00455B38" w:rsidP="00455B38">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455B38">
              <w:rPr>
                <w:rFonts w:ascii="Arial" w:eastAsia="Times New Roman" w:hAnsi="Arial" w:cs="Arial"/>
              </w:rPr>
              <w:t>Kleindorfer</w:t>
            </w:r>
            <w:proofErr w:type="spellEnd"/>
            <w:r w:rsidRPr="00455B38">
              <w:rPr>
                <w:rFonts w:ascii="Arial" w:eastAsia="Times New Roman" w:hAnsi="Arial" w:cs="Arial"/>
              </w:rPr>
              <w:t xml:space="preserve"> et al., 2021</w:t>
            </w:r>
          </w:p>
        </w:tc>
      </w:tr>
      <w:tr w:rsidR="00455B38" w:rsidRPr="00455B38" w14:paraId="76EE09CD" w14:textId="77777777" w:rsidTr="00455B38">
        <w:tc>
          <w:tcPr>
            <w:cnfStyle w:val="001000000000" w:firstRow="0" w:lastRow="0" w:firstColumn="1" w:lastColumn="0" w:oddVBand="0" w:evenVBand="0" w:oddHBand="0" w:evenHBand="0" w:firstRowFirstColumn="0" w:firstRowLastColumn="0" w:lastRowFirstColumn="0" w:lastRowLastColumn="0"/>
            <w:tcW w:w="0" w:type="auto"/>
            <w:hideMark/>
          </w:tcPr>
          <w:p w14:paraId="3D3B240E" w14:textId="77777777" w:rsidR="00455B38" w:rsidRPr="00455B38" w:rsidRDefault="00455B38" w:rsidP="00455B38">
            <w:pPr>
              <w:jc w:val="both"/>
              <w:rPr>
                <w:rFonts w:ascii="Arial" w:eastAsia="Times New Roman" w:hAnsi="Arial" w:cs="Arial"/>
              </w:rPr>
            </w:pPr>
            <w:r w:rsidRPr="00455B38">
              <w:rPr>
                <w:rFonts w:ascii="Arial" w:eastAsia="Times New Roman" w:hAnsi="Arial" w:cs="Arial"/>
              </w:rPr>
              <w:t>Primary Prevention (BP control, lifestyle)</w:t>
            </w:r>
          </w:p>
        </w:tc>
        <w:tc>
          <w:tcPr>
            <w:tcW w:w="0" w:type="auto"/>
            <w:hideMark/>
          </w:tcPr>
          <w:p w14:paraId="20E2F279" w14:textId="77777777" w:rsidR="00455B38" w:rsidRPr="00455B38" w:rsidRDefault="00455B38" w:rsidP="00455B3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455B38">
              <w:rPr>
                <w:rFonts w:ascii="Arial" w:eastAsia="Times New Roman" w:hAnsi="Arial" w:cs="Arial"/>
              </w:rPr>
              <w:t>Reduces risk of first stroke</w:t>
            </w:r>
          </w:p>
        </w:tc>
        <w:tc>
          <w:tcPr>
            <w:tcW w:w="0" w:type="auto"/>
            <w:hideMark/>
          </w:tcPr>
          <w:p w14:paraId="3D7CC713" w14:textId="77777777" w:rsidR="00455B38" w:rsidRPr="00455B38" w:rsidRDefault="00455B38" w:rsidP="00455B3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roofErr w:type="spellStart"/>
            <w:r w:rsidRPr="00455B38">
              <w:rPr>
                <w:rFonts w:ascii="Arial" w:eastAsia="Times New Roman" w:hAnsi="Arial" w:cs="Arial"/>
              </w:rPr>
              <w:t>Kleindorfer</w:t>
            </w:r>
            <w:proofErr w:type="spellEnd"/>
            <w:r w:rsidRPr="00455B38">
              <w:rPr>
                <w:rFonts w:ascii="Arial" w:eastAsia="Times New Roman" w:hAnsi="Arial" w:cs="Arial"/>
              </w:rPr>
              <w:t xml:space="preserve"> et al., 2021</w:t>
            </w:r>
          </w:p>
        </w:tc>
      </w:tr>
      <w:tr w:rsidR="00455B38" w:rsidRPr="00455B38" w14:paraId="79E5C51C" w14:textId="77777777" w:rsidTr="00455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FAFEE0" w14:textId="77777777" w:rsidR="00455B38" w:rsidRPr="00455B38" w:rsidRDefault="00455B38" w:rsidP="00455B38">
            <w:pPr>
              <w:jc w:val="both"/>
              <w:rPr>
                <w:rFonts w:ascii="Arial" w:eastAsia="Times New Roman" w:hAnsi="Arial" w:cs="Arial"/>
              </w:rPr>
            </w:pPr>
            <w:r w:rsidRPr="00455B38">
              <w:rPr>
                <w:rFonts w:ascii="Arial" w:eastAsia="Times New Roman" w:hAnsi="Arial" w:cs="Arial"/>
              </w:rPr>
              <w:t xml:space="preserve">Acute Management (thrombolysis, </w:t>
            </w:r>
            <w:proofErr w:type="spellStart"/>
            <w:r w:rsidRPr="00455B38">
              <w:rPr>
                <w:rFonts w:ascii="Arial" w:eastAsia="Times New Roman" w:hAnsi="Arial" w:cs="Arial"/>
              </w:rPr>
              <w:t>thrombectomy</w:t>
            </w:r>
            <w:proofErr w:type="spellEnd"/>
            <w:r w:rsidRPr="00455B38">
              <w:rPr>
                <w:rFonts w:ascii="Arial" w:eastAsia="Times New Roman" w:hAnsi="Arial" w:cs="Arial"/>
              </w:rPr>
              <w:t>)</w:t>
            </w:r>
          </w:p>
        </w:tc>
        <w:tc>
          <w:tcPr>
            <w:tcW w:w="0" w:type="auto"/>
            <w:hideMark/>
          </w:tcPr>
          <w:p w14:paraId="4C10A586" w14:textId="77777777" w:rsidR="00455B38" w:rsidRPr="00455B38" w:rsidRDefault="00455B38" w:rsidP="00455B38">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55B38">
              <w:rPr>
                <w:rFonts w:ascii="Arial" w:eastAsia="Times New Roman" w:hAnsi="Arial" w:cs="Arial"/>
              </w:rPr>
              <w:t>Restores blood flow and improves outcomes</w:t>
            </w:r>
          </w:p>
        </w:tc>
        <w:tc>
          <w:tcPr>
            <w:tcW w:w="0" w:type="auto"/>
            <w:hideMark/>
          </w:tcPr>
          <w:p w14:paraId="35AAF0D4" w14:textId="77777777" w:rsidR="00455B38" w:rsidRPr="00455B38" w:rsidRDefault="00455B38" w:rsidP="00455B38">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455B38">
              <w:rPr>
                <w:rFonts w:ascii="Arial" w:eastAsia="Times New Roman" w:hAnsi="Arial" w:cs="Arial"/>
              </w:rPr>
              <w:t>Kleindorfer</w:t>
            </w:r>
            <w:proofErr w:type="spellEnd"/>
            <w:r w:rsidRPr="00455B38">
              <w:rPr>
                <w:rFonts w:ascii="Arial" w:eastAsia="Times New Roman" w:hAnsi="Arial" w:cs="Arial"/>
              </w:rPr>
              <w:t xml:space="preserve"> et al., 2021</w:t>
            </w:r>
          </w:p>
        </w:tc>
      </w:tr>
      <w:tr w:rsidR="00455B38" w:rsidRPr="00455B38" w14:paraId="0E61CE65" w14:textId="77777777" w:rsidTr="00455B38">
        <w:tc>
          <w:tcPr>
            <w:cnfStyle w:val="001000000000" w:firstRow="0" w:lastRow="0" w:firstColumn="1" w:lastColumn="0" w:oddVBand="0" w:evenVBand="0" w:oddHBand="0" w:evenHBand="0" w:firstRowFirstColumn="0" w:firstRowLastColumn="0" w:lastRowFirstColumn="0" w:lastRowLastColumn="0"/>
            <w:tcW w:w="0" w:type="auto"/>
            <w:hideMark/>
          </w:tcPr>
          <w:p w14:paraId="7EC7CA0A" w14:textId="77777777" w:rsidR="00455B38" w:rsidRPr="00455B38" w:rsidRDefault="00455B38" w:rsidP="00455B38">
            <w:pPr>
              <w:jc w:val="both"/>
              <w:rPr>
                <w:rFonts w:ascii="Arial" w:eastAsia="Times New Roman" w:hAnsi="Arial" w:cs="Arial"/>
              </w:rPr>
            </w:pPr>
            <w:r w:rsidRPr="00455B38">
              <w:rPr>
                <w:rFonts w:ascii="Arial" w:eastAsia="Times New Roman" w:hAnsi="Arial" w:cs="Arial"/>
              </w:rPr>
              <w:t>Community Rehabilitation (</w:t>
            </w:r>
            <w:proofErr w:type="spellStart"/>
            <w:r w:rsidRPr="00455B38">
              <w:rPr>
                <w:rFonts w:ascii="Arial" w:eastAsia="Times New Roman" w:hAnsi="Arial" w:cs="Arial"/>
              </w:rPr>
              <w:t>physio</w:t>
            </w:r>
            <w:proofErr w:type="spellEnd"/>
            <w:r w:rsidRPr="00455B38">
              <w:rPr>
                <w:rFonts w:ascii="Arial" w:eastAsia="Times New Roman" w:hAnsi="Arial" w:cs="Arial"/>
              </w:rPr>
              <w:t>, OT, SLT)</w:t>
            </w:r>
          </w:p>
        </w:tc>
        <w:tc>
          <w:tcPr>
            <w:tcW w:w="0" w:type="auto"/>
            <w:hideMark/>
          </w:tcPr>
          <w:p w14:paraId="519EE009" w14:textId="77777777" w:rsidR="00455B38" w:rsidRPr="00455B38" w:rsidRDefault="00455B38" w:rsidP="00455B3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455B38">
              <w:rPr>
                <w:rFonts w:ascii="Arial" w:eastAsia="Times New Roman" w:hAnsi="Arial" w:cs="Arial"/>
              </w:rPr>
              <w:t>Enhances recovery and independence post-stroke</w:t>
            </w:r>
          </w:p>
        </w:tc>
        <w:tc>
          <w:tcPr>
            <w:tcW w:w="0" w:type="auto"/>
            <w:hideMark/>
          </w:tcPr>
          <w:p w14:paraId="5705A397" w14:textId="77777777" w:rsidR="00455B38" w:rsidRPr="00455B38" w:rsidRDefault="00455B38" w:rsidP="00455B38">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455B38">
              <w:rPr>
                <w:rFonts w:ascii="Arial" w:eastAsia="Times New Roman" w:hAnsi="Arial" w:cs="Arial"/>
              </w:rPr>
              <w:t>Langhorne and Ramachandra, 2020</w:t>
            </w:r>
          </w:p>
        </w:tc>
      </w:tr>
      <w:tr w:rsidR="00455B38" w:rsidRPr="00455B38" w14:paraId="56773558" w14:textId="77777777" w:rsidTr="00455B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37B9CE" w14:textId="77777777" w:rsidR="00455B38" w:rsidRPr="00455B38" w:rsidRDefault="00455B38" w:rsidP="00455B38">
            <w:pPr>
              <w:jc w:val="both"/>
              <w:rPr>
                <w:rFonts w:ascii="Arial" w:eastAsia="Times New Roman" w:hAnsi="Arial" w:cs="Arial"/>
              </w:rPr>
            </w:pPr>
            <w:r w:rsidRPr="00455B38">
              <w:rPr>
                <w:rFonts w:ascii="Arial" w:eastAsia="Times New Roman" w:hAnsi="Arial" w:cs="Arial"/>
              </w:rPr>
              <w:t>Voluntary / Social Support</w:t>
            </w:r>
          </w:p>
        </w:tc>
        <w:tc>
          <w:tcPr>
            <w:tcW w:w="0" w:type="auto"/>
            <w:hideMark/>
          </w:tcPr>
          <w:p w14:paraId="49DFE7C1" w14:textId="77777777" w:rsidR="00455B38" w:rsidRPr="00455B38" w:rsidRDefault="00455B38" w:rsidP="00455B38">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55B38">
              <w:rPr>
                <w:rFonts w:ascii="Arial" w:eastAsia="Times New Roman" w:hAnsi="Arial" w:cs="Arial"/>
              </w:rPr>
              <w:t xml:space="preserve">Reduces isolation, supports </w:t>
            </w:r>
            <w:proofErr w:type="spellStart"/>
            <w:r w:rsidRPr="00455B38">
              <w:rPr>
                <w:rFonts w:ascii="Arial" w:eastAsia="Times New Roman" w:hAnsi="Arial" w:cs="Arial"/>
              </w:rPr>
              <w:t>carers</w:t>
            </w:r>
            <w:proofErr w:type="spellEnd"/>
          </w:p>
        </w:tc>
        <w:tc>
          <w:tcPr>
            <w:tcW w:w="0" w:type="auto"/>
            <w:hideMark/>
          </w:tcPr>
          <w:p w14:paraId="2DCAC1BD" w14:textId="77777777" w:rsidR="00455B38" w:rsidRPr="00455B38" w:rsidRDefault="00455B38" w:rsidP="00455B38">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455B38">
              <w:rPr>
                <w:rFonts w:ascii="Arial" w:eastAsia="Times New Roman" w:hAnsi="Arial" w:cs="Arial"/>
              </w:rPr>
              <w:t>Stroke Association, 2023</w:t>
            </w:r>
          </w:p>
        </w:tc>
      </w:tr>
    </w:tbl>
    <w:p w14:paraId="364647F6" w14:textId="77777777" w:rsidR="00455B38" w:rsidRPr="00455B38" w:rsidRDefault="00455B38" w:rsidP="00455B38">
      <w:pPr>
        <w:tabs>
          <w:tab w:val="left" w:pos="3190"/>
          <w:tab w:val="left" w:pos="8310"/>
        </w:tabs>
        <w:jc w:val="both"/>
        <w:rPr>
          <w:rFonts w:ascii="Arial" w:hAnsi="Arial" w:cs="Arial"/>
        </w:rPr>
      </w:pPr>
      <w:r w:rsidRPr="00455B38">
        <w:rPr>
          <w:rFonts w:ascii="Arial" w:hAnsi="Arial" w:cs="Arial"/>
        </w:rPr>
        <w:tab/>
      </w:r>
      <w:r w:rsidRPr="00455B38">
        <w:rPr>
          <w:rFonts w:ascii="Arial" w:hAnsi="Arial" w:cs="Arial"/>
        </w:rPr>
        <w:tab/>
      </w:r>
    </w:p>
    <w:p w14:paraId="41437DC9" w14:textId="77777777" w:rsidR="00830A6B" w:rsidRDefault="00830A6B" w:rsidP="00455B38">
      <w:pPr>
        <w:spacing w:before="100" w:beforeAutospacing="1" w:after="100" w:afterAutospacing="1" w:line="360" w:lineRule="auto"/>
        <w:jc w:val="both"/>
        <w:outlineLvl w:val="2"/>
        <w:rPr>
          <w:rFonts w:ascii="Arial" w:eastAsia="Times New Roman" w:hAnsi="Arial" w:cs="Arial"/>
          <w:b/>
          <w:bCs/>
        </w:rPr>
      </w:pPr>
    </w:p>
    <w:p w14:paraId="553D648E" w14:textId="77777777" w:rsidR="00830A6B" w:rsidRDefault="00830A6B" w:rsidP="00455B38">
      <w:pPr>
        <w:spacing w:before="100" w:beforeAutospacing="1" w:after="100" w:afterAutospacing="1" w:line="360" w:lineRule="auto"/>
        <w:jc w:val="both"/>
        <w:outlineLvl w:val="2"/>
        <w:rPr>
          <w:rFonts w:ascii="Arial" w:eastAsia="Times New Roman" w:hAnsi="Arial" w:cs="Arial"/>
          <w:b/>
          <w:bCs/>
        </w:rPr>
      </w:pPr>
    </w:p>
    <w:p w14:paraId="2F4781F0" w14:textId="77777777" w:rsidR="00455B38" w:rsidRPr="00455B38" w:rsidRDefault="00455B38" w:rsidP="00455B38">
      <w:pPr>
        <w:spacing w:before="100" w:beforeAutospacing="1" w:after="100" w:afterAutospacing="1" w:line="360" w:lineRule="auto"/>
        <w:jc w:val="both"/>
        <w:outlineLvl w:val="2"/>
        <w:rPr>
          <w:rFonts w:ascii="Arial" w:eastAsia="Times New Roman" w:hAnsi="Arial" w:cs="Arial"/>
          <w:b/>
          <w:bCs/>
        </w:rPr>
      </w:pPr>
      <w:r w:rsidRPr="00455B38">
        <w:rPr>
          <w:rFonts w:ascii="Arial" w:eastAsia="Times New Roman" w:hAnsi="Arial" w:cs="Arial"/>
          <w:b/>
          <w:bCs/>
        </w:rPr>
        <w:t xml:space="preserve">Conclusion </w:t>
      </w:r>
    </w:p>
    <w:p w14:paraId="6550B2AC" w14:textId="77777777" w:rsidR="00455B38" w:rsidRPr="00455B38" w:rsidRDefault="00455B38" w:rsidP="00455B38">
      <w:pPr>
        <w:spacing w:before="100" w:beforeAutospacing="1" w:after="100" w:afterAutospacing="1" w:line="360" w:lineRule="auto"/>
        <w:jc w:val="both"/>
        <w:rPr>
          <w:rFonts w:ascii="Arial" w:eastAsia="Times New Roman" w:hAnsi="Arial" w:cs="Arial"/>
        </w:rPr>
      </w:pPr>
      <w:r w:rsidRPr="00455B38">
        <w:rPr>
          <w:rFonts w:ascii="Arial" w:eastAsia="Times New Roman" w:hAnsi="Arial" w:cs="Arial"/>
        </w:rPr>
        <w:t>Stroke is a leading cause of death and long-term disability worldwide and represents a significant public health challenge in the UK. The condition’s sudden onset, varied severity, and potential for long-lasting physical, cognitive, and psychological consequences underline the importance of rapid diagnosis, effective acute management, and coordinated rehabilitation (</w:t>
      </w:r>
      <w:proofErr w:type="spellStart"/>
      <w:r w:rsidRPr="00455B38">
        <w:rPr>
          <w:rFonts w:ascii="Arial" w:eastAsia="Times New Roman" w:hAnsi="Arial" w:cs="Arial"/>
        </w:rPr>
        <w:t>Feigin</w:t>
      </w:r>
      <w:proofErr w:type="spellEnd"/>
      <w:r w:rsidRPr="00455B38">
        <w:rPr>
          <w:rFonts w:ascii="Arial" w:eastAsia="Times New Roman" w:hAnsi="Arial" w:cs="Arial"/>
        </w:rPr>
        <w:t xml:space="preserve"> et al., 2022; </w:t>
      </w:r>
      <w:proofErr w:type="spellStart"/>
      <w:r w:rsidRPr="00455B38">
        <w:rPr>
          <w:rFonts w:ascii="Arial" w:eastAsia="Times New Roman" w:hAnsi="Arial" w:cs="Arial"/>
        </w:rPr>
        <w:t>Winstein</w:t>
      </w:r>
      <w:proofErr w:type="spellEnd"/>
      <w:r w:rsidRPr="00455B38">
        <w:rPr>
          <w:rFonts w:ascii="Arial" w:eastAsia="Times New Roman" w:hAnsi="Arial" w:cs="Arial"/>
        </w:rPr>
        <w:t xml:space="preserve"> et al., 2021). Monitoring systems such as SSNAP, alongside </w:t>
      </w:r>
      <w:proofErr w:type="spellStart"/>
      <w:r w:rsidRPr="00455B38">
        <w:rPr>
          <w:rFonts w:ascii="Arial" w:eastAsia="Times New Roman" w:hAnsi="Arial" w:cs="Arial"/>
        </w:rPr>
        <w:t>standardised</w:t>
      </w:r>
      <w:proofErr w:type="spellEnd"/>
      <w:r w:rsidRPr="00455B38">
        <w:rPr>
          <w:rFonts w:ascii="Arial" w:eastAsia="Times New Roman" w:hAnsi="Arial" w:cs="Arial"/>
        </w:rPr>
        <w:t xml:space="preserve"> clinical assessments and neuroimaging, are critical for ensuring high-quality care and identifying service gaps (Intercollegiate Stroke Working Party, 2023). Prevention strategies, including blood pressure control, lifestyle modification, and secondary pharmacological interventions, can substantially reduce recurrence and mortality (</w:t>
      </w:r>
      <w:proofErr w:type="spellStart"/>
      <w:r w:rsidRPr="00455B38">
        <w:rPr>
          <w:rFonts w:ascii="Arial" w:eastAsia="Times New Roman" w:hAnsi="Arial" w:cs="Arial"/>
        </w:rPr>
        <w:t>Kleindorfer</w:t>
      </w:r>
      <w:proofErr w:type="spellEnd"/>
      <w:r w:rsidRPr="00455B38">
        <w:rPr>
          <w:rFonts w:ascii="Arial" w:eastAsia="Times New Roman" w:hAnsi="Arial" w:cs="Arial"/>
        </w:rPr>
        <w:t xml:space="preserve"> et al., 2021). Community-based rehabilitation, social care support, and voluntary services are essential to restore independence, improve quality of life, and support </w:t>
      </w:r>
      <w:proofErr w:type="spellStart"/>
      <w:r w:rsidRPr="00455B38">
        <w:rPr>
          <w:rFonts w:ascii="Arial" w:eastAsia="Times New Roman" w:hAnsi="Arial" w:cs="Arial"/>
        </w:rPr>
        <w:t>carers</w:t>
      </w:r>
      <w:proofErr w:type="spellEnd"/>
      <w:r w:rsidRPr="00455B38">
        <w:rPr>
          <w:rFonts w:ascii="Arial" w:eastAsia="Times New Roman" w:hAnsi="Arial" w:cs="Arial"/>
        </w:rPr>
        <w:t xml:space="preserve"> (Langhorne and Ramachandra, 2020; Stroke Association, 2023). Addressing stroke comprehensively requires an integrated, multidisciplinary approach and continued investment in UK healthcare services to reduce the overall burden of this condition.</w:t>
      </w:r>
    </w:p>
    <w:p w14:paraId="63E34C32" w14:textId="77777777" w:rsidR="00455B38" w:rsidRDefault="00455B38" w:rsidP="00455B38">
      <w:pPr>
        <w:tabs>
          <w:tab w:val="left" w:pos="3190"/>
          <w:tab w:val="left" w:pos="6730"/>
        </w:tabs>
        <w:rPr>
          <w:rFonts w:ascii="Arial" w:hAnsi="Arial" w:cs="Arial"/>
          <w:b/>
        </w:rPr>
      </w:pPr>
    </w:p>
    <w:p w14:paraId="21EF0098" w14:textId="77777777" w:rsidR="00455B38" w:rsidRDefault="00455B38" w:rsidP="00455B38">
      <w:pPr>
        <w:tabs>
          <w:tab w:val="left" w:pos="3190"/>
          <w:tab w:val="left" w:pos="6730"/>
        </w:tabs>
        <w:rPr>
          <w:rFonts w:ascii="Arial" w:hAnsi="Arial" w:cs="Arial"/>
          <w:b/>
        </w:rPr>
      </w:pPr>
    </w:p>
    <w:p w14:paraId="68F6864E" w14:textId="77777777" w:rsidR="00455B38" w:rsidRDefault="00455B38" w:rsidP="00455B38">
      <w:pPr>
        <w:tabs>
          <w:tab w:val="left" w:pos="3190"/>
          <w:tab w:val="left" w:pos="6730"/>
        </w:tabs>
        <w:rPr>
          <w:rFonts w:ascii="Arial" w:hAnsi="Arial" w:cs="Arial"/>
          <w:b/>
        </w:rPr>
      </w:pPr>
    </w:p>
    <w:p w14:paraId="548B5C4A" w14:textId="77777777" w:rsidR="00455B38" w:rsidRDefault="00455B38" w:rsidP="00455B38">
      <w:pPr>
        <w:tabs>
          <w:tab w:val="left" w:pos="3190"/>
          <w:tab w:val="left" w:pos="6730"/>
        </w:tabs>
        <w:rPr>
          <w:rFonts w:ascii="Arial" w:hAnsi="Arial" w:cs="Arial"/>
          <w:b/>
        </w:rPr>
      </w:pPr>
    </w:p>
    <w:p w14:paraId="016069B0" w14:textId="77777777" w:rsidR="00455B38" w:rsidRDefault="00455B38" w:rsidP="00455B38">
      <w:pPr>
        <w:tabs>
          <w:tab w:val="left" w:pos="3190"/>
          <w:tab w:val="left" w:pos="6730"/>
        </w:tabs>
        <w:rPr>
          <w:rFonts w:ascii="Arial" w:hAnsi="Arial" w:cs="Arial"/>
          <w:b/>
        </w:rPr>
      </w:pPr>
    </w:p>
    <w:p w14:paraId="6AC34081" w14:textId="77777777" w:rsidR="00455B38" w:rsidRDefault="00455B38" w:rsidP="00455B38">
      <w:pPr>
        <w:tabs>
          <w:tab w:val="left" w:pos="3190"/>
          <w:tab w:val="left" w:pos="6730"/>
        </w:tabs>
        <w:rPr>
          <w:rFonts w:ascii="Arial" w:hAnsi="Arial" w:cs="Arial"/>
          <w:b/>
        </w:rPr>
      </w:pPr>
    </w:p>
    <w:p w14:paraId="5F8E7E36" w14:textId="77777777" w:rsidR="00455B38" w:rsidRDefault="00455B38" w:rsidP="00455B38">
      <w:pPr>
        <w:tabs>
          <w:tab w:val="left" w:pos="3190"/>
          <w:tab w:val="left" w:pos="6730"/>
        </w:tabs>
        <w:rPr>
          <w:rFonts w:ascii="Arial" w:hAnsi="Arial" w:cs="Arial"/>
          <w:b/>
        </w:rPr>
      </w:pPr>
    </w:p>
    <w:p w14:paraId="788CD1C1" w14:textId="77777777" w:rsidR="00455B38" w:rsidRDefault="00455B38" w:rsidP="00455B38">
      <w:pPr>
        <w:tabs>
          <w:tab w:val="left" w:pos="3190"/>
          <w:tab w:val="left" w:pos="6730"/>
        </w:tabs>
        <w:rPr>
          <w:rFonts w:ascii="Arial" w:hAnsi="Arial" w:cs="Arial"/>
          <w:b/>
        </w:rPr>
      </w:pPr>
    </w:p>
    <w:p w14:paraId="4D57C7C8" w14:textId="77777777" w:rsidR="00455B38" w:rsidRDefault="00455B38" w:rsidP="00455B38">
      <w:pPr>
        <w:tabs>
          <w:tab w:val="left" w:pos="3190"/>
          <w:tab w:val="left" w:pos="6730"/>
        </w:tabs>
        <w:rPr>
          <w:rFonts w:ascii="Arial" w:hAnsi="Arial" w:cs="Arial"/>
          <w:b/>
        </w:rPr>
      </w:pPr>
    </w:p>
    <w:p w14:paraId="3B98286F" w14:textId="77777777" w:rsidR="00455B38" w:rsidRDefault="00455B38" w:rsidP="00455B38">
      <w:pPr>
        <w:tabs>
          <w:tab w:val="left" w:pos="3190"/>
          <w:tab w:val="left" w:pos="6730"/>
        </w:tabs>
        <w:rPr>
          <w:rFonts w:ascii="Arial" w:hAnsi="Arial" w:cs="Arial"/>
          <w:b/>
        </w:rPr>
      </w:pPr>
    </w:p>
    <w:p w14:paraId="57540FED" w14:textId="77777777" w:rsidR="00455B38" w:rsidRDefault="00455B38" w:rsidP="00455B38">
      <w:pPr>
        <w:tabs>
          <w:tab w:val="left" w:pos="3190"/>
          <w:tab w:val="left" w:pos="6730"/>
        </w:tabs>
        <w:rPr>
          <w:rFonts w:ascii="Arial" w:hAnsi="Arial" w:cs="Arial"/>
          <w:b/>
        </w:rPr>
      </w:pPr>
    </w:p>
    <w:p w14:paraId="4EF3DCA0" w14:textId="77777777" w:rsidR="00455B38" w:rsidRDefault="00455B38" w:rsidP="00455B38">
      <w:pPr>
        <w:tabs>
          <w:tab w:val="left" w:pos="3190"/>
          <w:tab w:val="left" w:pos="6730"/>
        </w:tabs>
        <w:rPr>
          <w:rFonts w:ascii="Arial" w:hAnsi="Arial" w:cs="Arial"/>
          <w:b/>
        </w:rPr>
      </w:pPr>
    </w:p>
    <w:p w14:paraId="7C63C4AE" w14:textId="77777777" w:rsidR="00455B38" w:rsidRDefault="00455B38" w:rsidP="00455B38">
      <w:pPr>
        <w:tabs>
          <w:tab w:val="left" w:pos="3190"/>
          <w:tab w:val="left" w:pos="6730"/>
        </w:tabs>
        <w:rPr>
          <w:rFonts w:ascii="Arial" w:hAnsi="Arial" w:cs="Arial"/>
          <w:b/>
        </w:rPr>
      </w:pPr>
    </w:p>
    <w:p w14:paraId="1A7D5042" w14:textId="77777777" w:rsidR="00455B38" w:rsidRDefault="00455B38" w:rsidP="00455B38">
      <w:pPr>
        <w:tabs>
          <w:tab w:val="left" w:pos="3190"/>
          <w:tab w:val="left" w:pos="6730"/>
        </w:tabs>
        <w:rPr>
          <w:rFonts w:ascii="Arial" w:hAnsi="Arial" w:cs="Arial"/>
          <w:b/>
        </w:rPr>
      </w:pPr>
    </w:p>
    <w:p w14:paraId="547CAFFE" w14:textId="77777777" w:rsidR="00830A6B" w:rsidRDefault="00830A6B" w:rsidP="00455B38">
      <w:pPr>
        <w:tabs>
          <w:tab w:val="left" w:pos="3190"/>
          <w:tab w:val="left" w:pos="6730"/>
        </w:tabs>
        <w:rPr>
          <w:rFonts w:ascii="Arial" w:hAnsi="Arial" w:cs="Arial"/>
          <w:b/>
        </w:rPr>
      </w:pPr>
    </w:p>
    <w:p w14:paraId="4E789012" w14:textId="77777777" w:rsidR="00830A6B" w:rsidRDefault="00830A6B" w:rsidP="00455B38">
      <w:pPr>
        <w:tabs>
          <w:tab w:val="left" w:pos="3190"/>
          <w:tab w:val="left" w:pos="6730"/>
        </w:tabs>
        <w:rPr>
          <w:rFonts w:ascii="Arial" w:hAnsi="Arial" w:cs="Arial"/>
          <w:b/>
        </w:rPr>
      </w:pPr>
    </w:p>
    <w:p w14:paraId="023BD27E" w14:textId="77777777" w:rsidR="00455B38" w:rsidRDefault="00455B38" w:rsidP="00455B38">
      <w:pPr>
        <w:tabs>
          <w:tab w:val="left" w:pos="3190"/>
          <w:tab w:val="left" w:pos="6730"/>
        </w:tabs>
        <w:rPr>
          <w:rFonts w:ascii="Arial" w:hAnsi="Arial" w:cs="Arial"/>
          <w:b/>
        </w:rPr>
      </w:pPr>
      <w:r w:rsidRPr="00455B38">
        <w:rPr>
          <w:rFonts w:ascii="Arial" w:hAnsi="Arial" w:cs="Arial"/>
          <w:b/>
        </w:rPr>
        <w:t>REFERENCES</w:t>
      </w:r>
    </w:p>
    <w:p w14:paraId="4C06D7FB" w14:textId="77777777" w:rsidR="00455B38" w:rsidRPr="00455B38" w:rsidRDefault="00455B38" w:rsidP="00455B38">
      <w:pPr>
        <w:pStyle w:val="NormalWeb"/>
        <w:spacing w:line="360" w:lineRule="auto"/>
        <w:jc w:val="both"/>
        <w:rPr>
          <w:rFonts w:ascii="Arial" w:hAnsi="Arial" w:cs="Arial"/>
          <w:sz w:val="22"/>
          <w:szCs w:val="22"/>
        </w:rPr>
      </w:pPr>
      <w:proofErr w:type="spellStart"/>
      <w:r w:rsidRPr="00455B38">
        <w:rPr>
          <w:rFonts w:ascii="Arial" w:hAnsi="Arial" w:cs="Arial"/>
          <w:sz w:val="22"/>
          <w:szCs w:val="22"/>
        </w:rPr>
        <w:t>Feigin</w:t>
      </w:r>
      <w:proofErr w:type="spellEnd"/>
      <w:r w:rsidRPr="00455B38">
        <w:rPr>
          <w:rFonts w:ascii="Arial" w:hAnsi="Arial" w:cs="Arial"/>
          <w:sz w:val="22"/>
          <w:szCs w:val="22"/>
        </w:rPr>
        <w:t xml:space="preserve">, V.L., </w:t>
      </w:r>
      <w:proofErr w:type="spellStart"/>
      <w:r w:rsidRPr="00455B38">
        <w:rPr>
          <w:rFonts w:ascii="Arial" w:hAnsi="Arial" w:cs="Arial"/>
          <w:sz w:val="22"/>
          <w:szCs w:val="22"/>
        </w:rPr>
        <w:t>Brainin</w:t>
      </w:r>
      <w:proofErr w:type="spellEnd"/>
      <w:r w:rsidRPr="00455B38">
        <w:rPr>
          <w:rFonts w:ascii="Arial" w:hAnsi="Arial" w:cs="Arial"/>
          <w:sz w:val="22"/>
          <w:szCs w:val="22"/>
        </w:rPr>
        <w:t xml:space="preserve">, M., </w:t>
      </w:r>
      <w:proofErr w:type="spellStart"/>
      <w:r w:rsidRPr="00455B38">
        <w:rPr>
          <w:rFonts w:ascii="Arial" w:hAnsi="Arial" w:cs="Arial"/>
          <w:sz w:val="22"/>
          <w:szCs w:val="22"/>
        </w:rPr>
        <w:t>Norrving</w:t>
      </w:r>
      <w:proofErr w:type="spellEnd"/>
      <w:r w:rsidRPr="00455B38">
        <w:rPr>
          <w:rFonts w:ascii="Arial" w:hAnsi="Arial" w:cs="Arial"/>
          <w:sz w:val="22"/>
          <w:szCs w:val="22"/>
        </w:rPr>
        <w:t xml:space="preserve">, B., Martins, S., Sacco, R.L., </w:t>
      </w:r>
      <w:proofErr w:type="spellStart"/>
      <w:r w:rsidRPr="00455B38">
        <w:rPr>
          <w:rFonts w:ascii="Arial" w:hAnsi="Arial" w:cs="Arial"/>
          <w:sz w:val="22"/>
          <w:szCs w:val="22"/>
        </w:rPr>
        <w:t>Hacke</w:t>
      </w:r>
      <w:proofErr w:type="spellEnd"/>
      <w:r w:rsidRPr="00455B38">
        <w:rPr>
          <w:rFonts w:ascii="Arial" w:hAnsi="Arial" w:cs="Arial"/>
          <w:sz w:val="22"/>
          <w:szCs w:val="22"/>
        </w:rPr>
        <w:t xml:space="preserve">, W., Fisher, M., Pandian, J. and Lindsay, P. (2022) ‘World Stroke Organization (WSO): global stroke fact sheet 2022’, </w:t>
      </w:r>
      <w:r w:rsidRPr="00455B38">
        <w:rPr>
          <w:rStyle w:val="Emphasis"/>
          <w:rFonts w:ascii="Arial" w:hAnsi="Arial" w:cs="Arial"/>
          <w:sz w:val="22"/>
          <w:szCs w:val="22"/>
        </w:rPr>
        <w:t>International Journal of Stroke</w:t>
      </w:r>
      <w:r w:rsidRPr="00455B38">
        <w:rPr>
          <w:rFonts w:ascii="Arial" w:hAnsi="Arial" w:cs="Arial"/>
          <w:sz w:val="22"/>
          <w:szCs w:val="22"/>
        </w:rPr>
        <w:t>, 17(1), pp. 18–29.</w:t>
      </w:r>
    </w:p>
    <w:p w14:paraId="3D989878" w14:textId="77777777" w:rsidR="00455B38" w:rsidRPr="00455B38" w:rsidRDefault="00455B38" w:rsidP="00455B38">
      <w:pPr>
        <w:pStyle w:val="NormalWeb"/>
        <w:spacing w:line="360" w:lineRule="auto"/>
        <w:jc w:val="both"/>
        <w:rPr>
          <w:rFonts w:ascii="Arial" w:hAnsi="Arial" w:cs="Arial"/>
          <w:sz w:val="22"/>
          <w:szCs w:val="22"/>
        </w:rPr>
      </w:pPr>
      <w:r w:rsidRPr="00455B38">
        <w:rPr>
          <w:rFonts w:ascii="Arial" w:hAnsi="Arial" w:cs="Arial"/>
          <w:sz w:val="22"/>
          <w:szCs w:val="22"/>
        </w:rPr>
        <w:t xml:space="preserve">Intercollegiate Stroke Working Party (2023) </w:t>
      </w:r>
      <w:r w:rsidRPr="00455B38">
        <w:rPr>
          <w:rStyle w:val="Emphasis"/>
          <w:rFonts w:ascii="Arial" w:hAnsi="Arial" w:cs="Arial"/>
          <w:sz w:val="22"/>
          <w:szCs w:val="22"/>
        </w:rPr>
        <w:t xml:space="preserve">Sentinel Stroke National Audit </w:t>
      </w:r>
      <w:proofErr w:type="spellStart"/>
      <w:r w:rsidRPr="00455B38">
        <w:rPr>
          <w:rStyle w:val="Emphasis"/>
          <w:rFonts w:ascii="Arial" w:hAnsi="Arial" w:cs="Arial"/>
          <w:sz w:val="22"/>
          <w:szCs w:val="22"/>
        </w:rPr>
        <w:t>Programme</w:t>
      </w:r>
      <w:proofErr w:type="spellEnd"/>
      <w:r w:rsidRPr="00455B38">
        <w:rPr>
          <w:rStyle w:val="Emphasis"/>
          <w:rFonts w:ascii="Arial" w:hAnsi="Arial" w:cs="Arial"/>
          <w:sz w:val="22"/>
          <w:szCs w:val="22"/>
        </w:rPr>
        <w:t xml:space="preserve"> (SSNAP) Annual Report 2023</w:t>
      </w:r>
      <w:r w:rsidRPr="00455B38">
        <w:rPr>
          <w:rFonts w:ascii="Arial" w:hAnsi="Arial" w:cs="Arial"/>
          <w:sz w:val="22"/>
          <w:szCs w:val="22"/>
        </w:rPr>
        <w:t>. London: Royal College of Physicians. Available at: https://www.rcplondon.ac.uk/projects/outputs/ssnap-annual-report-2023</w:t>
      </w:r>
    </w:p>
    <w:p w14:paraId="221E0DBC" w14:textId="77777777" w:rsidR="00455B38" w:rsidRPr="00455B38" w:rsidRDefault="00455B38" w:rsidP="00455B38">
      <w:pPr>
        <w:pStyle w:val="NormalWeb"/>
        <w:spacing w:line="360" w:lineRule="auto"/>
        <w:jc w:val="both"/>
        <w:rPr>
          <w:rFonts w:ascii="Arial" w:hAnsi="Arial" w:cs="Arial"/>
          <w:sz w:val="22"/>
          <w:szCs w:val="22"/>
        </w:rPr>
      </w:pPr>
      <w:proofErr w:type="spellStart"/>
      <w:r w:rsidRPr="00455B38">
        <w:rPr>
          <w:rFonts w:ascii="Arial" w:hAnsi="Arial" w:cs="Arial"/>
          <w:sz w:val="22"/>
          <w:szCs w:val="22"/>
        </w:rPr>
        <w:t>Kleindorfer</w:t>
      </w:r>
      <w:proofErr w:type="spellEnd"/>
      <w:r w:rsidRPr="00455B38">
        <w:rPr>
          <w:rFonts w:ascii="Arial" w:hAnsi="Arial" w:cs="Arial"/>
          <w:sz w:val="22"/>
          <w:szCs w:val="22"/>
        </w:rPr>
        <w:t xml:space="preserve">, D.O., </w:t>
      </w:r>
      <w:proofErr w:type="spellStart"/>
      <w:r w:rsidRPr="00455B38">
        <w:rPr>
          <w:rFonts w:ascii="Arial" w:hAnsi="Arial" w:cs="Arial"/>
          <w:sz w:val="22"/>
          <w:szCs w:val="22"/>
        </w:rPr>
        <w:t>Towfighi</w:t>
      </w:r>
      <w:proofErr w:type="spellEnd"/>
      <w:r w:rsidRPr="00455B38">
        <w:rPr>
          <w:rFonts w:ascii="Arial" w:hAnsi="Arial" w:cs="Arial"/>
          <w:sz w:val="22"/>
          <w:szCs w:val="22"/>
        </w:rPr>
        <w:t xml:space="preserve">, A., </w:t>
      </w:r>
      <w:proofErr w:type="spellStart"/>
      <w:r w:rsidRPr="00455B38">
        <w:rPr>
          <w:rFonts w:ascii="Arial" w:hAnsi="Arial" w:cs="Arial"/>
          <w:sz w:val="22"/>
          <w:szCs w:val="22"/>
        </w:rPr>
        <w:t>Chaturvedi</w:t>
      </w:r>
      <w:proofErr w:type="spellEnd"/>
      <w:r w:rsidRPr="00455B38">
        <w:rPr>
          <w:rFonts w:ascii="Arial" w:hAnsi="Arial" w:cs="Arial"/>
          <w:sz w:val="22"/>
          <w:szCs w:val="22"/>
        </w:rPr>
        <w:t xml:space="preserve">, S., et al. (2021) ‘2021 guideline for the prevention of stroke in patients with stroke and transient ischemic attack’, </w:t>
      </w:r>
      <w:r w:rsidRPr="00455B38">
        <w:rPr>
          <w:rStyle w:val="Emphasis"/>
          <w:rFonts w:ascii="Arial" w:hAnsi="Arial" w:cs="Arial"/>
          <w:sz w:val="22"/>
          <w:szCs w:val="22"/>
        </w:rPr>
        <w:t>Stroke</w:t>
      </w:r>
      <w:r w:rsidRPr="00455B38">
        <w:rPr>
          <w:rFonts w:ascii="Arial" w:hAnsi="Arial" w:cs="Arial"/>
          <w:sz w:val="22"/>
          <w:szCs w:val="22"/>
        </w:rPr>
        <w:t>, 52(7), pp. e364–e467.</w:t>
      </w:r>
    </w:p>
    <w:p w14:paraId="7601AC7A" w14:textId="77777777" w:rsidR="00455B38" w:rsidRPr="00455B38" w:rsidRDefault="00455B38" w:rsidP="00455B38">
      <w:pPr>
        <w:pStyle w:val="NormalWeb"/>
        <w:spacing w:line="360" w:lineRule="auto"/>
        <w:jc w:val="both"/>
        <w:rPr>
          <w:rFonts w:ascii="Arial" w:hAnsi="Arial" w:cs="Arial"/>
          <w:sz w:val="22"/>
          <w:szCs w:val="22"/>
        </w:rPr>
      </w:pPr>
      <w:r w:rsidRPr="00455B38">
        <w:rPr>
          <w:rFonts w:ascii="Arial" w:hAnsi="Arial" w:cs="Arial"/>
          <w:sz w:val="22"/>
          <w:szCs w:val="22"/>
        </w:rPr>
        <w:t>Langhorne, P. and Ramachandra, S. (2020) ‘</w:t>
      </w:r>
      <w:proofErr w:type="spellStart"/>
      <w:r w:rsidRPr="00455B38">
        <w:rPr>
          <w:rFonts w:ascii="Arial" w:hAnsi="Arial" w:cs="Arial"/>
          <w:sz w:val="22"/>
          <w:szCs w:val="22"/>
        </w:rPr>
        <w:t>Organised</w:t>
      </w:r>
      <w:proofErr w:type="spellEnd"/>
      <w:r w:rsidRPr="00455B38">
        <w:rPr>
          <w:rFonts w:ascii="Arial" w:hAnsi="Arial" w:cs="Arial"/>
          <w:sz w:val="22"/>
          <w:szCs w:val="22"/>
        </w:rPr>
        <w:t xml:space="preserve"> inpatient (stroke unit) care for stroke’, </w:t>
      </w:r>
      <w:r w:rsidRPr="00455B38">
        <w:rPr>
          <w:rStyle w:val="Emphasis"/>
          <w:rFonts w:ascii="Arial" w:hAnsi="Arial" w:cs="Arial"/>
          <w:sz w:val="22"/>
          <w:szCs w:val="22"/>
        </w:rPr>
        <w:t>Cochrane Database of Systematic Reviews</w:t>
      </w:r>
      <w:r w:rsidRPr="00455B38">
        <w:rPr>
          <w:rFonts w:ascii="Arial" w:hAnsi="Arial" w:cs="Arial"/>
          <w:sz w:val="22"/>
          <w:szCs w:val="22"/>
        </w:rPr>
        <w:t>, 4, CD000197.</w:t>
      </w:r>
    </w:p>
    <w:p w14:paraId="3942B397" w14:textId="77777777" w:rsidR="00455B38" w:rsidRPr="00455B38" w:rsidRDefault="00455B38" w:rsidP="00455B38">
      <w:pPr>
        <w:pStyle w:val="NormalWeb"/>
        <w:spacing w:line="360" w:lineRule="auto"/>
        <w:jc w:val="both"/>
        <w:rPr>
          <w:rFonts w:ascii="Arial" w:hAnsi="Arial" w:cs="Arial"/>
          <w:sz w:val="22"/>
          <w:szCs w:val="22"/>
        </w:rPr>
      </w:pPr>
      <w:r w:rsidRPr="00455B38">
        <w:rPr>
          <w:rFonts w:ascii="Arial" w:hAnsi="Arial" w:cs="Arial"/>
          <w:sz w:val="22"/>
          <w:szCs w:val="22"/>
        </w:rPr>
        <w:t xml:space="preserve">NICE (2023) </w:t>
      </w:r>
      <w:r w:rsidRPr="00455B38">
        <w:rPr>
          <w:rStyle w:val="Emphasis"/>
          <w:rFonts w:ascii="Arial" w:hAnsi="Arial" w:cs="Arial"/>
          <w:sz w:val="22"/>
          <w:szCs w:val="22"/>
        </w:rPr>
        <w:t>Stroke rehabilitation in adults</w:t>
      </w:r>
      <w:r w:rsidRPr="00455B38">
        <w:rPr>
          <w:rFonts w:ascii="Arial" w:hAnsi="Arial" w:cs="Arial"/>
          <w:sz w:val="22"/>
          <w:szCs w:val="22"/>
        </w:rPr>
        <w:t xml:space="preserve">. Available at: </w:t>
      </w:r>
      <w:hyperlink r:id="rId8" w:tgtFrame="_new" w:history="1">
        <w:r w:rsidRPr="00455B38">
          <w:rPr>
            <w:rStyle w:val="Hyperlink"/>
            <w:rFonts w:ascii="Arial" w:hAnsi="Arial" w:cs="Arial"/>
            <w:sz w:val="22"/>
            <w:szCs w:val="22"/>
          </w:rPr>
          <w:t>https://www.nice.org.uk/guidance/ng128</w:t>
        </w:r>
      </w:hyperlink>
    </w:p>
    <w:p w14:paraId="4EF077A7" w14:textId="77777777" w:rsidR="00455B38" w:rsidRPr="00455B38" w:rsidRDefault="00455B38" w:rsidP="00455B38">
      <w:pPr>
        <w:pStyle w:val="NormalWeb"/>
        <w:spacing w:line="360" w:lineRule="auto"/>
        <w:jc w:val="both"/>
        <w:rPr>
          <w:rFonts w:ascii="Arial" w:hAnsi="Arial" w:cs="Arial"/>
          <w:sz w:val="22"/>
          <w:szCs w:val="22"/>
        </w:rPr>
      </w:pPr>
      <w:r w:rsidRPr="00455B38">
        <w:rPr>
          <w:rFonts w:ascii="Arial" w:hAnsi="Arial" w:cs="Arial"/>
          <w:sz w:val="22"/>
          <w:szCs w:val="22"/>
        </w:rPr>
        <w:t xml:space="preserve">Patel, A., </w:t>
      </w:r>
      <w:proofErr w:type="spellStart"/>
      <w:r w:rsidRPr="00455B38">
        <w:rPr>
          <w:rFonts w:ascii="Arial" w:hAnsi="Arial" w:cs="Arial"/>
          <w:sz w:val="22"/>
          <w:szCs w:val="22"/>
        </w:rPr>
        <w:t>Berdunov</w:t>
      </w:r>
      <w:proofErr w:type="spellEnd"/>
      <w:r w:rsidRPr="00455B38">
        <w:rPr>
          <w:rFonts w:ascii="Arial" w:hAnsi="Arial" w:cs="Arial"/>
          <w:sz w:val="22"/>
          <w:szCs w:val="22"/>
        </w:rPr>
        <w:t xml:space="preserve">, V., King, D., </w:t>
      </w:r>
      <w:proofErr w:type="spellStart"/>
      <w:r w:rsidRPr="00455B38">
        <w:rPr>
          <w:rFonts w:ascii="Arial" w:hAnsi="Arial" w:cs="Arial"/>
          <w:sz w:val="22"/>
          <w:szCs w:val="22"/>
        </w:rPr>
        <w:t>Quayyum</w:t>
      </w:r>
      <w:proofErr w:type="spellEnd"/>
      <w:r w:rsidRPr="00455B38">
        <w:rPr>
          <w:rFonts w:ascii="Arial" w:hAnsi="Arial" w:cs="Arial"/>
          <w:sz w:val="22"/>
          <w:szCs w:val="22"/>
        </w:rPr>
        <w:t xml:space="preserve">, Z., Wittenberg, R. and Knapp, M. (2020) ‘Estimated societal costs of stroke in the UK’, </w:t>
      </w:r>
      <w:r w:rsidRPr="00455B38">
        <w:rPr>
          <w:rStyle w:val="Emphasis"/>
          <w:rFonts w:ascii="Arial" w:hAnsi="Arial" w:cs="Arial"/>
          <w:sz w:val="22"/>
          <w:szCs w:val="22"/>
        </w:rPr>
        <w:t>Stroke</w:t>
      </w:r>
      <w:r w:rsidRPr="00455B38">
        <w:rPr>
          <w:rFonts w:ascii="Arial" w:hAnsi="Arial" w:cs="Arial"/>
          <w:sz w:val="22"/>
          <w:szCs w:val="22"/>
        </w:rPr>
        <w:t>, 51(6), pp. 1860–1867.</w:t>
      </w:r>
    </w:p>
    <w:p w14:paraId="7A2B2CAA" w14:textId="77777777" w:rsidR="00455B38" w:rsidRPr="00455B38" w:rsidRDefault="00455B38" w:rsidP="00455B38">
      <w:pPr>
        <w:pStyle w:val="NormalWeb"/>
        <w:spacing w:line="360" w:lineRule="auto"/>
        <w:jc w:val="both"/>
        <w:rPr>
          <w:rFonts w:ascii="Arial" w:hAnsi="Arial" w:cs="Arial"/>
          <w:sz w:val="22"/>
          <w:szCs w:val="22"/>
        </w:rPr>
      </w:pPr>
      <w:proofErr w:type="spellStart"/>
      <w:r w:rsidRPr="00455B38">
        <w:rPr>
          <w:rFonts w:ascii="Arial" w:hAnsi="Arial" w:cs="Arial"/>
          <w:sz w:val="22"/>
          <w:szCs w:val="22"/>
        </w:rPr>
        <w:t>Winstein</w:t>
      </w:r>
      <w:proofErr w:type="spellEnd"/>
      <w:r w:rsidRPr="00455B38">
        <w:rPr>
          <w:rFonts w:ascii="Arial" w:hAnsi="Arial" w:cs="Arial"/>
          <w:sz w:val="22"/>
          <w:szCs w:val="22"/>
        </w:rPr>
        <w:t xml:space="preserve">, C.J., Stein, J., Arena, R., et al. (2021) ‘Guidelines for adult stroke rehabilitation and recovery’, </w:t>
      </w:r>
      <w:r w:rsidRPr="00455B38">
        <w:rPr>
          <w:rStyle w:val="Emphasis"/>
          <w:rFonts w:ascii="Arial" w:hAnsi="Arial" w:cs="Arial"/>
          <w:sz w:val="22"/>
          <w:szCs w:val="22"/>
        </w:rPr>
        <w:t>Stroke</w:t>
      </w:r>
      <w:r w:rsidRPr="00455B38">
        <w:rPr>
          <w:rFonts w:ascii="Arial" w:hAnsi="Arial" w:cs="Arial"/>
          <w:sz w:val="22"/>
          <w:szCs w:val="22"/>
        </w:rPr>
        <w:t>, 52(7), pp. e364–e467.</w:t>
      </w:r>
    </w:p>
    <w:p w14:paraId="655D5E48" w14:textId="77777777" w:rsidR="00455B38" w:rsidRPr="00455B38" w:rsidRDefault="00455B38" w:rsidP="00455B38">
      <w:pPr>
        <w:pStyle w:val="NormalWeb"/>
        <w:spacing w:line="360" w:lineRule="auto"/>
        <w:jc w:val="both"/>
        <w:rPr>
          <w:rFonts w:ascii="Arial" w:hAnsi="Arial" w:cs="Arial"/>
          <w:sz w:val="22"/>
          <w:szCs w:val="22"/>
        </w:rPr>
      </w:pPr>
      <w:r w:rsidRPr="00455B38">
        <w:rPr>
          <w:rFonts w:ascii="Arial" w:hAnsi="Arial" w:cs="Arial"/>
          <w:sz w:val="22"/>
          <w:szCs w:val="22"/>
        </w:rPr>
        <w:t xml:space="preserve">Stroke Association (2023) </w:t>
      </w:r>
      <w:r w:rsidRPr="00455B38">
        <w:rPr>
          <w:rStyle w:val="Emphasis"/>
          <w:rFonts w:ascii="Arial" w:hAnsi="Arial" w:cs="Arial"/>
          <w:sz w:val="22"/>
          <w:szCs w:val="22"/>
        </w:rPr>
        <w:t>State of the Nation: Stroke statistics</w:t>
      </w:r>
      <w:r w:rsidRPr="00455B38">
        <w:rPr>
          <w:rFonts w:ascii="Arial" w:hAnsi="Arial" w:cs="Arial"/>
          <w:sz w:val="22"/>
          <w:szCs w:val="22"/>
        </w:rPr>
        <w:t>. London: Stroke Association. Available at: https://www.stroke.org.uk/resources/state-nation-stroke-statistics-2023</w:t>
      </w:r>
    </w:p>
    <w:p w14:paraId="49F6D8FB" w14:textId="77777777" w:rsidR="00455B38" w:rsidRPr="00455B38" w:rsidRDefault="00455B38" w:rsidP="00455B38">
      <w:pPr>
        <w:pStyle w:val="NormalWeb"/>
        <w:spacing w:line="360" w:lineRule="auto"/>
        <w:jc w:val="both"/>
        <w:rPr>
          <w:rFonts w:ascii="Arial" w:hAnsi="Arial" w:cs="Arial"/>
          <w:sz w:val="22"/>
          <w:szCs w:val="22"/>
        </w:rPr>
      </w:pPr>
      <w:proofErr w:type="spellStart"/>
      <w:r w:rsidRPr="00455B38">
        <w:rPr>
          <w:rFonts w:ascii="Arial" w:hAnsi="Arial" w:cs="Arial"/>
          <w:sz w:val="22"/>
          <w:szCs w:val="22"/>
        </w:rPr>
        <w:t>Krishnamurthi</w:t>
      </w:r>
      <w:proofErr w:type="spellEnd"/>
      <w:r w:rsidRPr="00455B38">
        <w:rPr>
          <w:rFonts w:ascii="Arial" w:hAnsi="Arial" w:cs="Arial"/>
          <w:sz w:val="22"/>
          <w:szCs w:val="22"/>
        </w:rPr>
        <w:t xml:space="preserve">, R.V., Ikeda, T. and </w:t>
      </w:r>
      <w:proofErr w:type="spellStart"/>
      <w:r w:rsidRPr="00455B38">
        <w:rPr>
          <w:rFonts w:ascii="Arial" w:hAnsi="Arial" w:cs="Arial"/>
          <w:sz w:val="22"/>
          <w:szCs w:val="22"/>
        </w:rPr>
        <w:t>Feigin</w:t>
      </w:r>
      <w:proofErr w:type="spellEnd"/>
      <w:r w:rsidRPr="00455B38">
        <w:rPr>
          <w:rFonts w:ascii="Arial" w:hAnsi="Arial" w:cs="Arial"/>
          <w:sz w:val="22"/>
          <w:szCs w:val="22"/>
        </w:rPr>
        <w:t xml:space="preserve">, V.L. (2020) ‘Global, regional and country-specific burden of stroke, 1990–2019’, </w:t>
      </w:r>
      <w:r w:rsidRPr="00455B38">
        <w:rPr>
          <w:rStyle w:val="Emphasis"/>
          <w:rFonts w:ascii="Arial" w:hAnsi="Arial" w:cs="Arial"/>
          <w:sz w:val="22"/>
          <w:szCs w:val="22"/>
        </w:rPr>
        <w:t>The Lancet Neurology</w:t>
      </w:r>
      <w:r w:rsidRPr="00455B38">
        <w:rPr>
          <w:rFonts w:ascii="Arial" w:hAnsi="Arial" w:cs="Arial"/>
          <w:sz w:val="22"/>
          <w:szCs w:val="22"/>
        </w:rPr>
        <w:t>, 20(10), pp. 795–820.</w:t>
      </w:r>
    </w:p>
    <w:p w14:paraId="1DEEF372" w14:textId="77777777" w:rsidR="00455B38" w:rsidRPr="00455B38" w:rsidRDefault="00455B38" w:rsidP="00455B38">
      <w:pPr>
        <w:pStyle w:val="NormalWeb"/>
        <w:spacing w:line="360" w:lineRule="auto"/>
        <w:jc w:val="both"/>
        <w:rPr>
          <w:rFonts w:ascii="Arial" w:hAnsi="Arial" w:cs="Arial"/>
          <w:sz w:val="22"/>
          <w:szCs w:val="22"/>
        </w:rPr>
      </w:pPr>
      <w:r w:rsidRPr="00455B38">
        <w:rPr>
          <w:rFonts w:ascii="Arial" w:hAnsi="Arial" w:cs="Arial"/>
          <w:sz w:val="22"/>
          <w:szCs w:val="22"/>
        </w:rPr>
        <w:t xml:space="preserve">NHS England (2024) </w:t>
      </w:r>
      <w:r w:rsidRPr="00455B38">
        <w:rPr>
          <w:rStyle w:val="Emphasis"/>
          <w:rFonts w:ascii="Arial" w:hAnsi="Arial" w:cs="Arial"/>
          <w:sz w:val="22"/>
          <w:szCs w:val="22"/>
        </w:rPr>
        <w:t>Hospital admissions for stroke and NHS response</w:t>
      </w:r>
      <w:r w:rsidRPr="00455B38">
        <w:rPr>
          <w:rFonts w:ascii="Arial" w:hAnsi="Arial" w:cs="Arial"/>
          <w:sz w:val="22"/>
          <w:szCs w:val="22"/>
        </w:rPr>
        <w:t xml:space="preserve">. Available at: </w:t>
      </w:r>
      <w:hyperlink r:id="rId9" w:tgtFrame="_new" w:history="1">
        <w:r w:rsidRPr="00455B38">
          <w:rPr>
            <w:rStyle w:val="Hyperlink"/>
            <w:rFonts w:ascii="Arial" w:hAnsi="Arial" w:cs="Arial"/>
            <w:sz w:val="22"/>
            <w:szCs w:val="22"/>
          </w:rPr>
          <w:t>https://www.england.nhs.uk/2024/11/hospital-admissions-for-strokes-rise-by-28-since-2004-as-nhs-urges-the-public-to-act-fast/</w:t>
        </w:r>
      </w:hyperlink>
    </w:p>
    <w:p w14:paraId="72FE2338" w14:textId="77777777" w:rsidR="00D51652" w:rsidRPr="00455B38" w:rsidRDefault="00455B38" w:rsidP="00455B38">
      <w:pPr>
        <w:tabs>
          <w:tab w:val="left" w:pos="3190"/>
          <w:tab w:val="left" w:pos="6730"/>
        </w:tabs>
        <w:spacing w:line="360" w:lineRule="auto"/>
        <w:jc w:val="both"/>
        <w:rPr>
          <w:rFonts w:ascii="Arial" w:hAnsi="Arial" w:cs="Arial"/>
          <w:b/>
        </w:rPr>
      </w:pPr>
      <w:r w:rsidRPr="00455B38">
        <w:rPr>
          <w:rFonts w:ascii="Arial" w:hAnsi="Arial" w:cs="Arial"/>
          <w:b/>
        </w:rPr>
        <w:tab/>
      </w:r>
      <w:r w:rsidRPr="00455B38">
        <w:rPr>
          <w:rFonts w:ascii="Arial" w:hAnsi="Arial" w:cs="Arial"/>
          <w:b/>
        </w:rPr>
        <w:tab/>
      </w:r>
    </w:p>
    <w:sectPr w:rsidR="00D51652" w:rsidRPr="00455B38" w:rsidSect="00455B38">
      <w:footerReference w:type="default" r:id="rId10"/>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CEEF0" w14:textId="77777777" w:rsidR="0014220F" w:rsidRDefault="0014220F" w:rsidP="00455B38">
      <w:pPr>
        <w:spacing w:after="0" w:line="240" w:lineRule="auto"/>
      </w:pPr>
      <w:r>
        <w:separator/>
      </w:r>
    </w:p>
  </w:endnote>
  <w:endnote w:type="continuationSeparator" w:id="0">
    <w:p w14:paraId="267ED6CC" w14:textId="77777777" w:rsidR="0014220F" w:rsidRDefault="0014220F" w:rsidP="00455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117178"/>
      <w:docPartObj>
        <w:docPartGallery w:val="Page Numbers (Bottom of Page)"/>
        <w:docPartUnique/>
      </w:docPartObj>
    </w:sdtPr>
    <w:sdtEndPr>
      <w:rPr>
        <w:noProof/>
      </w:rPr>
    </w:sdtEndPr>
    <w:sdtContent>
      <w:p w14:paraId="6F373172" w14:textId="77777777" w:rsidR="00455B38" w:rsidRDefault="00455B38">
        <w:pPr>
          <w:pStyle w:val="Footer"/>
          <w:jc w:val="right"/>
        </w:pPr>
        <w:r>
          <w:fldChar w:fldCharType="begin"/>
        </w:r>
        <w:r>
          <w:instrText xml:space="preserve"> PAGE   \* MERGEFORMAT </w:instrText>
        </w:r>
        <w:r>
          <w:fldChar w:fldCharType="separate"/>
        </w:r>
        <w:r w:rsidR="0076492F">
          <w:rPr>
            <w:noProof/>
          </w:rPr>
          <w:t>9</w:t>
        </w:r>
        <w:r>
          <w:rPr>
            <w:noProof/>
          </w:rPr>
          <w:fldChar w:fldCharType="end"/>
        </w:r>
      </w:p>
    </w:sdtContent>
  </w:sdt>
  <w:p w14:paraId="3370C6BF" w14:textId="77777777" w:rsidR="00455B38" w:rsidRDefault="00455B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E97D5C" w14:textId="77777777" w:rsidR="0014220F" w:rsidRDefault="0014220F" w:rsidP="00455B38">
      <w:pPr>
        <w:spacing w:after="0" w:line="240" w:lineRule="auto"/>
      </w:pPr>
      <w:r>
        <w:separator/>
      </w:r>
    </w:p>
  </w:footnote>
  <w:footnote w:type="continuationSeparator" w:id="0">
    <w:p w14:paraId="4D1EBAA7" w14:textId="77777777" w:rsidR="0014220F" w:rsidRDefault="0014220F" w:rsidP="00455B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B38"/>
    <w:rsid w:val="00086713"/>
    <w:rsid w:val="0014220F"/>
    <w:rsid w:val="00455B38"/>
    <w:rsid w:val="004F6921"/>
    <w:rsid w:val="0076492F"/>
    <w:rsid w:val="00830A6B"/>
    <w:rsid w:val="00A83428"/>
    <w:rsid w:val="00AB4328"/>
    <w:rsid w:val="00D51652"/>
    <w:rsid w:val="00E12EC2"/>
    <w:rsid w:val="00FA69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4FD03"/>
  <w15:chartTrackingRefBased/>
  <w15:docId w15:val="{89A923BB-673B-48B4-A455-ABF53BEDC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55B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455B3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455B3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55B3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455B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5B38"/>
  </w:style>
  <w:style w:type="paragraph" w:styleId="Footer">
    <w:name w:val="footer"/>
    <w:basedOn w:val="Normal"/>
    <w:link w:val="FooterChar"/>
    <w:uiPriority w:val="99"/>
    <w:unhideWhenUsed/>
    <w:rsid w:val="00455B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5B38"/>
  </w:style>
  <w:style w:type="paragraph" w:styleId="NormalWeb">
    <w:name w:val="Normal (Web)"/>
    <w:basedOn w:val="Normal"/>
    <w:uiPriority w:val="99"/>
    <w:semiHidden/>
    <w:unhideWhenUsed/>
    <w:rsid w:val="00455B3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55B38"/>
    <w:rPr>
      <w:i/>
      <w:iCs/>
    </w:rPr>
  </w:style>
  <w:style w:type="character" w:styleId="Hyperlink">
    <w:name w:val="Hyperlink"/>
    <w:basedOn w:val="DefaultParagraphFont"/>
    <w:uiPriority w:val="99"/>
    <w:semiHidden/>
    <w:unhideWhenUsed/>
    <w:rsid w:val="00455B38"/>
    <w:rPr>
      <w:color w:val="0000FF"/>
      <w:u w:val="single"/>
    </w:rPr>
  </w:style>
  <w:style w:type="table" w:customStyle="1" w:styleId="TableGrid1">
    <w:name w:val="Table Grid1"/>
    <w:basedOn w:val="TableNormal"/>
    <w:next w:val="TableGrid"/>
    <w:uiPriority w:val="39"/>
    <w:rsid w:val="00830A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121920">
      <w:bodyDiv w:val="1"/>
      <w:marLeft w:val="0"/>
      <w:marRight w:val="0"/>
      <w:marTop w:val="0"/>
      <w:marBottom w:val="0"/>
      <w:divBdr>
        <w:top w:val="none" w:sz="0" w:space="0" w:color="auto"/>
        <w:left w:val="none" w:sz="0" w:space="0" w:color="auto"/>
        <w:bottom w:val="none" w:sz="0" w:space="0" w:color="auto"/>
        <w:right w:val="none" w:sz="0" w:space="0" w:color="auto"/>
      </w:divBdr>
    </w:div>
    <w:div w:id="667638957">
      <w:bodyDiv w:val="1"/>
      <w:marLeft w:val="0"/>
      <w:marRight w:val="0"/>
      <w:marTop w:val="0"/>
      <w:marBottom w:val="0"/>
      <w:divBdr>
        <w:top w:val="none" w:sz="0" w:space="0" w:color="auto"/>
        <w:left w:val="none" w:sz="0" w:space="0" w:color="auto"/>
        <w:bottom w:val="none" w:sz="0" w:space="0" w:color="auto"/>
        <w:right w:val="none" w:sz="0" w:space="0" w:color="auto"/>
      </w:divBdr>
      <w:divsChild>
        <w:div w:id="1212963041">
          <w:marLeft w:val="0"/>
          <w:marRight w:val="0"/>
          <w:marTop w:val="0"/>
          <w:marBottom w:val="0"/>
          <w:divBdr>
            <w:top w:val="none" w:sz="0" w:space="0" w:color="auto"/>
            <w:left w:val="none" w:sz="0" w:space="0" w:color="auto"/>
            <w:bottom w:val="none" w:sz="0" w:space="0" w:color="auto"/>
            <w:right w:val="none" w:sz="0" w:space="0" w:color="auto"/>
          </w:divBdr>
          <w:divsChild>
            <w:div w:id="1824393025">
              <w:marLeft w:val="0"/>
              <w:marRight w:val="0"/>
              <w:marTop w:val="0"/>
              <w:marBottom w:val="0"/>
              <w:divBdr>
                <w:top w:val="none" w:sz="0" w:space="0" w:color="auto"/>
                <w:left w:val="none" w:sz="0" w:space="0" w:color="auto"/>
                <w:bottom w:val="none" w:sz="0" w:space="0" w:color="auto"/>
                <w:right w:val="none" w:sz="0" w:space="0" w:color="auto"/>
              </w:divBdr>
              <w:divsChild>
                <w:div w:id="581723539">
                  <w:marLeft w:val="0"/>
                  <w:marRight w:val="0"/>
                  <w:marTop w:val="0"/>
                  <w:marBottom w:val="0"/>
                  <w:divBdr>
                    <w:top w:val="none" w:sz="0" w:space="0" w:color="auto"/>
                    <w:left w:val="none" w:sz="0" w:space="0" w:color="auto"/>
                    <w:bottom w:val="none" w:sz="0" w:space="0" w:color="auto"/>
                    <w:right w:val="none" w:sz="0" w:space="0" w:color="auto"/>
                  </w:divBdr>
                  <w:divsChild>
                    <w:div w:id="1420716510">
                      <w:marLeft w:val="0"/>
                      <w:marRight w:val="0"/>
                      <w:marTop w:val="0"/>
                      <w:marBottom w:val="0"/>
                      <w:divBdr>
                        <w:top w:val="none" w:sz="0" w:space="0" w:color="auto"/>
                        <w:left w:val="none" w:sz="0" w:space="0" w:color="auto"/>
                        <w:bottom w:val="none" w:sz="0" w:space="0" w:color="auto"/>
                        <w:right w:val="none" w:sz="0" w:space="0" w:color="auto"/>
                      </w:divBdr>
                      <w:divsChild>
                        <w:div w:id="444738482">
                          <w:marLeft w:val="0"/>
                          <w:marRight w:val="0"/>
                          <w:marTop w:val="0"/>
                          <w:marBottom w:val="0"/>
                          <w:divBdr>
                            <w:top w:val="none" w:sz="0" w:space="0" w:color="auto"/>
                            <w:left w:val="none" w:sz="0" w:space="0" w:color="auto"/>
                            <w:bottom w:val="none" w:sz="0" w:space="0" w:color="auto"/>
                            <w:right w:val="none" w:sz="0" w:space="0" w:color="auto"/>
                          </w:divBdr>
                          <w:divsChild>
                            <w:div w:id="205534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0183067">
          <w:marLeft w:val="0"/>
          <w:marRight w:val="0"/>
          <w:marTop w:val="0"/>
          <w:marBottom w:val="0"/>
          <w:divBdr>
            <w:top w:val="none" w:sz="0" w:space="0" w:color="auto"/>
            <w:left w:val="none" w:sz="0" w:space="0" w:color="auto"/>
            <w:bottom w:val="none" w:sz="0" w:space="0" w:color="auto"/>
            <w:right w:val="none" w:sz="0" w:space="0" w:color="auto"/>
          </w:divBdr>
          <w:divsChild>
            <w:div w:id="1234588188">
              <w:marLeft w:val="0"/>
              <w:marRight w:val="0"/>
              <w:marTop w:val="0"/>
              <w:marBottom w:val="0"/>
              <w:divBdr>
                <w:top w:val="none" w:sz="0" w:space="0" w:color="auto"/>
                <w:left w:val="none" w:sz="0" w:space="0" w:color="auto"/>
                <w:bottom w:val="none" w:sz="0" w:space="0" w:color="auto"/>
                <w:right w:val="none" w:sz="0" w:space="0" w:color="auto"/>
              </w:divBdr>
              <w:divsChild>
                <w:div w:id="1694257710">
                  <w:marLeft w:val="0"/>
                  <w:marRight w:val="0"/>
                  <w:marTop w:val="0"/>
                  <w:marBottom w:val="0"/>
                  <w:divBdr>
                    <w:top w:val="none" w:sz="0" w:space="0" w:color="auto"/>
                    <w:left w:val="none" w:sz="0" w:space="0" w:color="auto"/>
                    <w:bottom w:val="none" w:sz="0" w:space="0" w:color="auto"/>
                    <w:right w:val="none" w:sz="0" w:space="0" w:color="auto"/>
                  </w:divBdr>
                  <w:divsChild>
                    <w:div w:id="1441413046">
                      <w:marLeft w:val="0"/>
                      <w:marRight w:val="0"/>
                      <w:marTop w:val="0"/>
                      <w:marBottom w:val="0"/>
                      <w:divBdr>
                        <w:top w:val="none" w:sz="0" w:space="0" w:color="auto"/>
                        <w:left w:val="none" w:sz="0" w:space="0" w:color="auto"/>
                        <w:bottom w:val="none" w:sz="0" w:space="0" w:color="auto"/>
                        <w:right w:val="none" w:sz="0" w:space="0" w:color="auto"/>
                      </w:divBdr>
                      <w:divsChild>
                        <w:div w:id="1453130664">
                          <w:marLeft w:val="0"/>
                          <w:marRight w:val="0"/>
                          <w:marTop w:val="0"/>
                          <w:marBottom w:val="0"/>
                          <w:divBdr>
                            <w:top w:val="none" w:sz="0" w:space="0" w:color="auto"/>
                            <w:left w:val="none" w:sz="0" w:space="0" w:color="auto"/>
                            <w:bottom w:val="none" w:sz="0" w:space="0" w:color="auto"/>
                            <w:right w:val="none" w:sz="0" w:space="0" w:color="auto"/>
                          </w:divBdr>
                          <w:divsChild>
                            <w:div w:id="803935709">
                              <w:marLeft w:val="0"/>
                              <w:marRight w:val="0"/>
                              <w:marTop w:val="0"/>
                              <w:marBottom w:val="0"/>
                              <w:divBdr>
                                <w:top w:val="none" w:sz="0" w:space="0" w:color="auto"/>
                                <w:left w:val="none" w:sz="0" w:space="0" w:color="auto"/>
                                <w:bottom w:val="none" w:sz="0" w:space="0" w:color="auto"/>
                                <w:right w:val="none" w:sz="0" w:space="0" w:color="auto"/>
                              </w:divBdr>
                              <w:divsChild>
                                <w:div w:id="169010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9239326">
          <w:marLeft w:val="0"/>
          <w:marRight w:val="0"/>
          <w:marTop w:val="0"/>
          <w:marBottom w:val="0"/>
          <w:divBdr>
            <w:top w:val="none" w:sz="0" w:space="0" w:color="auto"/>
            <w:left w:val="none" w:sz="0" w:space="0" w:color="auto"/>
            <w:bottom w:val="none" w:sz="0" w:space="0" w:color="auto"/>
            <w:right w:val="none" w:sz="0" w:space="0" w:color="auto"/>
          </w:divBdr>
          <w:divsChild>
            <w:div w:id="760221715">
              <w:marLeft w:val="0"/>
              <w:marRight w:val="0"/>
              <w:marTop w:val="0"/>
              <w:marBottom w:val="0"/>
              <w:divBdr>
                <w:top w:val="none" w:sz="0" w:space="0" w:color="auto"/>
                <w:left w:val="none" w:sz="0" w:space="0" w:color="auto"/>
                <w:bottom w:val="none" w:sz="0" w:space="0" w:color="auto"/>
                <w:right w:val="none" w:sz="0" w:space="0" w:color="auto"/>
              </w:divBdr>
              <w:divsChild>
                <w:div w:id="239751839">
                  <w:marLeft w:val="0"/>
                  <w:marRight w:val="0"/>
                  <w:marTop w:val="0"/>
                  <w:marBottom w:val="0"/>
                  <w:divBdr>
                    <w:top w:val="none" w:sz="0" w:space="0" w:color="auto"/>
                    <w:left w:val="none" w:sz="0" w:space="0" w:color="auto"/>
                    <w:bottom w:val="none" w:sz="0" w:space="0" w:color="auto"/>
                    <w:right w:val="none" w:sz="0" w:space="0" w:color="auto"/>
                  </w:divBdr>
                  <w:divsChild>
                    <w:div w:id="358816386">
                      <w:marLeft w:val="0"/>
                      <w:marRight w:val="0"/>
                      <w:marTop w:val="0"/>
                      <w:marBottom w:val="0"/>
                      <w:divBdr>
                        <w:top w:val="none" w:sz="0" w:space="0" w:color="auto"/>
                        <w:left w:val="none" w:sz="0" w:space="0" w:color="auto"/>
                        <w:bottom w:val="none" w:sz="0" w:space="0" w:color="auto"/>
                        <w:right w:val="none" w:sz="0" w:space="0" w:color="auto"/>
                      </w:divBdr>
                      <w:divsChild>
                        <w:div w:id="602417182">
                          <w:marLeft w:val="0"/>
                          <w:marRight w:val="0"/>
                          <w:marTop w:val="0"/>
                          <w:marBottom w:val="0"/>
                          <w:divBdr>
                            <w:top w:val="none" w:sz="0" w:space="0" w:color="auto"/>
                            <w:left w:val="none" w:sz="0" w:space="0" w:color="auto"/>
                            <w:bottom w:val="none" w:sz="0" w:space="0" w:color="auto"/>
                            <w:right w:val="none" w:sz="0" w:space="0" w:color="auto"/>
                          </w:divBdr>
                          <w:divsChild>
                            <w:div w:id="669941733">
                              <w:marLeft w:val="0"/>
                              <w:marRight w:val="0"/>
                              <w:marTop w:val="0"/>
                              <w:marBottom w:val="0"/>
                              <w:divBdr>
                                <w:top w:val="none" w:sz="0" w:space="0" w:color="auto"/>
                                <w:left w:val="none" w:sz="0" w:space="0" w:color="auto"/>
                                <w:bottom w:val="none" w:sz="0" w:space="0" w:color="auto"/>
                                <w:right w:val="none" w:sz="0" w:space="0" w:color="auto"/>
                              </w:divBdr>
                              <w:divsChild>
                                <w:div w:id="882668726">
                                  <w:marLeft w:val="0"/>
                                  <w:marRight w:val="0"/>
                                  <w:marTop w:val="0"/>
                                  <w:marBottom w:val="0"/>
                                  <w:divBdr>
                                    <w:top w:val="none" w:sz="0" w:space="0" w:color="auto"/>
                                    <w:left w:val="none" w:sz="0" w:space="0" w:color="auto"/>
                                    <w:bottom w:val="none" w:sz="0" w:space="0" w:color="auto"/>
                                    <w:right w:val="none" w:sz="0" w:space="0" w:color="auto"/>
                                  </w:divBdr>
                                  <w:divsChild>
                                    <w:div w:id="200311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4391178">
      <w:bodyDiv w:val="1"/>
      <w:marLeft w:val="0"/>
      <w:marRight w:val="0"/>
      <w:marTop w:val="0"/>
      <w:marBottom w:val="0"/>
      <w:divBdr>
        <w:top w:val="none" w:sz="0" w:space="0" w:color="auto"/>
        <w:left w:val="none" w:sz="0" w:space="0" w:color="auto"/>
        <w:bottom w:val="none" w:sz="0" w:space="0" w:color="auto"/>
        <w:right w:val="none" w:sz="0" w:space="0" w:color="auto"/>
      </w:divBdr>
    </w:div>
    <w:div w:id="1210335192">
      <w:bodyDiv w:val="1"/>
      <w:marLeft w:val="0"/>
      <w:marRight w:val="0"/>
      <w:marTop w:val="0"/>
      <w:marBottom w:val="0"/>
      <w:divBdr>
        <w:top w:val="none" w:sz="0" w:space="0" w:color="auto"/>
        <w:left w:val="none" w:sz="0" w:space="0" w:color="auto"/>
        <w:bottom w:val="none" w:sz="0" w:space="0" w:color="auto"/>
        <w:right w:val="none" w:sz="0" w:space="0" w:color="auto"/>
      </w:divBdr>
    </w:div>
    <w:div w:id="1260137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28" TargetMode="External" /><Relationship Id="rId3" Type="http://schemas.openxmlformats.org/officeDocument/2006/relationships/webSettings" Target="webSettings.xml" /><Relationship Id="rId7" Type="http://schemas.openxmlformats.org/officeDocument/2006/relationships/image" Target="media/image2.jpeg"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hyperlink" Target="https://www.england.nhs.uk/2024/11/hospital-admissions-for-strokes-rise-by-28-since-2004-as-nhs-urges-the-public-to-act-fas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2403</Words>
  <Characters>13701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khadija aasghar</cp:lastModifiedBy>
  <cp:revision>2</cp:revision>
  <dcterms:created xsi:type="dcterms:W3CDTF">2026-03-05T19:05:00Z</dcterms:created>
  <dcterms:modified xsi:type="dcterms:W3CDTF">2026-03-05T19:05:00Z</dcterms:modified>
</cp:coreProperties>
</file>