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2258E" w14:textId="77777777" w:rsidR="003E06BF" w:rsidRDefault="003E06BF" w:rsidP="003E06BF">
      <w:pPr>
        <w:spacing w:after="0" w:line="480" w:lineRule="auto"/>
        <w:contextualSpacing/>
        <w:jc w:val="center"/>
        <w:rPr>
          <w:rFonts w:ascii="Times New Roman" w:hAnsi="Times New Roman" w:cs="Times New Roman"/>
          <w:b/>
          <w:sz w:val="24"/>
        </w:rPr>
      </w:pPr>
    </w:p>
    <w:p w14:paraId="66B788C2" w14:textId="77777777" w:rsidR="003E06BF" w:rsidRDefault="003E06BF" w:rsidP="003E06BF">
      <w:pPr>
        <w:spacing w:after="0" w:line="480" w:lineRule="auto"/>
        <w:contextualSpacing/>
        <w:jc w:val="center"/>
        <w:rPr>
          <w:rFonts w:ascii="Times New Roman" w:hAnsi="Times New Roman" w:cs="Times New Roman"/>
          <w:b/>
          <w:sz w:val="24"/>
        </w:rPr>
      </w:pPr>
    </w:p>
    <w:p w14:paraId="2A0661F4" w14:textId="77777777" w:rsidR="003E06BF" w:rsidRDefault="003E06BF" w:rsidP="003E06BF">
      <w:pPr>
        <w:spacing w:after="0" w:line="480" w:lineRule="auto"/>
        <w:contextualSpacing/>
        <w:jc w:val="center"/>
        <w:rPr>
          <w:rFonts w:ascii="Times New Roman" w:hAnsi="Times New Roman" w:cs="Times New Roman"/>
          <w:b/>
          <w:sz w:val="24"/>
        </w:rPr>
      </w:pPr>
    </w:p>
    <w:p w14:paraId="51E8A18F" w14:textId="77777777" w:rsidR="003E06BF" w:rsidRDefault="003E06BF" w:rsidP="003E06BF">
      <w:pPr>
        <w:spacing w:after="0" w:line="480" w:lineRule="auto"/>
        <w:contextualSpacing/>
        <w:jc w:val="center"/>
        <w:rPr>
          <w:rFonts w:ascii="Times New Roman" w:hAnsi="Times New Roman" w:cs="Times New Roman"/>
          <w:b/>
          <w:sz w:val="24"/>
        </w:rPr>
      </w:pPr>
    </w:p>
    <w:p w14:paraId="648AD592" w14:textId="77777777" w:rsidR="003E06BF" w:rsidRDefault="003E06BF" w:rsidP="003E06BF">
      <w:pPr>
        <w:spacing w:after="0" w:line="480" w:lineRule="auto"/>
        <w:contextualSpacing/>
        <w:jc w:val="center"/>
        <w:rPr>
          <w:rFonts w:ascii="Times New Roman" w:hAnsi="Times New Roman" w:cs="Times New Roman"/>
          <w:b/>
          <w:sz w:val="24"/>
        </w:rPr>
      </w:pPr>
    </w:p>
    <w:p w14:paraId="3D302E16" w14:textId="77777777" w:rsidR="003E06BF" w:rsidRDefault="003E06BF" w:rsidP="003E06BF">
      <w:pPr>
        <w:spacing w:after="0" w:line="480" w:lineRule="auto"/>
        <w:contextualSpacing/>
        <w:jc w:val="center"/>
        <w:rPr>
          <w:rFonts w:ascii="Times New Roman" w:hAnsi="Times New Roman" w:cs="Times New Roman"/>
          <w:b/>
          <w:sz w:val="24"/>
        </w:rPr>
      </w:pPr>
    </w:p>
    <w:p w14:paraId="7C64D8FB" w14:textId="77777777" w:rsidR="003E06BF" w:rsidRDefault="003E06BF" w:rsidP="003E06BF">
      <w:pPr>
        <w:spacing w:after="0" w:line="480" w:lineRule="auto"/>
        <w:contextualSpacing/>
        <w:jc w:val="center"/>
        <w:rPr>
          <w:rFonts w:ascii="Times New Roman" w:hAnsi="Times New Roman" w:cs="Times New Roman"/>
          <w:b/>
          <w:sz w:val="24"/>
        </w:rPr>
      </w:pPr>
    </w:p>
    <w:p w14:paraId="43E510F7" w14:textId="77777777" w:rsidR="003E06BF" w:rsidRDefault="003E06BF" w:rsidP="003E06BF">
      <w:pPr>
        <w:spacing w:after="0" w:line="480" w:lineRule="auto"/>
        <w:contextualSpacing/>
        <w:jc w:val="center"/>
        <w:rPr>
          <w:rFonts w:ascii="Times New Roman" w:hAnsi="Times New Roman" w:cs="Times New Roman"/>
          <w:b/>
          <w:sz w:val="24"/>
        </w:rPr>
      </w:pPr>
    </w:p>
    <w:p w14:paraId="45C8B044" w14:textId="77777777" w:rsidR="003E06BF" w:rsidRDefault="003E06BF" w:rsidP="003E06BF">
      <w:pPr>
        <w:spacing w:after="0" w:line="480" w:lineRule="auto"/>
        <w:contextualSpacing/>
        <w:jc w:val="center"/>
        <w:rPr>
          <w:rFonts w:ascii="Times New Roman" w:hAnsi="Times New Roman" w:cs="Times New Roman"/>
          <w:b/>
          <w:sz w:val="24"/>
        </w:rPr>
      </w:pPr>
    </w:p>
    <w:p w14:paraId="3F1F070E" w14:textId="77777777" w:rsidR="003E06BF" w:rsidRPr="003E06BF" w:rsidRDefault="003E06BF" w:rsidP="003E06BF">
      <w:pPr>
        <w:spacing w:after="0" w:line="480" w:lineRule="auto"/>
        <w:contextualSpacing/>
        <w:jc w:val="center"/>
        <w:rPr>
          <w:rFonts w:ascii="Times New Roman" w:hAnsi="Times New Roman" w:cs="Times New Roman"/>
          <w:b/>
          <w:sz w:val="24"/>
        </w:rPr>
      </w:pPr>
      <w:r w:rsidRPr="003E06BF">
        <w:rPr>
          <w:rFonts w:ascii="Times New Roman" w:hAnsi="Times New Roman" w:cs="Times New Roman"/>
          <w:b/>
          <w:sz w:val="24"/>
        </w:rPr>
        <w:t>Title: “Reform of Homicide”</w:t>
      </w:r>
    </w:p>
    <w:p w14:paraId="245E8293" w14:textId="41FA4EC6" w:rsidR="003E06BF" w:rsidRPr="003E06BF" w:rsidRDefault="003E06BF" w:rsidP="003E06BF">
      <w:pPr>
        <w:spacing w:after="0" w:line="480" w:lineRule="auto"/>
        <w:contextualSpacing/>
        <w:jc w:val="center"/>
        <w:rPr>
          <w:rFonts w:ascii="Times New Roman" w:hAnsi="Times New Roman" w:cs="Times New Roman"/>
          <w:b/>
          <w:sz w:val="24"/>
        </w:rPr>
      </w:pPr>
      <w:r w:rsidRPr="003E06BF">
        <w:rPr>
          <w:rFonts w:ascii="Times New Roman" w:hAnsi="Times New Roman" w:cs="Times New Roman"/>
          <w:b/>
          <w:sz w:val="24"/>
        </w:rPr>
        <w:t>[Student Name</w:t>
      </w:r>
      <w:r w:rsidR="002C6C35">
        <w:rPr>
          <w:rFonts w:ascii="Times New Roman" w:hAnsi="Times New Roman" w:cs="Times New Roman"/>
          <w:b/>
          <w:sz w:val="24"/>
        </w:rPr>
        <w:t>: NASSON MSONI</w:t>
      </w:r>
      <w:r w:rsidRPr="003E06BF">
        <w:rPr>
          <w:rFonts w:ascii="Times New Roman" w:hAnsi="Times New Roman" w:cs="Times New Roman"/>
          <w:b/>
          <w:sz w:val="24"/>
        </w:rPr>
        <w:t>]</w:t>
      </w:r>
    </w:p>
    <w:p w14:paraId="58C3F6C0" w14:textId="767A9015" w:rsidR="003E06BF" w:rsidRPr="003E06BF" w:rsidRDefault="003E06BF" w:rsidP="003E06BF">
      <w:pPr>
        <w:spacing w:after="0" w:line="480" w:lineRule="auto"/>
        <w:contextualSpacing/>
        <w:jc w:val="center"/>
        <w:rPr>
          <w:rFonts w:ascii="Times New Roman" w:hAnsi="Times New Roman" w:cs="Times New Roman"/>
          <w:b/>
          <w:sz w:val="24"/>
        </w:rPr>
      </w:pPr>
      <w:r w:rsidRPr="003E06BF">
        <w:rPr>
          <w:rFonts w:ascii="Times New Roman" w:hAnsi="Times New Roman" w:cs="Times New Roman"/>
          <w:b/>
          <w:sz w:val="24"/>
        </w:rPr>
        <w:t>[Student ID</w:t>
      </w:r>
      <w:r w:rsidR="002C6C35">
        <w:rPr>
          <w:rFonts w:ascii="Times New Roman" w:hAnsi="Times New Roman" w:cs="Times New Roman"/>
          <w:b/>
          <w:sz w:val="24"/>
        </w:rPr>
        <w:t>: 2244265</w:t>
      </w:r>
      <w:r w:rsidRPr="003E06BF">
        <w:rPr>
          <w:rFonts w:ascii="Times New Roman" w:hAnsi="Times New Roman" w:cs="Times New Roman"/>
          <w:b/>
          <w:sz w:val="24"/>
        </w:rPr>
        <w:t>]</w:t>
      </w:r>
    </w:p>
    <w:p w14:paraId="113945CE" w14:textId="77777777" w:rsidR="003E06BF" w:rsidRPr="003E06BF" w:rsidRDefault="003E06BF" w:rsidP="003E06BF">
      <w:pPr>
        <w:spacing w:after="0" w:line="480" w:lineRule="auto"/>
        <w:contextualSpacing/>
        <w:rPr>
          <w:rFonts w:ascii="Times New Roman" w:hAnsi="Times New Roman" w:cs="Times New Roman"/>
          <w:b/>
          <w:sz w:val="24"/>
        </w:rPr>
      </w:pPr>
      <w:r w:rsidRPr="003E06BF">
        <w:rPr>
          <w:rFonts w:ascii="Times New Roman" w:hAnsi="Times New Roman" w:cs="Times New Roman"/>
          <w:b/>
          <w:sz w:val="24"/>
        </w:rPr>
        <w:br w:type="page"/>
      </w:r>
    </w:p>
    <w:sdt>
      <w:sdtPr>
        <w:rPr>
          <w:rFonts w:ascii="Times New Roman" w:eastAsiaTheme="minorHAnsi" w:hAnsi="Times New Roman" w:cs="Times New Roman"/>
          <w:b/>
          <w:color w:val="000000" w:themeColor="text1"/>
          <w:sz w:val="24"/>
          <w:szCs w:val="24"/>
        </w:rPr>
        <w:id w:val="-711737020"/>
        <w:docPartObj>
          <w:docPartGallery w:val="Table of Contents"/>
          <w:docPartUnique/>
        </w:docPartObj>
      </w:sdtPr>
      <w:sdtEndPr>
        <w:rPr>
          <w:b w:val="0"/>
          <w:bCs/>
          <w:noProof/>
        </w:rPr>
      </w:sdtEndPr>
      <w:sdtContent>
        <w:p w14:paraId="5D37A136" w14:textId="77777777" w:rsidR="003E06BF" w:rsidRPr="00CE61C6" w:rsidRDefault="003E06BF" w:rsidP="00CE61C6">
          <w:pPr>
            <w:pStyle w:val="TOCHeading"/>
            <w:spacing w:before="0" w:line="480" w:lineRule="auto"/>
            <w:contextualSpacing/>
            <w:jc w:val="center"/>
            <w:rPr>
              <w:rFonts w:ascii="Times New Roman" w:hAnsi="Times New Roman" w:cs="Times New Roman"/>
              <w:b/>
              <w:color w:val="000000" w:themeColor="text1"/>
              <w:sz w:val="24"/>
              <w:szCs w:val="24"/>
            </w:rPr>
          </w:pPr>
          <w:r w:rsidRPr="00CE61C6">
            <w:rPr>
              <w:rFonts w:ascii="Times New Roman" w:hAnsi="Times New Roman" w:cs="Times New Roman"/>
              <w:b/>
              <w:color w:val="000000" w:themeColor="text1"/>
              <w:sz w:val="24"/>
              <w:szCs w:val="24"/>
            </w:rPr>
            <w:t>Table of Contents</w:t>
          </w:r>
        </w:p>
        <w:p w14:paraId="3A30895B" w14:textId="77777777" w:rsidR="003E06BF" w:rsidRPr="00CE61C6" w:rsidRDefault="003E06BF" w:rsidP="00CE61C6">
          <w:pPr>
            <w:pStyle w:val="TOC1"/>
            <w:tabs>
              <w:tab w:val="right" w:leader="dot" w:pos="9350"/>
            </w:tabs>
            <w:spacing w:after="0" w:line="480" w:lineRule="auto"/>
            <w:contextualSpacing/>
            <w:rPr>
              <w:rFonts w:ascii="Times New Roman" w:hAnsi="Times New Roman" w:cs="Times New Roman"/>
              <w:noProof/>
              <w:color w:val="000000" w:themeColor="text1"/>
              <w:sz w:val="24"/>
              <w:szCs w:val="24"/>
            </w:rPr>
          </w:pPr>
          <w:r w:rsidRPr="00CE61C6">
            <w:rPr>
              <w:rFonts w:ascii="Times New Roman" w:hAnsi="Times New Roman" w:cs="Times New Roman"/>
              <w:color w:val="000000" w:themeColor="text1"/>
              <w:sz w:val="24"/>
              <w:szCs w:val="24"/>
            </w:rPr>
            <w:fldChar w:fldCharType="begin"/>
          </w:r>
          <w:r w:rsidRPr="00CE61C6">
            <w:rPr>
              <w:rFonts w:ascii="Times New Roman" w:hAnsi="Times New Roman" w:cs="Times New Roman"/>
              <w:color w:val="000000" w:themeColor="text1"/>
              <w:sz w:val="24"/>
              <w:szCs w:val="24"/>
            </w:rPr>
            <w:instrText xml:space="preserve"> TOC \o "1-3" \h \z \u </w:instrText>
          </w:r>
          <w:r w:rsidRPr="00CE61C6">
            <w:rPr>
              <w:rFonts w:ascii="Times New Roman" w:hAnsi="Times New Roman" w:cs="Times New Roman"/>
              <w:color w:val="000000" w:themeColor="text1"/>
              <w:sz w:val="24"/>
              <w:szCs w:val="24"/>
            </w:rPr>
            <w:fldChar w:fldCharType="separate"/>
          </w:r>
          <w:hyperlink w:anchor="_Toc139456454" w:history="1">
            <w:r w:rsidRPr="00CE61C6">
              <w:rPr>
                <w:rStyle w:val="Hyperlink"/>
                <w:rFonts w:ascii="Times New Roman" w:hAnsi="Times New Roman" w:cs="Times New Roman"/>
                <w:noProof/>
                <w:color w:val="000000" w:themeColor="text1"/>
                <w:sz w:val="24"/>
                <w:szCs w:val="24"/>
              </w:rPr>
              <w:t>Introduction</w:t>
            </w:r>
            <w:r w:rsidRPr="00CE61C6">
              <w:rPr>
                <w:rFonts w:ascii="Times New Roman" w:hAnsi="Times New Roman" w:cs="Times New Roman"/>
                <w:noProof/>
                <w:webHidden/>
                <w:color w:val="000000" w:themeColor="text1"/>
                <w:sz w:val="24"/>
                <w:szCs w:val="24"/>
              </w:rPr>
              <w:tab/>
            </w:r>
            <w:r w:rsidRPr="00CE61C6">
              <w:rPr>
                <w:rFonts w:ascii="Times New Roman" w:hAnsi="Times New Roman" w:cs="Times New Roman"/>
                <w:noProof/>
                <w:webHidden/>
                <w:color w:val="000000" w:themeColor="text1"/>
                <w:sz w:val="24"/>
                <w:szCs w:val="24"/>
              </w:rPr>
              <w:fldChar w:fldCharType="begin"/>
            </w:r>
            <w:r w:rsidRPr="00CE61C6">
              <w:rPr>
                <w:rFonts w:ascii="Times New Roman" w:hAnsi="Times New Roman" w:cs="Times New Roman"/>
                <w:noProof/>
                <w:webHidden/>
                <w:color w:val="000000" w:themeColor="text1"/>
                <w:sz w:val="24"/>
                <w:szCs w:val="24"/>
              </w:rPr>
              <w:instrText xml:space="preserve"> PAGEREF _Toc139456454 \h </w:instrText>
            </w:r>
            <w:r w:rsidRPr="00CE61C6">
              <w:rPr>
                <w:rFonts w:ascii="Times New Roman" w:hAnsi="Times New Roman" w:cs="Times New Roman"/>
                <w:noProof/>
                <w:webHidden/>
                <w:color w:val="000000" w:themeColor="text1"/>
                <w:sz w:val="24"/>
                <w:szCs w:val="24"/>
              </w:rPr>
            </w:r>
            <w:r w:rsidRPr="00CE61C6">
              <w:rPr>
                <w:rFonts w:ascii="Times New Roman" w:hAnsi="Times New Roman" w:cs="Times New Roman"/>
                <w:noProof/>
                <w:webHidden/>
                <w:color w:val="000000" w:themeColor="text1"/>
                <w:sz w:val="24"/>
                <w:szCs w:val="24"/>
              </w:rPr>
              <w:fldChar w:fldCharType="separate"/>
            </w:r>
            <w:r w:rsidRPr="00CE61C6">
              <w:rPr>
                <w:rFonts w:ascii="Times New Roman" w:hAnsi="Times New Roman" w:cs="Times New Roman"/>
                <w:noProof/>
                <w:webHidden/>
                <w:color w:val="000000" w:themeColor="text1"/>
                <w:sz w:val="24"/>
                <w:szCs w:val="24"/>
              </w:rPr>
              <w:t>3</w:t>
            </w:r>
            <w:r w:rsidRPr="00CE61C6">
              <w:rPr>
                <w:rFonts w:ascii="Times New Roman" w:hAnsi="Times New Roman" w:cs="Times New Roman"/>
                <w:noProof/>
                <w:webHidden/>
                <w:color w:val="000000" w:themeColor="text1"/>
                <w:sz w:val="24"/>
                <w:szCs w:val="24"/>
              </w:rPr>
              <w:fldChar w:fldCharType="end"/>
            </w:r>
          </w:hyperlink>
        </w:p>
        <w:p w14:paraId="731241BF" w14:textId="77777777" w:rsidR="003E06BF" w:rsidRPr="00CE61C6" w:rsidRDefault="00000000" w:rsidP="00CE61C6">
          <w:pPr>
            <w:pStyle w:val="TOC1"/>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55" w:history="1">
            <w:r w:rsidR="003E06BF" w:rsidRPr="00CE61C6">
              <w:rPr>
                <w:rStyle w:val="Hyperlink"/>
                <w:rFonts w:ascii="Times New Roman" w:hAnsi="Times New Roman" w:cs="Times New Roman"/>
                <w:noProof/>
                <w:color w:val="000000" w:themeColor="text1"/>
                <w:sz w:val="24"/>
                <w:szCs w:val="24"/>
              </w:rPr>
              <w:t>Current Law Governing Homicide</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_Toc139456455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3</w:t>
            </w:r>
            <w:r w:rsidR="003E06BF" w:rsidRPr="00CE61C6">
              <w:rPr>
                <w:rFonts w:ascii="Times New Roman" w:hAnsi="Times New Roman" w:cs="Times New Roman"/>
                <w:noProof/>
                <w:webHidden/>
                <w:color w:val="000000" w:themeColor="text1"/>
                <w:sz w:val="24"/>
                <w:szCs w:val="24"/>
              </w:rPr>
              <w:fldChar w:fldCharType="end"/>
            </w:r>
          </w:hyperlink>
        </w:p>
        <w:p w14:paraId="1E71267D" w14:textId="77777777" w:rsidR="003E06BF" w:rsidRPr="00CE61C6" w:rsidRDefault="00000000" w:rsidP="00CE61C6">
          <w:pPr>
            <w:pStyle w:val="TOC1"/>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56" w:history="1">
            <w:r w:rsidR="003E06BF" w:rsidRPr="00CE61C6">
              <w:rPr>
                <w:rStyle w:val="Hyperlink"/>
                <w:rFonts w:ascii="Times New Roman" w:hAnsi="Times New Roman" w:cs="Times New Roman"/>
                <w:noProof/>
                <w:color w:val="000000" w:themeColor="text1"/>
                <w:sz w:val="24"/>
                <w:szCs w:val="24"/>
              </w:rPr>
              <w:t>Key Issues in Homicide Law</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_Toc139456456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4</w:t>
            </w:r>
            <w:r w:rsidR="003E06BF" w:rsidRPr="00CE61C6">
              <w:rPr>
                <w:rFonts w:ascii="Times New Roman" w:hAnsi="Times New Roman" w:cs="Times New Roman"/>
                <w:noProof/>
                <w:webHidden/>
                <w:color w:val="000000" w:themeColor="text1"/>
                <w:sz w:val="24"/>
                <w:szCs w:val="24"/>
              </w:rPr>
              <w:fldChar w:fldCharType="end"/>
            </w:r>
          </w:hyperlink>
        </w:p>
        <w:p w14:paraId="75DE44AD" w14:textId="77777777" w:rsidR="003E06BF" w:rsidRPr="00CE61C6" w:rsidRDefault="00000000" w:rsidP="00CE61C6">
          <w:pPr>
            <w:pStyle w:val="TOC2"/>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57" w:history="1">
            <w:r w:rsidR="003E06BF" w:rsidRPr="00CE61C6">
              <w:rPr>
                <w:rStyle w:val="Hyperlink"/>
                <w:rFonts w:ascii="Times New Roman" w:hAnsi="Times New Roman" w:cs="Times New Roman"/>
                <w:noProof/>
                <w:color w:val="000000" w:themeColor="text1"/>
                <w:sz w:val="24"/>
                <w:szCs w:val="24"/>
              </w:rPr>
              <w:t>A. Partial Defenses to Murder</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_Toc139456457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4</w:t>
            </w:r>
            <w:r w:rsidR="003E06BF" w:rsidRPr="00CE61C6">
              <w:rPr>
                <w:rFonts w:ascii="Times New Roman" w:hAnsi="Times New Roman" w:cs="Times New Roman"/>
                <w:noProof/>
                <w:webHidden/>
                <w:color w:val="000000" w:themeColor="text1"/>
                <w:sz w:val="24"/>
                <w:szCs w:val="24"/>
              </w:rPr>
              <w:fldChar w:fldCharType="end"/>
            </w:r>
          </w:hyperlink>
        </w:p>
        <w:p w14:paraId="6AFD94AF" w14:textId="77777777" w:rsidR="003E06BF" w:rsidRPr="00CE61C6" w:rsidRDefault="00000000" w:rsidP="00CE61C6">
          <w:pPr>
            <w:pStyle w:val="TOC2"/>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58" w:history="1">
            <w:r w:rsidR="003E06BF" w:rsidRPr="00CE61C6">
              <w:rPr>
                <w:rStyle w:val="Hyperlink"/>
                <w:rFonts w:ascii="Times New Roman" w:hAnsi="Times New Roman" w:cs="Times New Roman"/>
                <w:noProof/>
                <w:color w:val="000000" w:themeColor="text1"/>
                <w:sz w:val="24"/>
                <w:szCs w:val="24"/>
              </w:rPr>
              <w:t>B. Intent Required for Murder</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_Toc139456458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5</w:t>
            </w:r>
            <w:r w:rsidR="003E06BF" w:rsidRPr="00CE61C6">
              <w:rPr>
                <w:rFonts w:ascii="Times New Roman" w:hAnsi="Times New Roman" w:cs="Times New Roman"/>
                <w:noProof/>
                <w:webHidden/>
                <w:color w:val="000000" w:themeColor="text1"/>
                <w:sz w:val="24"/>
                <w:szCs w:val="24"/>
              </w:rPr>
              <w:fldChar w:fldCharType="end"/>
            </w:r>
          </w:hyperlink>
        </w:p>
        <w:p w14:paraId="1D3DF6E3" w14:textId="77777777" w:rsidR="003E06BF" w:rsidRPr="00CE61C6" w:rsidRDefault="00000000" w:rsidP="00CE61C6">
          <w:pPr>
            <w:pStyle w:val="TOC2"/>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59" w:history="1">
            <w:r w:rsidR="003E06BF" w:rsidRPr="00CE61C6">
              <w:rPr>
                <w:rStyle w:val="Hyperlink"/>
                <w:rFonts w:ascii="Times New Roman" w:hAnsi="Times New Roman" w:cs="Times New Roman"/>
                <w:noProof/>
                <w:color w:val="000000" w:themeColor="text1"/>
                <w:sz w:val="24"/>
                <w:szCs w:val="24"/>
              </w:rPr>
              <w:t>C. Breadth of Manslaughter</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_Toc139456459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6</w:t>
            </w:r>
            <w:r w:rsidR="003E06BF" w:rsidRPr="00CE61C6">
              <w:rPr>
                <w:rFonts w:ascii="Times New Roman" w:hAnsi="Times New Roman" w:cs="Times New Roman"/>
                <w:noProof/>
                <w:webHidden/>
                <w:color w:val="000000" w:themeColor="text1"/>
                <w:sz w:val="24"/>
                <w:szCs w:val="24"/>
              </w:rPr>
              <w:fldChar w:fldCharType="end"/>
            </w:r>
          </w:hyperlink>
        </w:p>
        <w:p w14:paraId="6D3518EF" w14:textId="77777777" w:rsidR="003E06BF" w:rsidRPr="00CE61C6" w:rsidRDefault="00000000" w:rsidP="00CE61C6">
          <w:pPr>
            <w:pStyle w:val="TOC2"/>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60" w:history="1">
            <w:r w:rsidR="003E06BF" w:rsidRPr="00CE61C6">
              <w:rPr>
                <w:rStyle w:val="Hyperlink"/>
                <w:rFonts w:ascii="Times New Roman" w:hAnsi="Times New Roman" w:cs="Times New Roman"/>
                <w:noProof/>
                <w:color w:val="000000" w:themeColor="text1"/>
                <w:sz w:val="24"/>
                <w:szCs w:val="24"/>
              </w:rPr>
              <w:t>Proposals for Reform</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_Toc139456460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6</w:t>
            </w:r>
            <w:r w:rsidR="003E06BF" w:rsidRPr="00CE61C6">
              <w:rPr>
                <w:rFonts w:ascii="Times New Roman" w:hAnsi="Times New Roman" w:cs="Times New Roman"/>
                <w:noProof/>
                <w:webHidden/>
                <w:color w:val="000000" w:themeColor="text1"/>
                <w:sz w:val="24"/>
                <w:szCs w:val="24"/>
              </w:rPr>
              <w:fldChar w:fldCharType="end"/>
            </w:r>
          </w:hyperlink>
        </w:p>
        <w:p w14:paraId="290A8B0D" w14:textId="77777777" w:rsidR="003E06BF" w:rsidRPr="00CE61C6" w:rsidRDefault="00000000" w:rsidP="00CE61C6">
          <w:pPr>
            <w:pStyle w:val="TOC1"/>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61" w:history="1">
            <w:r w:rsidR="003E06BF" w:rsidRPr="00CE61C6">
              <w:rPr>
                <w:rStyle w:val="Hyperlink"/>
                <w:rFonts w:ascii="Times New Roman" w:hAnsi="Times New Roman" w:cs="Times New Roman"/>
                <w:noProof/>
                <w:color w:val="000000" w:themeColor="text1"/>
                <w:sz w:val="24"/>
                <w:szCs w:val="24"/>
              </w:rPr>
              <w:t>Conclusion</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_Toc139456461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8</w:t>
            </w:r>
            <w:r w:rsidR="003E06BF" w:rsidRPr="00CE61C6">
              <w:rPr>
                <w:rFonts w:ascii="Times New Roman" w:hAnsi="Times New Roman" w:cs="Times New Roman"/>
                <w:noProof/>
                <w:webHidden/>
                <w:color w:val="000000" w:themeColor="text1"/>
                <w:sz w:val="24"/>
                <w:szCs w:val="24"/>
              </w:rPr>
              <w:fldChar w:fldCharType="end"/>
            </w:r>
          </w:hyperlink>
        </w:p>
        <w:p w14:paraId="14853FE0" w14:textId="77777777" w:rsidR="003E06BF" w:rsidRPr="00CE61C6" w:rsidRDefault="00000000" w:rsidP="00CE61C6">
          <w:pPr>
            <w:pStyle w:val="TOC1"/>
            <w:tabs>
              <w:tab w:val="right" w:leader="dot" w:pos="9350"/>
            </w:tabs>
            <w:spacing w:after="0" w:line="480" w:lineRule="auto"/>
            <w:contextualSpacing/>
            <w:rPr>
              <w:rFonts w:ascii="Times New Roman" w:hAnsi="Times New Roman" w:cs="Times New Roman"/>
              <w:noProof/>
              <w:color w:val="000000" w:themeColor="text1"/>
              <w:sz w:val="24"/>
              <w:szCs w:val="24"/>
            </w:rPr>
          </w:pPr>
          <w:hyperlink w:anchor="_Toc139456462" w:history="1">
            <w:r w:rsidR="003E06BF" w:rsidRPr="00CE61C6">
              <w:rPr>
                <w:rStyle w:val="Hyperlink"/>
                <w:rFonts w:ascii="Times New Roman" w:hAnsi="Times New Roman" w:cs="Times New Roman"/>
                <w:noProof/>
                <w:color w:val="000000" w:themeColor="text1"/>
                <w:sz w:val="24"/>
                <w:szCs w:val="24"/>
              </w:rPr>
              <w:t>References</w:t>
            </w:r>
            <w:r w:rsidR="003E06BF" w:rsidRPr="00CE61C6">
              <w:rPr>
                <w:rFonts w:ascii="Times New Roman" w:hAnsi="Times New Roman" w:cs="Times New Roman"/>
                <w:noProof/>
                <w:webHidden/>
                <w:color w:val="000000" w:themeColor="text1"/>
                <w:sz w:val="24"/>
                <w:szCs w:val="24"/>
              </w:rPr>
              <w:tab/>
            </w:r>
            <w:r w:rsidR="003E06BF" w:rsidRPr="00CE61C6">
              <w:rPr>
                <w:rFonts w:ascii="Times New Roman" w:hAnsi="Times New Roman" w:cs="Times New Roman"/>
                <w:noProof/>
                <w:webHidden/>
                <w:color w:val="000000" w:themeColor="text1"/>
                <w:sz w:val="24"/>
                <w:szCs w:val="24"/>
              </w:rPr>
              <w:fldChar w:fldCharType="begin"/>
            </w:r>
            <w:r w:rsidR="003E06BF" w:rsidRPr="00CE61C6">
              <w:rPr>
                <w:rFonts w:ascii="Times New Roman" w:hAnsi="Times New Roman" w:cs="Times New Roman"/>
                <w:noProof/>
                <w:webHidden/>
                <w:color w:val="000000" w:themeColor="text1"/>
                <w:sz w:val="24"/>
                <w:szCs w:val="24"/>
              </w:rPr>
              <w:instrText xml:space="preserve"> PAGEREF _Toc139456462 \h </w:instrText>
            </w:r>
            <w:r w:rsidR="003E06BF" w:rsidRPr="00CE61C6">
              <w:rPr>
                <w:rFonts w:ascii="Times New Roman" w:hAnsi="Times New Roman" w:cs="Times New Roman"/>
                <w:noProof/>
                <w:webHidden/>
                <w:color w:val="000000" w:themeColor="text1"/>
                <w:sz w:val="24"/>
                <w:szCs w:val="24"/>
              </w:rPr>
            </w:r>
            <w:r w:rsidR="003E06BF" w:rsidRPr="00CE61C6">
              <w:rPr>
                <w:rFonts w:ascii="Times New Roman" w:hAnsi="Times New Roman" w:cs="Times New Roman"/>
                <w:noProof/>
                <w:webHidden/>
                <w:color w:val="000000" w:themeColor="text1"/>
                <w:sz w:val="24"/>
                <w:szCs w:val="24"/>
              </w:rPr>
              <w:fldChar w:fldCharType="separate"/>
            </w:r>
            <w:r w:rsidR="003E06BF" w:rsidRPr="00CE61C6">
              <w:rPr>
                <w:rFonts w:ascii="Times New Roman" w:hAnsi="Times New Roman" w:cs="Times New Roman"/>
                <w:noProof/>
                <w:webHidden/>
                <w:color w:val="000000" w:themeColor="text1"/>
                <w:sz w:val="24"/>
                <w:szCs w:val="24"/>
              </w:rPr>
              <w:t>9</w:t>
            </w:r>
            <w:r w:rsidR="003E06BF" w:rsidRPr="00CE61C6">
              <w:rPr>
                <w:rFonts w:ascii="Times New Roman" w:hAnsi="Times New Roman" w:cs="Times New Roman"/>
                <w:noProof/>
                <w:webHidden/>
                <w:color w:val="000000" w:themeColor="text1"/>
                <w:sz w:val="24"/>
                <w:szCs w:val="24"/>
              </w:rPr>
              <w:fldChar w:fldCharType="end"/>
            </w:r>
          </w:hyperlink>
        </w:p>
        <w:p w14:paraId="56F03928" w14:textId="77777777" w:rsidR="003E06BF" w:rsidRPr="00CE61C6" w:rsidRDefault="003E06BF" w:rsidP="00CE61C6">
          <w:pPr>
            <w:spacing w:after="0" w:line="480" w:lineRule="auto"/>
            <w:contextualSpacing/>
            <w:rPr>
              <w:rFonts w:ascii="Times New Roman" w:hAnsi="Times New Roman" w:cs="Times New Roman"/>
              <w:color w:val="000000" w:themeColor="text1"/>
              <w:sz w:val="24"/>
              <w:szCs w:val="24"/>
            </w:rPr>
          </w:pPr>
          <w:r w:rsidRPr="00CE61C6">
            <w:rPr>
              <w:rFonts w:ascii="Times New Roman" w:hAnsi="Times New Roman" w:cs="Times New Roman"/>
              <w:bCs/>
              <w:noProof/>
              <w:color w:val="000000" w:themeColor="text1"/>
              <w:sz w:val="24"/>
              <w:szCs w:val="24"/>
            </w:rPr>
            <w:fldChar w:fldCharType="end"/>
          </w:r>
        </w:p>
      </w:sdtContent>
    </w:sdt>
    <w:p w14:paraId="58CDA9FE" w14:textId="77777777" w:rsidR="003E06BF" w:rsidRDefault="003E06BF">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64FF55C7" w14:textId="77777777" w:rsidR="00CE0941" w:rsidRPr="00EF4F23" w:rsidRDefault="00CE0941" w:rsidP="003E06BF">
      <w:pPr>
        <w:pStyle w:val="Heading1"/>
        <w:spacing w:before="0" w:line="480" w:lineRule="auto"/>
        <w:contextualSpacing/>
        <w:rPr>
          <w:rFonts w:ascii="Times New Roman" w:hAnsi="Times New Roman" w:cs="Times New Roman"/>
          <w:b/>
          <w:color w:val="000000" w:themeColor="text1"/>
          <w:sz w:val="24"/>
          <w:szCs w:val="24"/>
        </w:rPr>
      </w:pPr>
      <w:bookmarkStart w:id="0" w:name="_Toc139456454"/>
      <w:r w:rsidRPr="00EF4F23">
        <w:rPr>
          <w:rFonts w:ascii="Times New Roman" w:hAnsi="Times New Roman" w:cs="Times New Roman"/>
          <w:b/>
          <w:color w:val="000000" w:themeColor="text1"/>
          <w:sz w:val="24"/>
          <w:szCs w:val="24"/>
        </w:rPr>
        <w:lastRenderedPageBreak/>
        <w:t>Introduction</w:t>
      </w:r>
      <w:bookmarkEnd w:id="0"/>
    </w:p>
    <w:p w14:paraId="328AB1B3" w14:textId="77777777" w:rsidR="00CE0941" w:rsidRDefault="00CE0941"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Under England and Wales' murder laws, a tricky balancing act exists between societal control, individual rights, and the interests of both defendants and victims. This </w:t>
      </w:r>
      <w:r w:rsidR="009259E8" w:rsidRPr="00EF4F23">
        <w:rPr>
          <w:rFonts w:ascii="Times New Roman" w:hAnsi="Times New Roman" w:cs="Times New Roman"/>
          <w:color w:val="000000" w:themeColor="text1"/>
          <w:sz w:val="24"/>
          <w:szCs w:val="24"/>
        </w:rPr>
        <w:t>essay</w:t>
      </w:r>
      <w:r w:rsidRPr="00EF4F23">
        <w:rPr>
          <w:rFonts w:ascii="Times New Roman" w:hAnsi="Times New Roman" w:cs="Times New Roman"/>
          <w:color w:val="000000" w:themeColor="text1"/>
          <w:sz w:val="24"/>
          <w:szCs w:val="24"/>
        </w:rPr>
        <w:t xml:space="preserve"> critically analyses the policy problems and the necessity of controlling social </w:t>
      </w:r>
      <w:proofErr w:type="spellStart"/>
      <w:r w:rsidRPr="00EF4F23">
        <w:rPr>
          <w:rFonts w:ascii="Times New Roman" w:hAnsi="Times New Roman" w:cs="Times New Roman"/>
          <w:color w:val="000000" w:themeColor="text1"/>
          <w:sz w:val="24"/>
          <w:szCs w:val="24"/>
        </w:rPr>
        <w:t>behaviour</w:t>
      </w:r>
      <w:proofErr w:type="spellEnd"/>
      <w:r w:rsidRPr="00EF4F23">
        <w:rPr>
          <w:rFonts w:ascii="Times New Roman" w:hAnsi="Times New Roman" w:cs="Times New Roman"/>
          <w:color w:val="000000" w:themeColor="text1"/>
          <w:sz w:val="24"/>
          <w:szCs w:val="24"/>
        </w:rPr>
        <w:t xml:space="preserve"> while considering the interests of both offenders and victims by </w:t>
      </w:r>
      <w:proofErr w:type="spellStart"/>
      <w:r w:rsidRPr="00EF4F23">
        <w:rPr>
          <w:rFonts w:ascii="Times New Roman" w:hAnsi="Times New Roman" w:cs="Times New Roman"/>
          <w:color w:val="000000" w:themeColor="text1"/>
          <w:sz w:val="24"/>
          <w:szCs w:val="24"/>
        </w:rPr>
        <w:t>analysing</w:t>
      </w:r>
      <w:proofErr w:type="spellEnd"/>
      <w:r w:rsidRPr="00EF4F23">
        <w:rPr>
          <w:rFonts w:ascii="Times New Roman" w:hAnsi="Times New Roman" w:cs="Times New Roman"/>
          <w:color w:val="000000" w:themeColor="text1"/>
          <w:sz w:val="24"/>
          <w:szCs w:val="24"/>
        </w:rPr>
        <w:t xml:space="preserve"> current legislation, key concerns, and recommendations for change, government responses, and arguments against reform. As an instrument for societal control, criminal law must balance the interests of offenders and victims. This article examines current murder reform initiatives in England and Wales using the social, moral, ethical, and philosophical issues that influence criminal law. This essay examines the present legal framework, fundamental problems such as partial </w:t>
      </w:r>
      <w:proofErr w:type="spellStart"/>
      <w:r w:rsidRPr="00EF4F23">
        <w:rPr>
          <w:rFonts w:ascii="Times New Roman" w:hAnsi="Times New Roman" w:cs="Times New Roman"/>
          <w:color w:val="000000" w:themeColor="text1"/>
          <w:sz w:val="24"/>
          <w:szCs w:val="24"/>
        </w:rPr>
        <w:t>defences</w:t>
      </w:r>
      <w:proofErr w:type="spellEnd"/>
      <w:r w:rsidRPr="00EF4F23">
        <w:rPr>
          <w:rFonts w:ascii="Times New Roman" w:hAnsi="Times New Roman" w:cs="Times New Roman"/>
          <w:color w:val="000000" w:themeColor="text1"/>
          <w:sz w:val="24"/>
          <w:szCs w:val="24"/>
        </w:rPr>
        <w:t xml:space="preserve"> to murder, the intent required for murder, and the scope of manslaughter, as well as proposals made by the Law Commission and other agencies to assess the policy difficulties at hand. The government is evaluated on how effectively it balances the requirements of victims and those injured when considering whether to accept or reject a reform proposal.</w:t>
      </w:r>
    </w:p>
    <w:p w14:paraId="0DCFE3EA" w14:textId="77777777" w:rsidR="00EF4F23" w:rsidRPr="00EF4F23" w:rsidRDefault="00EF4F23" w:rsidP="003E06BF">
      <w:pPr>
        <w:pStyle w:val="NoSpacing"/>
        <w:spacing w:line="480" w:lineRule="auto"/>
      </w:pPr>
    </w:p>
    <w:p w14:paraId="7B675136" w14:textId="77777777" w:rsidR="00722800" w:rsidRPr="00EF4F23" w:rsidRDefault="00722800" w:rsidP="003E06BF">
      <w:pPr>
        <w:pStyle w:val="Heading1"/>
        <w:spacing w:before="0" w:line="480" w:lineRule="auto"/>
        <w:contextualSpacing/>
        <w:rPr>
          <w:rFonts w:ascii="Times New Roman" w:hAnsi="Times New Roman" w:cs="Times New Roman"/>
          <w:b/>
          <w:color w:val="000000" w:themeColor="text1"/>
          <w:sz w:val="24"/>
          <w:szCs w:val="24"/>
        </w:rPr>
      </w:pPr>
      <w:bookmarkStart w:id="1" w:name="_Toc139456455"/>
      <w:r w:rsidRPr="00EF4F23">
        <w:rPr>
          <w:rFonts w:ascii="Times New Roman" w:hAnsi="Times New Roman" w:cs="Times New Roman"/>
          <w:b/>
          <w:color w:val="000000" w:themeColor="text1"/>
          <w:sz w:val="24"/>
          <w:szCs w:val="24"/>
        </w:rPr>
        <w:t>Current Law Governing Homicide</w:t>
      </w:r>
      <w:bookmarkEnd w:id="1"/>
    </w:p>
    <w:p w14:paraId="45A37037" w14:textId="1D5FF07B" w:rsidR="00AF058F" w:rsidRPr="00EF4F23" w:rsidRDefault="00AF058F"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Understanding the present legal framework governing murder in England and Wales is </w:t>
      </w:r>
      <w:r w:rsidR="002C6C35">
        <w:rPr>
          <w:rFonts w:ascii="Times New Roman" w:hAnsi="Times New Roman" w:cs="Times New Roman"/>
          <w:color w:val="000000" w:themeColor="text1"/>
          <w:sz w:val="24"/>
          <w:szCs w:val="24"/>
        </w:rPr>
        <w:t xml:space="preserve">important to define </w:t>
      </w:r>
      <w:r w:rsidRPr="00EF4F23">
        <w:rPr>
          <w:rFonts w:ascii="Times New Roman" w:hAnsi="Times New Roman" w:cs="Times New Roman"/>
          <w:color w:val="000000" w:themeColor="text1"/>
          <w:sz w:val="24"/>
          <w:szCs w:val="24"/>
        </w:rPr>
        <w:t xml:space="preserve">before proceeding with the </w:t>
      </w:r>
      <w:r w:rsidR="002C6C35">
        <w:rPr>
          <w:rFonts w:ascii="Times New Roman" w:hAnsi="Times New Roman" w:cs="Times New Roman"/>
          <w:color w:val="000000" w:themeColor="text1"/>
          <w:sz w:val="24"/>
          <w:szCs w:val="24"/>
        </w:rPr>
        <w:t>Assignment</w:t>
      </w:r>
      <w:r w:rsidRPr="00EF4F23">
        <w:rPr>
          <w:rFonts w:ascii="Times New Roman" w:hAnsi="Times New Roman" w:cs="Times New Roman"/>
          <w:color w:val="000000" w:themeColor="text1"/>
          <w:sz w:val="24"/>
          <w:szCs w:val="24"/>
        </w:rPr>
        <w:t>. Any purposeful killing, including murder and manslaughter, is classified as "homicide." The intent to kill or inflict significant bodily injury is a legal distinction between murder and manslaughter. As a result of this disparity, significant legal problems and disputes have evolved.</w:t>
      </w:r>
      <w:r w:rsidR="009259E8" w:rsidRPr="00EF4F23">
        <w:rPr>
          <w:rFonts w:ascii="Times New Roman" w:hAnsi="Times New Roman" w:cs="Times New Roman"/>
          <w:color w:val="000000" w:themeColor="text1"/>
          <w:sz w:val="24"/>
          <w:szCs w:val="24"/>
        </w:rPr>
        <w:t xml:space="preserve"> The distinction between murder and manslaughter is based on the current homicide statute in England and Wales. Although any purposeful killing is deemed a homicide, the legal difference between murder and manslaughter is based on the perpetrator's mental state. Murder is the most severe crime in the field of homicide, </w:t>
      </w:r>
      <w:r w:rsidR="009259E8" w:rsidRPr="00EF4F23">
        <w:rPr>
          <w:rFonts w:ascii="Times New Roman" w:hAnsi="Times New Roman" w:cs="Times New Roman"/>
          <w:color w:val="000000" w:themeColor="text1"/>
          <w:sz w:val="24"/>
          <w:szCs w:val="24"/>
        </w:rPr>
        <w:lastRenderedPageBreak/>
        <w:t>acting with "malice aforethought," which traditionally relates to the intent to cause death or grievous bodily harm, is required</w:t>
      </w:r>
      <w:r w:rsidR="00EF4F23" w:rsidRPr="00EF4F23">
        <w:rPr>
          <w:rStyle w:val="FootnoteReference"/>
          <w:rFonts w:ascii="Times New Roman" w:hAnsi="Times New Roman" w:cs="Times New Roman"/>
          <w:color w:val="000000" w:themeColor="text1"/>
          <w:sz w:val="24"/>
          <w:szCs w:val="24"/>
        </w:rPr>
        <w:footnoteReference w:id="1"/>
      </w:r>
      <w:r w:rsidR="009259E8" w:rsidRPr="00EF4F23">
        <w:rPr>
          <w:rFonts w:ascii="Times New Roman" w:hAnsi="Times New Roman" w:cs="Times New Roman"/>
          <w:color w:val="000000" w:themeColor="text1"/>
          <w:sz w:val="24"/>
          <w:szCs w:val="24"/>
        </w:rPr>
        <w:t xml:space="preserve">. Some argue that if we only </w:t>
      </w:r>
      <w:proofErr w:type="spellStart"/>
      <w:r w:rsidR="009259E8" w:rsidRPr="00EF4F23">
        <w:rPr>
          <w:rFonts w:ascii="Times New Roman" w:hAnsi="Times New Roman" w:cs="Times New Roman"/>
          <w:color w:val="000000" w:themeColor="text1"/>
          <w:sz w:val="24"/>
          <w:szCs w:val="24"/>
        </w:rPr>
        <w:t>penalise</w:t>
      </w:r>
      <w:proofErr w:type="spellEnd"/>
      <w:r w:rsidR="009259E8" w:rsidRPr="00EF4F23">
        <w:rPr>
          <w:rFonts w:ascii="Times New Roman" w:hAnsi="Times New Roman" w:cs="Times New Roman"/>
          <w:color w:val="000000" w:themeColor="text1"/>
          <w:sz w:val="24"/>
          <w:szCs w:val="24"/>
        </w:rPr>
        <w:t xml:space="preserve"> individuals for murdering or gravely wounding others, we lose out on circumstances in which people are morally accountable for their actions regardless of their intent.</w:t>
      </w:r>
    </w:p>
    <w:p w14:paraId="2A14C187" w14:textId="77777777" w:rsidR="00AF058F" w:rsidRPr="00EF4F23" w:rsidRDefault="00AF058F" w:rsidP="003E06BF">
      <w:pPr>
        <w:pStyle w:val="NoSpacing"/>
        <w:spacing w:line="480" w:lineRule="auto"/>
      </w:pPr>
    </w:p>
    <w:p w14:paraId="79511FD2" w14:textId="77777777" w:rsidR="00722800" w:rsidRPr="00EF4F23" w:rsidRDefault="00722800" w:rsidP="003E06BF">
      <w:pPr>
        <w:pStyle w:val="Heading1"/>
        <w:spacing w:before="0" w:line="480" w:lineRule="auto"/>
        <w:contextualSpacing/>
        <w:rPr>
          <w:rFonts w:ascii="Times New Roman" w:hAnsi="Times New Roman" w:cs="Times New Roman"/>
          <w:b/>
          <w:color w:val="000000" w:themeColor="text1"/>
          <w:sz w:val="24"/>
          <w:szCs w:val="24"/>
        </w:rPr>
      </w:pPr>
      <w:bookmarkStart w:id="2" w:name="_Toc139456456"/>
      <w:r w:rsidRPr="00EF4F23">
        <w:rPr>
          <w:rFonts w:ascii="Times New Roman" w:hAnsi="Times New Roman" w:cs="Times New Roman"/>
          <w:b/>
          <w:color w:val="000000" w:themeColor="text1"/>
          <w:sz w:val="24"/>
          <w:szCs w:val="24"/>
        </w:rPr>
        <w:t>Key Issues in Homicide Law</w:t>
      </w:r>
      <w:bookmarkEnd w:id="2"/>
      <w:r w:rsidRPr="00EF4F23">
        <w:rPr>
          <w:rFonts w:ascii="Times New Roman" w:hAnsi="Times New Roman" w:cs="Times New Roman"/>
          <w:b/>
          <w:color w:val="000000" w:themeColor="text1"/>
          <w:sz w:val="24"/>
          <w:szCs w:val="24"/>
        </w:rPr>
        <w:t xml:space="preserve"> </w:t>
      </w:r>
    </w:p>
    <w:p w14:paraId="383EBBF1" w14:textId="77777777" w:rsidR="00722800" w:rsidRPr="00EF4F23" w:rsidRDefault="00722800" w:rsidP="003E06BF">
      <w:pPr>
        <w:pStyle w:val="Heading2"/>
        <w:spacing w:before="0" w:line="480" w:lineRule="auto"/>
        <w:contextualSpacing/>
        <w:rPr>
          <w:rFonts w:ascii="Times New Roman" w:hAnsi="Times New Roman" w:cs="Times New Roman"/>
          <w:b/>
          <w:color w:val="000000" w:themeColor="text1"/>
          <w:sz w:val="24"/>
          <w:szCs w:val="24"/>
        </w:rPr>
      </w:pPr>
      <w:bookmarkStart w:id="3" w:name="_Toc139456457"/>
      <w:r w:rsidRPr="00EF4F23">
        <w:rPr>
          <w:rFonts w:ascii="Times New Roman" w:hAnsi="Times New Roman" w:cs="Times New Roman"/>
          <w:b/>
          <w:color w:val="000000" w:themeColor="text1"/>
          <w:sz w:val="24"/>
          <w:szCs w:val="24"/>
        </w:rPr>
        <w:t>A. Partial Defenses to Murder</w:t>
      </w:r>
      <w:bookmarkEnd w:id="3"/>
    </w:p>
    <w:p w14:paraId="59BCE1BE" w14:textId="77777777" w:rsidR="00AF058F" w:rsidRDefault="00AF058F"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There are several fundamental issues in homicide law, such as whether and how to use reduced culpability and provocation as partial </w:t>
      </w:r>
      <w:proofErr w:type="spellStart"/>
      <w:r w:rsidRPr="00EF4F23">
        <w:rPr>
          <w:rFonts w:ascii="Times New Roman" w:hAnsi="Times New Roman" w:cs="Times New Roman"/>
          <w:color w:val="000000" w:themeColor="text1"/>
          <w:sz w:val="24"/>
          <w:szCs w:val="24"/>
        </w:rPr>
        <w:t>defences</w:t>
      </w:r>
      <w:proofErr w:type="spellEnd"/>
      <w:r w:rsidRPr="00EF4F23">
        <w:rPr>
          <w:rFonts w:ascii="Times New Roman" w:hAnsi="Times New Roman" w:cs="Times New Roman"/>
          <w:color w:val="000000" w:themeColor="text1"/>
          <w:sz w:val="24"/>
          <w:szCs w:val="24"/>
        </w:rPr>
        <w:t xml:space="preserve"> to murder. These </w:t>
      </w:r>
      <w:proofErr w:type="spellStart"/>
      <w:r w:rsidRPr="00EF4F23">
        <w:rPr>
          <w:rFonts w:ascii="Times New Roman" w:hAnsi="Times New Roman" w:cs="Times New Roman"/>
          <w:color w:val="000000" w:themeColor="text1"/>
          <w:sz w:val="24"/>
          <w:szCs w:val="24"/>
        </w:rPr>
        <w:t>defences</w:t>
      </w:r>
      <w:proofErr w:type="spellEnd"/>
      <w:r w:rsidRPr="00EF4F23">
        <w:rPr>
          <w:rFonts w:ascii="Times New Roman" w:hAnsi="Times New Roman" w:cs="Times New Roman"/>
          <w:color w:val="000000" w:themeColor="text1"/>
          <w:sz w:val="24"/>
          <w:szCs w:val="24"/>
        </w:rPr>
        <w:t xml:space="preserve"> seek to reduce murder accusations to manslaughter by claiming that the accused was not accountable for his conduct or is mentally incapable. However, their usefulness and significance have been doubted, sparking arguments over how pervasive and consistent they are. The provocation </w:t>
      </w:r>
      <w:proofErr w:type="spellStart"/>
      <w:r w:rsidRPr="00EF4F23">
        <w:rPr>
          <w:rFonts w:ascii="Times New Roman" w:hAnsi="Times New Roman" w:cs="Times New Roman"/>
          <w:color w:val="000000" w:themeColor="text1"/>
          <w:sz w:val="24"/>
          <w:szCs w:val="24"/>
        </w:rPr>
        <w:t>defence</w:t>
      </w:r>
      <w:proofErr w:type="spellEnd"/>
      <w:r w:rsidRPr="00EF4F23">
        <w:rPr>
          <w:rFonts w:ascii="Times New Roman" w:hAnsi="Times New Roman" w:cs="Times New Roman"/>
          <w:color w:val="000000" w:themeColor="text1"/>
          <w:sz w:val="24"/>
          <w:szCs w:val="24"/>
        </w:rPr>
        <w:t xml:space="preserve"> accepts that rapid and extreme provocation may cause a person to lose their temper, causing them to commit an act of violence that they would not have performed otherwise. The legal idea of provocation is an attempt to understand human fragility and the influence of high emotions on one's ability to make reasonable decisions. Because the provocation </w:t>
      </w:r>
      <w:proofErr w:type="spellStart"/>
      <w:r w:rsidRPr="00EF4F23">
        <w:rPr>
          <w:rFonts w:ascii="Times New Roman" w:hAnsi="Times New Roman" w:cs="Times New Roman"/>
          <w:color w:val="000000" w:themeColor="text1"/>
          <w:sz w:val="24"/>
          <w:szCs w:val="24"/>
        </w:rPr>
        <w:t>defence</w:t>
      </w:r>
      <w:proofErr w:type="spellEnd"/>
      <w:r w:rsidRPr="00EF4F23">
        <w:rPr>
          <w:rFonts w:ascii="Times New Roman" w:hAnsi="Times New Roman" w:cs="Times New Roman"/>
          <w:color w:val="000000" w:themeColor="text1"/>
          <w:sz w:val="24"/>
          <w:szCs w:val="24"/>
        </w:rPr>
        <w:t xml:space="preserve"> is so subject to interpretation, some have suggested it is sexist. Previously, the criteria used were based on what a "reasonable man" would believe, but this neglected women's unique perspectives and experiences. Domestic violence victims may have been exposed to abuse for years before breaking, raising fears that the </w:t>
      </w:r>
      <w:proofErr w:type="spellStart"/>
      <w:r w:rsidRPr="00EF4F23">
        <w:rPr>
          <w:rFonts w:ascii="Times New Roman" w:hAnsi="Times New Roman" w:cs="Times New Roman"/>
          <w:color w:val="000000" w:themeColor="text1"/>
          <w:sz w:val="24"/>
          <w:szCs w:val="24"/>
        </w:rPr>
        <w:t>defence</w:t>
      </w:r>
      <w:proofErr w:type="spellEnd"/>
      <w:r w:rsidRPr="00EF4F23">
        <w:rPr>
          <w:rFonts w:ascii="Times New Roman" w:hAnsi="Times New Roman" w:cs="Times New Roman"/>
          <w:color w:val="000000" w:themeColor="text1"/>
          <w:sz w:val="24"/>
          <w:szCs w:val="24"/>
        </w:rPr>
        <w:t xml:space="preserve"> neglected such situations. Reforms have been demanded to replace the subjective "reasonable man" norm with one that is more accepting of people's diverse personalities and life </w:t>
      </w:r>
      <w:r w:rsidRPr="00EF4F23">
        <w:rPr>
          <w:rFonts w:ascii="Times New Roman" w:hAnsi="Times New Roman" w:cs="Times New Roman"/>
          <w:color w:val="000000" w:themeColor="text1"/>
          <w:sz w:val="24"/>
          <w:szCs w:val="24"/>
        </w:rPr>
        <w:lastRenderedPageBreak/>
        <w:t xml:space="preserve">experiences. For example, in R v. Clinton (2012), the Supreme Court used a "qualifying trigger" approach to </w:t>
      </w:r>
      <w:proofErr w:type="spellStart"/>
      <w:r w:rsidRPr="00EF4F23">
        <w:rPr>
          <w:rFonts w:ascii="Times New Roman" w:hAnsi="Times New Roman" w:cs="Times New Roman"/>
          <w:color w:val="000000" w:themeColor="text1"/>
          <w:sz w:val="24"/>
          <w:szCs w:val="24"/>
        </w:rPr>
        <w:t>emphasise</w:t>
      </w:r>
      <w:proofErr w:type="spellEnd"/>
      <w:r w:rsidRPr="00EF4F23">
        <w:rPr>
          <w:rFonts w:ascii="Times New Roman" w:hAnsi="Times New Roman" w:cs="Times New Roman"/>
          <w:color w:val="000000" w:themeColor="text1"/>
          <w:sz w:val="24"/>
          <w:szCs w:val="24"/>
        </w:rPr>
        <w:t xml:space="preserve"> the cumulative impact of provocative conduct over time.</w:t>
      </w:r>
    </w:p>
    <w:p w14:paraId="3E2D2405" w14:textId="77777777" w:rsidR="00EF4F23" w:rsidRPr="00EF4F23" w:rsidRDefault="00EF4F23" w:rsidP="003E06BF">
      <w:pPr>
        <w:pStyle w:val="NoSpacing"/>
        <w:spacing w:line="480" w:lineRule="auto"/>
      </w:pPr>
    </w:p>
    <w:p w14:paraId="64CBA02B" w14:textId="77777777" w:rsidR="00722800" w:rsidRPr="00EF4F23" w:rsidRDefault="00722800" w:rsidP="003E06BF">
      <w:pPr>
        <w:pStyle w:val="Heading2"/>
        <w:spacing w:before="0" w:line="480" w:lineRule="auto"/>
        <w:contextualSpacing/>
        <w:rPr>
          <w:rFonts w:ascii="Times New Roman" w:hAnsi="Times New Roman" w:cs="Times New Roman"/>
          <w:b/>
          <w:color w:val="000000" w:themeColor="text1"/>
          <w:sz w:val="24"/>
          <w:szCs w:val="24"/>
        </w:rPr>
      </w:pPr>
      <w:bookmarkStart w:id="4" w:name="_Toc139456458"/>
      <w:r w:rsidRPr="00EF4F23">
        <w:rPr>
          <w:rFonts w:ascii="Times New Roman" w:hAnsi="Times New Roman" w:cs="Times New Roman"/>
          <w:b/>
          <w:color w:val="000000" w:themeColor="text1"/>
          <w:sz w:val="24"/>
          <w:szCs w:val="24"/>
        </w:rPr>
        <w:t>B. Intent Required for Murder</w:t>
      </w:r>
      <w:bookmarkEnd w:id="4"/>
      <w:r w:rsidRPr="00EF4F23">
        <w:rPr>
          <w:rFonts w:ascii="Times New Roman" w:hAnsi="Times New Roman" w:cs="Times New Roman"/>
          <w:b/>
          <w:color w:val="000000" w:themeColor="text1"/>
          <w:sz w:val="24"/>
          <w:szCs w:val="24"/>
        </w:rPr>
        <w:t xml:space="preserve"> </w:t>
      </w:r>
    </w:p>
    <w:p w14:paraId="72CC6EFB" w14:textId="77777777" w:rsidR="00AF058F" w:rsidRPr="00EF4F23" w:rsidRDefault="00AF058F"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Another issue of disagreement is the mental part of murder, known as </w:t>
      </w:r>
      <w:proofErr w:type="spellStart"/>
      <w:r w:rsidRPr="00EF4F23">
        <w:rPr>
          <w:rFonts w:ascii="Times New Roman" w:hAnsi="Times New Roman" w:cs="Times New Roman"/>
          <w:color w:val="000000" w:themeColor="text1"/>
          <w:sz w:val="24"/>
          <w:szCs w:val="24"/>
        </w:rPr>
        <w:t>mens</w:t>
      </w:r>
      <w:proofErr w:type="spellEnd"/>
      <w:r w:rsidRPr="00EF4F23">
        <w:rPr>
          <w:rFonts w:ascii="Times New Roman" w:hAnsi="Times New Roman" w:cs="Times New Roman"/>
          <w:color w:val="000000" w:themeColor="text1"/>
          <w:sz w:val="24"/>
          <w:szCs w:val="24"/>
        </w:rPr>
        <w:t xml:space="preserve"> rea. Under current law, one must intend to commit murder or severe bodily harm. This high standard doubts the validity of intent as the sole determinant of murder, especially in cases when irresponsibility or foresight of damage may be present. The only emphasis on intention as an essential component of murder reflects the underlying concept that individuals should not face criminal charges for crimes they did not intend to commit</w:t>
      </w:r>
      <w:r w:rsidR="00EF4F23" w:rsidRPr="00EF4F23">
        <w:rPr>
          <w:rStyle w:val="FootnoteReference"/>
          <w:rFonts w:ascii="Times New Roman" w:hAnsi="Times New Roman" w:cs="Times New Roman"/>
          <w:color w:val="000000" w:themeColor="text1"/>
          <w:sz w:val="24"/>
          <w:szCs w:val="24"/>
        </w:rPr>
        <w:footnoteReference w:id="2"/>
      </w:r>
      <w:r w:rsidRPr="00EF4F23">
        <w:rPr>
          <w:rFonts w:ascii="Times New Roman" w:hAnsi="Times New Roman" w:cs="Times New Roman"/>
          <w:color w:val="000000" w:themeColor="text1"/>
          <w:sz w:val="24"/>
          <w:szCs w:val="24"/>
        </w:rPr>
        <w:t>. It maintains the value of personal freedom by reserving the most significant sanctions for those who plan to cause serious physical harm or death. However, the purpose criteria have been critiqued for being too rigid and perhaps constraining. Some have claimed that it fails to account for scenarios in which an individual's actions may be morally accountable even if they did not plan to kill or cause significant bodily harm. Extreme negligence is a reason for concern. Reckless conduct is one in which a person deliberately endangers the life of another for no cause. Others argue that a person might be charged with murder for behaving carelessly even if they did not intend to harm anybody. They contend that the outcome, the loss of life, should precede the purpose</w:t>
      </w:r>
      <w:r w:rsidR="00EF4F23" w:rsidRPr="00EF4F23">
        <w:rPr>
          <w:rStyle w:val="FootnoteReference"/>
          <w:rFonts w:ascii="Times New Roman" w:hAnsi="Times New Roman" w:cs="Times New Roman"/>
          <w:color w:val="000000" w:themeColor="text1"/>
          <w:sz w:val="24"/>
          <w:szCs w:val="24"/>
        </w:rPr>
        <w:footnoteReference w:id="3"/>
      </w:r>
      <w:r w:rsidRPr="00EF4F23">
        <w:rPr>
          <w:rFonts w:ascii="Times New Roman" w:hAnsi="Times New Roman" w:cs="Times New Roman"/>
          <w:color w:val="000000" w:themeColor="text1"/>
          <w:sz w:val="24"/>
          <w:szCs w:val="24"/>
        </w:rPr>
        <w:t>. Problems also arise when considering scenarios where persons know the potential for harm but lack the intent to cause substantial bodily injury or death. Critics argue that people aware of the seriousness of their actions yet choose to carry them out should face heavier penalties.</w:t>
      </w:r>
    </w:p>
    <w:p w14:paraId="27CA7976" w14:textId="77777777" w:rsidR="00722800" w:rsidRPr="00EF4F23" w:rsidRDefault="00722800" w:rsidP="003E06BF">
      <w:pPr>
        <w:pStyle w:val="Heading2"/>
        <w:spacing w:before="0" w:line="480" w:lineRule="auto"/>
        <w:contextualSpacing/>
        <w:rPr>
          <w:rFonts w:ascii="Times New Roman" w:hAnsi="Times New Roman" w:cs="Times New Roman"/>
          <w:b/>
          <w:color w:val="000000" w:themeColor="text1"/>
          <w:sz w:val="24"/>
          <w:szCs w:val="24"/>
        </w:rPr>
      </w:pPr>
      <w:bookmarkStart w:id="5" w:name="_Toc139456459"/>
      <w:r w:rsidRPr="00EF4F23">
        <w:rPr>
          <w:rFonts w:ascii="Times New Roman" w:hAnsi="Times New Roman" w:cs="Times New Roman"/>
          <w:b/>
          <w:color w:val="000000" w:themeColor="text1"/>
          <w:sz w:val="24"/>
          <w:szCs w:val="24"/>
        </w:rPr>
        <w:lastRenderedPageBreak/>
        <w:t>C. Breadth of Manslaughter</w:t>
      </w:r>
      <w:bookmarkEnd w:id="5"/>
      <w:r w:rsidRPr="00EF4F23">
        <w:rPr>
          <w:rFonts w:ascii="Times New Roman" w:hAnsi="Times New Roman" w:cs="Times New Roman"/>
          <w:b/>
          <w:color w:val="000000" w:themeColor="text1"/>
          <w:sz w:val="24"/>
          <w:szCs w:val="24"/>
        </w:rPr>
        <w:t xml:space="preserve"> </w:t>
      </w:r>
    </w:p>
    <w:p w14:paraId="1DA27B76" w14:textId="77777777" w:rsidR="00D65A01" w:rsidRDefault="00D65A01"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The legal concept of manslaughter, as well as the ambiguity between murder and accidental death, have been investigated. Because there are so many conceivable manslaughter allegations, opponents contend that the criminal justice system is neither transparent nor impartial. The accusation of murder may be reduced to manslaughter by voluntary means if the defendant has a </w:t>
      </w:r>
      <w:proofErr w:type="spellStart"/>
      <w:r w:rsidRPr="00EF4F23">
        <w:rPr>
          <w:rFonts w:ascii="Times New Roman" w:hAnsi="Times New Roman" w:cs="Times New Roman"/>
          <w:color w:val="000000" w:themeColor="text1"/>
          <w:sz w:val="24"/>
          <w:szCs w:val="24"/>
        </w:rPr>
        <w:t>defence</w:t>
      </w:r>
      <w:proofErr w:type="spellEnd"/>
      <w:r w:rsidRPr="00EF4F23">
        <w:rPr>
          <w:rFonts w:ascii="Times New Roman" w:hAnsi="Times New Roman" w:cs="Times New Roman"/>
          <w:color w:val="000000" w:themeColor="text1"/>
          <w:sz w:val="24"/>
          <w:szCs w:val="24"/>
        </w:rPr>
        <w:t xml:space="preserve"> that mitigates the circumstances of the victim's death</w:t>
      </w:r>
      <w:r w:rsidR="00EF4F23" w:rsidRPr="00EF4F23">
        <w:rPr>
          <w:rStyle w:val="FootnoteReference"/>
          <w:rFonts w:ascii="Times New Roman" w:hAnsi="Times New Roman" w:cs="Times New Roman"/>
          <w:color w:val="000000" w:themeColor="text1"/>
          <w:sz w:val="24"/>
          <w:szCs w:val="24"/>
        </w:rPr>
        <w:footnoteReference w:id="4"/>
      </w:r>
      <w:r w:rsidRPr="00EF4F23">
        <w:rPr>
          <w:rFonts w:ascii="Times New Roman" w:hAnsi="Times New Roman" w:cs="Times New Roman"/>
          <w:color w:val="000000" w:themeColor="text1"/>
          <w:sz w:val="24"/>
          <w:szCs w:val="24"/>
        </w:rPr>
        <w:t xml:space="preserve">. The killing of another human being in wrath is a simple case of manslaughter. Extenuating factors that may diminish the accused's responsibility may be considered manslaughter. Involuntary manslaughter, on the other hand, is </w:t>
      </w:r>
      <w:proofErr w:type="spellStart"/>
      <w:r w:rsidRPr="00EF4F23">
        <w:rPr>
          <w:rFonts w:ascii="Times New Roman" w:hAnsi="Times New Roman" w:cs="Times New Roman"/>
          <w:color w:val="000000" w:themeColor="text1"/>
          <w:sz w:val="24"/>
          <w:szCs w:val="24"/>
        </w:rPr>
        <w:t>characterised</w:t>
      </w:r>
      <w:proofErr w:type="spellEnd"/>
      <w:r w:rsidRPr="00EF4F23">
        <w:rPr>
          <w:rFonts w:ascii="Times New Roman" w:hAnsi="Times New Roman" w:cs="Times New Roman"/>
          <w:color w:val="000000" w:themeColor="text1"/>
          <w:sz w:val="24"/>
          <w:szCs w:val="24"/>
        </w:rPr>
        <w:t xml:space="preserve"> as murdering or badly harming another person without intending to do so. The accused's failure to exercise reasonable care may have led to the death of another. Consider the devastating consequences of an automobile accident. Even though a person had no malicious intent, they might be charged with involuntary manslaughter if they were careless and caused the death of another person</w:t>
      </w:r>
      <w:r w:rsidR="00EF4F23" w:rsidRPr="00EF4F23">
        <w:rPr>
          <w:rStyle w:val="FootnoteReference"/>
          <w:rFonts w:ascii="Times New Roman" w:hAnsi="Times New Roman" w:cs="Times New Roman"/>
          <w:color w:val="000000" w:themeColor="text1"/>
          <w:sz w:val="24"/>
          <w:szCs w:val="24"/>
        </w:rPr>
        <w:footnoteReference w:id="5"/>
      </w:r>
      <w:r w:rsidRPr="00EF4F23">
        <w:rPr>
          <w:rFonts w:ascii="Times New Roman" w:hAnsi="Times New Roman" w:cs="Times New Roman"/>
          <w:color w:val="000000" w:themeColor="text1"/>
          <w:sz w:val="24"/>
          <w:szCs w:val="24"/>
        </w:rPr>
        <w:t>. Manslaughter is defined so broadly that it has raised issues about the fairness and transparency of the criminal justice system</w:t>
      </w:r>
      <w:r w:rsidR="00EF4F23" w:rsidRPr="00EF4F23">
        <w:rPr>
          <w:rStyle w:val="FootnoteReference"/>
          <w:rFonts w:ascii="Times New Roman" w:hAnsi="Times New Roman" w:cs="Times New Roman"/>
          <w:color w:val="000000" w:themeColor="text1"/>
          <w:sz w:val="24"/>
          <w:szCs w:val="24"/>
        </w:rPr>
        <w:footnoteReference w:id="6"/>
      </w:r>
      <w:r w:rsidRPr="00EF4F23">
        <w:rPr>
          <w:rFonts w:ascii="Times New Roman" w:hAnsi="Times New Roman" w:cs="Times New Roman"/>
          <w:color w:val="000000" w:themeColor="text1"/>
          <w:sz w:val="24"/>
          <w:szCs w:val="24"/>
        </w:rPr>
        <w:t xml:space="preserve">. Manslaughter is defined broadly enough to include various </w:t>
      </w:r>
      <w:proofErr w:type="spellStart"/>
      <w:r w:rsidRPr="00EF4F23">
        <w:rPr>
          <w:rFonts w:ascii="Times New Roman" w:hAnsi="Times New Roman" w:cs="Times New Roman"/>
          <w:color w:val="000000" w:themeColor="text1"/>
          <w:sz w:val="24"/>
          <w:szCs w:val="24"/>
        </w:rPr>
        <w:t>behaviour</w:t>
      </w:r>
      <w:proofErr w:type="spellEnd"/>
      <w:r w:rsidRPr="00EF4F23">
        <w:rPr>
          <w:rFonts w:ascii="Times New Roman" w:hAnsi="Times New Roman" w:cs="Times New Roman"/>
          <w:color w:val="000000" w:themeColor="text1"/>
          <w:sz w:val="24"/>
          <w:szCs w:val="24"/>
        </w:rPr>
        <w:t>, making uniform sentencing standards impossible to supply</w:t>
      </w:r>
      <w:r w:rsidR="00EF4F23" w:rsidRPr="00EF4F23">
        <w:rPr>
          <w:rStyle w:val="FootnoteReference"/>
          <w:rFonts w:ascii="Times New Roman" w:hAnsi="Times New Roman" w:cs="Times New Roman"/>
          <w:color w:val="000000" w:themeColor="text1"/>
          <w:sz w:val="24"/>
          <w:szCs w:val="24"/>
        </w:rPr>
        <w:footnoteReference w:id="7"/>
      </w:r>
      <w:r w:rsidRPr="00EF4F23">
        <w:rPr>
          <w:rFonts w:ascii="Times New Roman" w:hAnsi="Times New Roman" w:cs="Times New Roman"/>
          <w:color w:val="000000" w:themeColor="text1"/>
          <w:sz w:val="24"/>
          <w:szCs w:val="24"/>
        </w:rPr>
        <w:t>.</w:t>
      </w:r>
    </w:p>
    <w:p w14:paraId="7D671E4D" w14:textId="77777777" w:rsidR="00EF4F23" w:rsidRPr="00EF4F23" w:rsidRDefault="00EF4F23" w:rsidP="003E06BF">
      <w:pPr>
        <w:pStyle w:val="NoSpacing"/>
        <w:spacing w:line="480" w:lineRule="auto"/>
      </w:pPr>
    </w:p>
    <w:p w14:paraId="78027844" w14:textId="77777777" w:rsidR="00C81F99" w:rsidRPr="00EF4F23" w:rsidRDefault="00C81F99" w:rsidP="003E06BF">
      <w:pPr>
        <w:pStyle w:val="Heading2"/>
        <w:spacing w:before="0" w:line="480" w:lineRule="auto"/>
        <w:contextualSpacing/>
        <w:rPr>
          <w:rFonts w:ascii="Times New Roman" w:hAnsi="Times New Roman" w:cs="Times New Roman"/>
          <w:b/>
          <w:color w:val="000000" w:themeColor="text1"/>
          <w:sz w:val="24"/>
          <w:szCs w:val="24"/>
        </w:rPr>
      </w:pPr>
      <w:bookmarkStart w:id="6" w:name="_Toc139456460"/>
      <w:r w:rsidRPr="00EF4F23">
        <w:rPr>
          <w:rFonts w:ascii="Times New Roman" w:hAnsi="Times New Roman" w:cs="Times New Roman"/>
          <w:b/>
          <w:color w:val="000000" w:themeColor="text1"/>
          <w:sz w:val="24"/>
          <w:szCs w:val="24"/>
        </w:rPr>
        <w:t>Proposals for Reform</w:t>
      </w:r>
      <w:bookmarkEnd w:id="6"/>
    </w:p>
    <w:p w14:paraId="11CCB221" w14:textId="77777777" w:rsidR="00D65A01" w:rsidRPr="00EF4F23" w:rsidRDefault="00D65A01"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The Statute Commission and other </w:t>
      </w:r>
      <w:proofErr w:type="spellStart"/>
      <w:r w:rsidRPr="00EF4F23">
        <w:rPr>
          <w:rFonts w:ascii="Times New Roman" w:hAnsi="Times New Roman" w:cs="Times New Roman"/>
          <w:color w:val="000000" w:themeColor="text1"/>
          <w:sz w:val="24"/>
          <w:szCs w:val="24"/>
        </w:rPr>
        <w:t>organisations</w:t>
      </w:r>
      <w:proofErr w:type="spellEnd"/>
      <w:r w:rsidRPr="00EF4F23">
        <w:rPr>
          <w:rFonts w:ascii="Times New Roman" w:hAnsi="Times New Roman" w:cs="Times New Roman"/>
          <w:color w:val="000000" w:themeColor="text1"/>
          <w:sz w:val="24"/>
          <w:szCs w:val="24"/>
        </w:rPr>
        <w:t xml:space="preserve"> have proposed revisions to the legislation concerning murder. The proposed changes are intended to improve the legal framework's clarity, justice, and uniformity and address the difficulties that have been raised. The Law Commission </w:t>
      </w:r>
      <w:r w:rsidRPr="00EF4F23">
        <w:rPr>
          <w:rFonts w:ascii="Times New Roman" w:hAnsi="Times New Roman" w:cs="Times New Roman"/>
          <w:color w:val="000000" w:themeColor="text1"/>
          <w:sz w:val="24"/>
          <w:szCs w:val="24"/>
        </w:rPr>
        <w:lastRenderedPageBreak/>
        <w:t xml:space="preserve">has proposed revisions to manslaughter offences, including their classification, partial </w:t>
      </w:r>
      <w:proofErr w:type="spellStart"/>
      <w:r w:rsidRPr="00EF4F23">
        <w:rPr>
          <w:rFonts w:ascii="Times New Roman" w:hAnsi="Times New Roman" w:cs="Times New Roman"/>
          <w:color w:val="000000" w:themeColor="text1"/>
          <w:sz w:val="24"/>
          <w:szCs w:val="24"/>
        </w:rPr>
        <w:t>defences</w:t>
      </w:r>
      <w:proofErr w:type="spellEnd"/>
      <w:r w:rsidRPr="00EF4F23">
        <w:rPr>
          <w:rFonts w:ascii="Times New Roman" w:hAnsi="Times New Roman" w:cs="Times New Roman"/>
          <w:color w:val="000000" w:themeColor="text1"/>
          <w:sz w:val="24"/>
          <w:szCs w:val="24"/>
        </w:rPr>
        <w:t xml:space="preserve">, and intent requirements. The government has </w:t>
      </w:r>
      <w:proofErr w:type="spellStart"/>
      <w:r w:rsidRPr="00EF4F23">
        <w:rPr>
          <w:rFonts w:ascii="Times New Roman" w:hAnsi="Times New Roman" w:cs="Times New Roman"/>
          <w:color w:val="000000" w:themeColor="text1"/>
          <w:sz w:val="24"/>
          <w:szCs w:val="24"/>
        </w:rPr>
        <w:t>authorised</w:t>
      </w:r>
      <w:proofErr w:type="spellEnd"/>
      <w:r w:rsidRPr="00EF4F23">
        <w:rPr>
          <w:rFonts w:ascii="Times New Roman" w:hAnsi="Times New Roman" w:cs="Times New Roman"/>
          <w:color w:val="000000" w:themeColor="text1"/>
          <w:sz w:val="24"/>
          <w:szCs w:val="24"/>
        </w:rPr>
        <w:t xml:space="preserve"> some requested adjustments, while others have been rejected. The judgements made must be </w:t>
      </w:r>
      <w:proofErr w:type="spellStart"/>
      <w:r w:rsidRPr="00EF4F23">
        <w:rPr>
          <w:rFonts w:ascii="Times New Roman" w:hAnsi="Times New Roman" w:cs="Times New Roman"/>
          <w:color w:val="000000" w:themeColor="text1"/>
          <w:sz w:val="24"/>
          <w:szCs w:val="24"/>
        </w:rPr>
        <w:t>scrutinised</w:t>
      </w:r>
      <w:proofErr w:type="spellEnd"/>
      <w:r w:rsidRPr="00EF4F23">
        <w:rPr>
          <w:rFonts w:ascii="Times New Roman" w:hAnsi="Times New Roman" w:cs="Times New Roman"/>
          <w:color w:val="000000" w:themeColor="text1"/>
          <w:sz w:val="24"/>
          <w:szCs w:val="24"/>
        </w:rPr>
        <w:t xml:space="preserve"> to see whether they are consistent with the ultimate purpose of treating offenders and victims equitably</w:t>
      </w:r>
      <w:r w:rsidR="00EF4F23" w:rsidRPr="00EF4F23">
        <w:rPr>
          <w:rStyle w:val="FootnoteReference"/>
          <w:rFonts w:ascii="Times New Roman" w:hAnsi="Times New Roman" w:cs="Times New Roman"/>
          <w:color w:val="000000" w:themeColor="text1"/>
          <w:sz w:val="24"/>
          <w:szCs w:val="24"/>
        </w:rPr>
        <w:footnoteReference w:id="8"/>
      </w:r>
      <w:r w:rsidRPr="00EF4F23">
        <w:rPr>
          <w:rFonts w:ascii="Times New Roman" w:hAnsi="Times New Roman" w:cs="Times New Roman"/>
          <w:color w:val="000000" w:themeColor="text1"/>
          <w:sz w:val="24"/>
          <w:szCs w:val="24"/>
        </w:rPr>
        <w:t xml:space="preserve">. This section will assess the government's attitude by </w:t>
      </w:r>
      <w:proofErr w:type="spellStart"/>
      <w:r w:rsidRPr="00EF4F23">
        <w:rPr>
          <w:rFonts w:ascii="Times New Roman" w:hAnsi="Times New Roman" w:cs="Times New Roman"/>
          <w:color w:val="000000" w:themeColor="text1"/>
          <w:sz w:val="24"/>
          <w:szCs w:val="24"/>
        </w:rPr>
        <w:t>analysing</w:t>
      </w:r>
      <w:proofErr w:type="spellEnd"/>
      <w:r w:rsidRPr="00EF4F23">
        <w:rPr>
          <w:rFonts w:ascii="Times New Roman" w:hAnsi="Times New Roman" w:cs="Times New Roman"/>
          <w:color w:val="000000" w:themeColor="text1"/>
          <w:sz w:val="24"/>
          <w:szCs w:val="24"/>
        </w:rPr>
        <w:t xml:space="preserve"> the benefits and drawbacks of both adopted and rejected reform ideas. Murder legislation as it now stands undoubtedly needs to be changed, but there are very persuasive grounds against doing so right now. These arguments </w:t>
      </w:r>
      <w:proofErr w:type="spellStart"/>
      <w:r w:rsidRPr="00EF4F23">
        <w:rPr>
          <w:rFonts w:ascii="Times New Roman" w:hAnsi="Times New Roman" w:cs="Times New Roman"/>
          <w:color w:val="000000" w:themeColor="text1"/>
          <w:sz w:val="24"/>
          <w:szCs w:val="24"/>
        </w:rPr>
        <w:t>emphasise</w:t>
      </w:r>
      <w:proofErr w:type="spellEnd"/>
      <w:r w:rsidRPr="00EF4F23">
        <w:rPr>
          <w:rFonts w:ascii="Times New Roman" w:hAnsi="Times New Roman" w:cs="Times New Roman"/>
          <w:color w:val="000000" w:themeColor="text1"/>
          <w:sz w:val="24"/>
          <w:szCs w:val="24"/>
        </w:rPr>
        <w:t xml:space="preserve"> traditional legal principles, individual rights, and avoiding unexpected effects</w:t>
      </w:r>
      <w:r w:rsidR="00EF4F23" w:rsidRPr="00EF4F23">
        <w:rPr>
          <w:rStyle w:val="FootnoteReference"/>
          <w:rFonts w:ascii="Times New Roman" w:hAnsi="Times New Roman" w:cs="Times New Roman"/>
          <w:color w:val="000000" w:themeColor="text1"/>
          <w:sz w:val="24"/>
          <w:szCs w:val="24"/>
        </w:rPr>
        <w:footnoteReference w:id="9"/>
      </w:r>
      <w:r w:rsidRPr="00EF4F23">
        <w:rPr>
          <w:rFonts w:ascii="Times New Roman" w:hAnsi="Times New Roman" w:cs="Times New Roman"/>
          <w:color w:val="000000" w:themeColor="text1"/>
          <w:sz w:val="24"/>
          <w:szCs w:val="24"/>
        </w:rPr>
        <w:t>. Considering these opposing opinions is crucial for understanding the intricacies of modifying a fundamental aspect of criminal law.</w:t>
      </w:r>
    </w:p>
    <w:p w14:paraId="74DA6557" w14:textId="77777777" w:rsidR="00D65A01" w:rsidRDefault="00D65A01"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The Legislation Commission and others have advocated changing murder laws. These recommendations are an effort to enhance the present legal system by correcting the weaknesses that have been discovered</w:t>
      </w:r>
      <w:r w:rsidR="00EF4F23" w:rsidRPr="00EF4F23">
        <w:rPr>
          <w:rStyle w:val="FootnoteReference"/>
          <w:rFonts w:ascii="Times New Roman" w:hAnsi="Times New Roman" w:cs="Times New Roman"/>
          <w:color w:val="000000" w:themeColor="text1"/>
          <w:sz w:val="24"/>
          <w:szCs w:val="24"/>
        </w:rPr>
        <w:footnoteReference w:id="10"/>
      </w:r>
      <w:r w:rsidRPr="00EF4F23">
        <w:rPr>
          <w:rFonts w:ascii="Times New Roman" w:hAnsi="Times New Roman" w:cs="Times New Roman"/>
          <w:color w:val="000000" w:themeColor="text1"/>
          <w:sz w:val="24"/>
          <w:szCs w:val="24"/>
        </w:rPr>
        <w:t>. The Law Commission has examined changing several parts of the law, including the application of diminished responsibility, the definition of murder, and the nature of manslaughter. The reaction of the government to reform initiatives will significantly impact the future of homicide legislation. Certain reform efforts must be evaluated in light of the government's approval or rejection</w:t>
      </w:r>
      <w:r w:rsidR="00EF4F23" w:rsidRPr="00EF4F23">
        <w:rPr>
          <w:rStyle w:val="FootnoteReference"/>
          <w:rFonts w:ascii="Times New Roman" w:hAnsi="Times New Roman" w:cs="Times New Roman"/>
          <w:color w:val="000000" w:themeColor="text1"/>
          <w:sz w:val="24"/>
          <w:szCs w:val="24"/>
        </w:rPr>
        <w:footnoteReference w:id="11"/>
      </w:r>
      <w:r w:rsidRPr="00EF4F23">
        <w:rPr>
          <w:rFonts w:ascii="Times New Roman" w:hAnsi="Times New Roman" w:cs="Times New Roman"/>
          <w:color w:val="000000" w:themeColor="text1"/>
          <w:sz w:val="24"/>
          <w:szCs w:val="24"/>
        </w:rPr>
        <w:t xml:space="preserve">. In this </w:t>
      </w:r>
      <w:r w:rsidR="009C7629" w:rsidRPr="00EF4F23">
        <w:rPr>
          <w:rFonts w:ascii="Times New Roman" w:hAnsi="Times New Roman" w:cs="Times New Roman"/>
          <w:color w:val="000000" w:themeColor="text1"/>
          <w:sz w:val="24"/>
          <w:szCs w:val="24"/>
        </w:rPr>
        <w:t>essay</w:t>
      </w:r>
      <w:r w:rsidRPr="00EF4F23">
        <w:rPr>
          <w:rFonts w:ascii="Times New Roman" w:hAnsi="Times New Roman" w:cs="Times New Roman"/>
          <w:color w:val="000000" w:themeColor="text1"/>
          <w:sz w:val="24"/>
          <w:szCs w:val="24"/>
        </w:rPr>
        <w:t xml:space="preserve">, </w:t>
      </w:r>
      <w:r w:rsidR="009C7629" w:rsidRPr="00EF4F23">
        <w:rPr>
          <w:rFonts w:ascii="Times New Roman" w:hAnsi="Times New Roman" w:cs="Times New Roman"/>
          <w:color w:val="000000" w:themeColor="text1"/>
          <w:sz w:val="24"/>
          <w:szCs w:val="24"/>
        </w:rPr>
        <w:t xml:space="preserve">reader will </w:t>
      </w:r>
      <w:r w:rsidRPr="00EF4F23">
        <w:rPr>
          <w:rFonts w:ascii="Times New Roman" w:hAnsi="Times New Roman" w:cs="Times New Roman"/>
          <w:color w:val="000000" w:themeColor="text1"/>
          <w:sz w:val="24"/>
          <w:szCs w:val="24"/>
        </w:rPr>
        <w:t xml:space="preserve">examine the government's approach in depth, </w:t>
      </w:r>
      <w:r w:rsidRPr="00EF4F23">
        <w:rPr>
          <w:rFonts w:ascii="Times New Roman" w:hAnsi="Times New Roman" w:cs="Times New Roman"/>
          <w:color w:val="000000" w:themeColor="text1"/>
          <w:sz w:val="24"/>
          <w:szCs w:val="24"/>
        </w:rPr>
        <w:lastRenderedPageBreak/>
        <w:t>dissecting their reasoning for their decisions and determining if they strike a fair balance between the rights of offenders and victims.</w:t>
      </w:r>
    </w:p>
    <w:p w14:paraId="796EB423" w14:textId="77777777" w:rsidR="00EF4F23" w:rsidRPr="003E06BF" w:rsidRDefault="00EF4F23" w:rsidP="003E06BF">
      <w:pPr>
        <w:pStyle w:val="NoSpacing"/>
      </w:pPr>
    </w:p>
    <w:p w14:paraId="27019488" w14:textId="77777777" w:rsidR="00C81F99" w:rsidRPr="00EF4F23" w:rsidRDefault="00C81F99" w:rsidP="003E06BF">
      <w:pPr>
        <w:pStyle w:val="Heading1"/>
        <w:spacing w:before="0" w:line="480" w:lineRule="auto"/>
        <w:contextualSpacing/>
        <w:rPr>
          <w:rFonts w:ascii="Times New Roman" w:hAnsi="Times New Roman" w:cs="Times New Roman"/>
          <w:b/>
          <w:color w:val="000000" w:themeColor="text1"/>
          <w:sz w:val="24"/>
          <w:szCs w:val="24"/>
        </w:rPr>
      </w:pPr>
      <w:bookmarkStart w:id="7" w:name="_Toc139456461"/>
      <w:r w:rsidRPr="00EF4F23">
        <w:rPr>
          <w:rFonts w:ascii="Times New Roman" w:hAnsi="Times New Roman" w:cs="Times New Roman"/>
          <w:b/>
          <w:color w:val="000000" w:themeColor="text1"/>
          <w:sz w:val="24"/>
          <w:szCs w:val="24"/>
        </w:rPr>
        <w:t>Conclusion</w:t>
      </w:r>
      <w:bookmarkEnd w:id="7"/>
    </w:p>
    <w:p w14:paraId="02ABFBF4" w14:textId="77777777" w:rsidR="00446EC4" w:rsidRPr="00EF4F23" w:rsidRDefault="00D65A01" w:rsidP="003E06BF">
      <w:pPr>
        <w:spacing w:after="0" w:line="480" w:lineRule="auto"/>
        <w:ind w:firstLine="720"/>
        <w:contextualSpacing/>
        <w:jc w:val="both"/>
        <w:rPr>
          <w:rFonts w:ascii="Times New Roman" w:hAnsi="Times New Roman" w:cs="Times New Roman"/>
          <w:color w:val="000000" w:themeColor="text1"/>
          <w:sz w:val="24"/>
          <w:szCs w:val="24"/>
        </w:rPr>
      </w:pPr>
      <w:r w:rsidRPr="00EF4F23">
        <w:rPr>
          <w:rFonts w:ascii="Times New Roman" w:hAnsi="Times New Roman" w:cs="Times New Roman"/>
          <w:color w:val="000000" w:themeColor="text1"/>
          <w:sz w:val="24"/>
          <w:szCs w:val="24"/>
        </w:rPr>
        <w:t xml:space="preserve">To conclude, various reasons impede changing murder laws in England and Wales, including balancing the requirements of the general public, criminals, and victims. This article has shown the complexity of the policy concerns behind criminal law by offering a comprehensive assessment of existing legislation, essential problems, reform ideas, government reaction, and arguments opposing change. Concerns have been raised about the scope of manslaughter, the minimal requisite intent for murder, and the availability of partial </w:t>
      </w:r>
      <w:proofErr w:type="spellStart"/>
      <w:r w:rsidRPr="00EF4F23">
        <w:rPr>
          <w:rFonts w:ascii="Times New Roman" w:hAnsi="Times New Roman" w:cs="Times New Roman"/>
          <w:color w:val="000000" w:themeColor="text1"/>
          <w:sz w:val="24"/>
          <w:szCs w:val="24"/>
        </w:rPr>
        <w:t>defences</w:t>
      </w:r>
      <w:proofErr w:type="spellEnd"/>
      <w:r w:rsidRPr="00EF4F23">
        <w:rPr>
          <w:rFonts w:ascii="Times New Roman" w:hAnsi="Times New Roman" w:cs="Times New Roman"/>
          <w:color w:val="000000" w:themeColor="text1"/>
          <w:sz w:val="24"/>
          <w:szCs w:val="24"/>
        </w:rPr>
        <w:t xml:space="preserve"> to murder. The government must carefully evaluate any revisions to ensure they appropriately address the stated concerns without upsetting the delicate balance of the present legal system. Reforming murder laws should protect all parties' interests while ensuring that victims are adequately compensated. Any discussions on criminal law reform must consider the social, moral, ethical, and philosophical viewpoints that underlie criminal law since they are the values and purposes that should lead a fair and equitable society.</w:t>
      </w:r>
    </w:p>
    <w:p w14:paraId="1AED6B40" w14:textId="77777777" w:rsidR="00446EC4" w:rsidRDefault="00446EC4" w:rsidP="003E06BF">
      <w:pPr>
        <w:spacing w:after="0" w:line="480" w:lineRule="auto"/>
      </w:pPr>
      <w:r>
        <w:br w:type="page"/>
      </w:r>
    </w:p>
    <w:p w14:paraId="21384527" w14:textId="77777777" w:rsidR="00C81F99" w:rsidRPr="00EF4F23" w:rsidRDefault="00446EC4" w:rsidP="003E06BF">
      <w:pPr>
        <w:pStyle w:val="Heading1"/>
        <w:spacing w:before="0" w:line="480" w:lineRule="auto"/>
        <w:contextualSpacing/>
        <w:jc w:val="center"/>
        <w:rPr>
          <w:rFonts w:ascii="Times New Roman" w:hAnsi="Times New Roman" w:cs="Times New Roman"/>
          <w:b/>
          <w:color w:val="000000" w:themeColor="text1"/>
          <w:sz w:val="24"/>
        </w:rPr>
      </w:pPr>
      <w:bookmarkStart w:id="8" w:name="_Toc139456462"/>
      <w:r w:rsidRPr="00EF4F23">
        <w:rPr>
          <w:rFonts w:ascii="Times New Roman" w:hAnsi="Times New Roman" w:cs="Times New Roman"/>
          <w:b/>
          <w:color w:val="000000" w:themeColor="text1"/>
          <w:sz w:val="24"/>
        </w:rPr>
        <w:lastRenderedPageBreak/>
        <w:t>References</w:t>
      </w:r>
      <w:bookmarkEnd w:id="8"/>
    </w:p>
    <w:p w14:paraId="06C1BDEA"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t xml:space="preserve">Edwards, S. (2007) ‘Descent into murder: Provocation’s stricture—the prognosis for women who kill men who abuse them’, </w:t>
      </w:r>
      <w:r w:rsidRPr="00EF4F23">
        <w:rPr>
          <w:i/>
          <w:iCs/>
          <w:color w:val="000000" w:themeColor="text1"/>
        </w:rPr>
        <w:t>The Journal of Criminal Law</w:t>
      </w:r>
      <w:r w:rsidRPr="00EF4F23">
        <w:rPr>
          <w:color w:val="000000" w:themeColor="text1"/>
        </w:rPr>
        <w:t xml:space="preserve">, 71(4), pp. 342–361. doi:10.1350/jcla.2007.71.4.342. </w:t>
      </w:r>
    </w:p>
    <w:p w14:paraId="519F7E31"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t xml:space="preserve">Grossman, J.L. and Friedman, L.M. (2011) ‘Whom do we belong to? parentage and the law’, </w:t>
      </w:r>
      <w:r w:rsidRPr="00EF4F23">
        <w:rPr>
          <w:i/>
          <w:iCs/>
          <w:color w:val="000000" w:themeColor="text1"/>
        </w:rPr>
        <w:t>Inside the Castle</w:t>
      </w:r>
      <w:r w:rsidRPr="00EF4F23">
        <w:rPr>
          <w:color w:val="000000" w:themeColor="text1"/>
        </w:rPr>
        <w:t xml:space="preserve"> [Preprint]. doi:10.23943/</w:t>
      </w:r>
      <w:proofErr w:type="spellStart"/>
      <w:r w:rsidRPr="00EF4F23">
        <w:rPr>
          <w:color w:val="000000" w:themeColor="text1"/>
        </w:rPr>
        <w:t>princeton</w:t>
      </w:r>
      <w:proofErr w:type="spellEnd"/>
      <w:r w:rsidRPr="00EF4F23">
        <w:rPr>
          <w:color w:val="000000" w:themeColor="text1"/>
        </w:rPr>
        <w:t xml:space="preserve">/9780691149820.003.0014. </w:t>
      </w:r>
    </w:p>
    <w:p w14:paraId="6EB902E0"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proofErr w:type="spellStart"/>
      <w:r w:rsidRPr="00EF4F23">
        <w:rPr>
          <w:color w:val="000000" w:themeColor="text1"/>
        </w:rPr>
        <w:t>Horder</w:t>
      </w:r>
      <w:proofErr w:type="spellEnd"/>
      <w:r w:rsidRPr="00EF4F23">
        <w:rPr>
          <w:color w:val="000000" w:themeColor="text1"/>
        </w:rPr>
        <w:t xml:space="preserve">, J. (2021) ‘Criminal law at the limit: Countering false claims in elections and referendums’, </w:t>
      </w:r>
      <w:r w:rsidRPr="00EF4F23">
        <w:rPr>
          <w:i/>
          <w:iCs/>
          <w:color w:val="000000" w:themeColor="text1"/>
        </w:rPr>
        <w:t>The Modern Law Review</w:t>
      </w:r>
      <w:r w:rsidRPr="00EF4F23">
        <w:rPr>
          <w:color w:val="000000" w:themeColor="text1"/>
        </w:rPr>
        <w:t xml:space="preserve">, 84(3), pp. 429–455. doi:10.1111/1468-2230.12615. </w:t>
      </w:r>
    </w:p>
    <w:p w14:paraId="4AB04CDA"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proofErr w:type="spellStart"/>
      <w:r w:rsidRPr="00EF4F23">
        <w:rPr>
          <w:color w:val="000000" w:themeColor="text1"/>
        </w:rPr>
        <w:t>Janigová</w:t>
      </w:r>
      <w:proofErr w:type="spellEnd"/>
      <w:r w:rsidRPr="00EF4F23">
        <w:rPr>
          <w:color w:val="000000" w:themeColor="text1"/>
        </w:rPr>
        <w:t xml:space="preserve">, S. (2023) ‘The governing-law anchor in legal translation-A homicide case study’, </w:t>
      </w:r>
      <w:r w:rsidRPr="00EF4F23">
        <w:rPr>
          <w:i/>
          <w:iCs/>
          <w:color w:val="000000" w:themeColor="text1"/>
        </w:rPr>
        <w:t xml:space="preserve">International Journal for the Semiotics of Law - Revue </w:t>
      </w:r>
      <w:proofErr w:type="spellStart"/>
      <w:r w:rsidRPr="00EF4F23">
        <w:rPr>
          <w:i/>
          <w:iCs/>
          <w:color w:val="000000" w:themeColor="text1"/>
        </w:rPr>
        <w:t>internationale</w:t>
      </w:r>
      <w:proofErr w:type="spellEnd"/>
      <w:r w:rsidRPr="00EF4F23">
        <w:rPr>
          <w:i/>
          <w:iCs/>
          <w:color w:val="000000" w:themeColor="text1"/>
        </w:rPr>
        <w:t xml:space="preserve"> de </w:t>
      </w:r>
      <w:proofErr w:type="spellStart"/>
      <w:r w:rsidRPr="00EF4F23">
        <w:rPr>
          <w:i/>
          <w:iCs/>
          <w:color w:val="000000" w:themeColor="text1"/>
        </w:rPr>
        <w:t>Sémiotique</w:t>
      </w:r>
      <w:proofErr w:type="spellEnd"/>
      <w:r w:rsidRPr="00EF4F23">
        <w:rPr>
          <w:i/>
          <w:iCs/>
          <w:color w:val="000000" w:themeColor="text1"/>
        </w:rPr>
        <w:t xml:space="preserve"> </w:t>
      </w:r>
      <w:proofErr w:type="spellStart"/>
      <w:r w:rsidRPr="00EF4F23">
        <w:rPr>
          <w:i/>
          <w:iCs/>
          <w:color w:val="000000" w:themeColor="text1"/>
        </w:rPr>
        <w:t>juridique</w:t>
      </w:r>
      <w:proofErr w:type="spellEnd"/>
      <w:r w:rsidRPr="00EF4F23">
        <w:rPr>
          <w:color w:val="000000" w:themeColor="text1"/>
        </w:rPr>
        <w:t xml:space="preserve"> [Preprint]. doi:10.1007/s11196-023-09992-z. </w:t>
      </w:r>
    </w:p>
    <w:p w14:paraId="68811C3D"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proofErr w:type="spellStart"/>
      <w:r w:rsidRPr="00EF4F23">
        <w:rPr>
          <w:color w:val="000000" w:themeColor="text1"/>
        </w:rPr>
        <w:t>Königs</w:t>
      </w:r>
      <w:proofErr w:type="spellEnd"/>
      <w:r w:rsidRPr="00EF4F23">
        <w:rPr>
          <w:color w:val="000000" w:themeColor="text1"/>
        </w:rPr>
        <w:t xml:space="preserve">, P. (2022) ‘Artificial Intelligence and responsibility gaps: What is the problem?’, </w:t>
      </w:r>
      <w:r w:rsidRPr="00EF4F23">
        <w:rPr>
          <w:i/>
          <w:iCs/>
          <w:color w:val="000000" w:themeColor="text1"/>
        </w:rPr>
        <w:t>Ethics and Information Technology</w:t>
      </w:r>
      <w:r w:rsidRPr="00EF4F23">
        <w:rPr>
          <w:color w:val="000000" w:themeColor="text1"/>
        </w:rPr>
        <w:t xml:space="preserve">, 24(3). doi:10.1007/s10676-022-09643-0. </w:t>
      </w:r>
    </w:p>
    <w:p w14:paraId="3C253038"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shd w:val="clear" w:color="auto" w:fill="FFFFFF"/>
        </w:rPr>
        <w:t xml:space="preserve">Lewis, A., Bonnie, R.J., Pope, T., Epstein, L.G., Greer, D.M., </w:t>
      </w:r>
      <w:proofErr w:type="spellStart"/>
      <w:r w:rsidRPr="00EF4F23">
        <w:rPr>
          <w:color w:val="000000" w:themeColor="text1"/>
          <w:shd w:val="clear" w:color="auto" w:fill="FFFFFF"/>
        </w:rPr>
        <w:t>Kirschen</w:t>
      </w:r>
      <w:proofErr w:type="spellEnd"/>
      <w:r w:rsidRPr="00EF4F23">
        <w:rPr>
          <w:color w:val="000000" w:themeColor="text1"/>
          <w:shd w:val="clear" w:color="auto" w:fill="FFFFFF"/>
        </w:rPr>
        <w:t>, M.P., Rubin, M. and Russell, J.A., 2019. Determination of death by neurologic criteria in the United States: the case for revising the Uniform Determination of Death Act. </w:t>
      </w:r>
      <w:r w:rsidRPr="00EF4F23">
        <w:rPr>
          <w:i/>
          <w:iCs/>
          <w:color w:val="000000" w:themeColor="text1"/>
          <w:shd w:val="clear" w:color="auto" w:fill="FFFFFF"/>
        </w:rPr>
        <w:t>The Journal of Law, Medicine &amp; Ethics</w:t>
      </w:r>
      <w:r w:rsidRPr="00EF4F23">
        <w:rPr>
          <w:color w:val="000000" w:themeColor="text1"/>
          <w:shd w:val="clear" w:color="auto" w:fill="FFFFFF"/>
        </w:rPr>
        <w:t>, </w:t>
      </w:r>
      <w:r w:rsidRPr="00EF4F23">
        <w:rPr>
          <w:i/>
          <w:iCs/>
          <w:color w:val="000000" w:themeColor="text1"/>
          <w:shd w:val="clear" w:color="auto" w:fill="FFFFFF"/>
        </w:rPr>
        <w:t>47</w:t>
      </w:r>
      <w:r w:rsidRPr="00EF4F23">
        <w:rPr>
          <w:color w:val="000000" w:themeColor="text1"/>
          <w:shd w:val="clear" w:color="auto" w:fill="FFFFFF"/>
        </w:rPr>
        <w:t>(4_suppl), pp.9-24.</w:t>
      </w:r>
    </w:p>
    <w:p w14:paraId="79B7A8EF"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t xml:space="preserve">Mechanic, M.B. (2022) ‘Battered women charged with homicide: Expert consultation, Evaluation, and testimony’, </w:t>
      </w:r>
      <w:r w:rsidRPr="00EF4F23">
        <w:rPr>
          <w:i/>
          <w:iCs/>
          <w:color w:val="000000" w:themeColor="text1"/>
        </w:rPr>
        <w:t>Journal of Aggression, Maltreatment &amp;amp; Trauma</w:t>
      </w:r>
      <w:r w:rsidRPr="00EF4F23">
        <w:rPr>
          <w:color w:val="000000" w:themeColor="text1"/>
        </w:rPr>
        <w:t xml:space="preserve">, 32(1–2), pp. 198–221. doi:10.1080/10926771.2022.2068393. </w:t>
      </w:r>
    </w:p>
    <w:p w14:paraId="15D8DBCD"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proofErr w:type="spellStart"/>
      <w:r w:rsidRPr="00EF4F23">
        <w:rPr>
          <w:color w:val="000000" w:themeColor="text1"/>
        </w:rPr>
        <w:t>Morrall</w:t>
      </w:r>
      <w:proofErr w:type="spellEnd"/>
      <w:r w:rsidRPr="00EF4F23">
        <w:rPr>
          <w:color w:val="000000" w:themeColor="text1"/>
        </w:rPr>
        <w:t xml:space="preserve">, P. (2006) ‘Murder and society: Why commit murder?’, </w:t>
      </w:r>
      <w:r w:rsidRPr="00EF4F23">
        <w:rPr>
          <w:i/>
          <w:iCs/>
          <w:color w:val="000000" w:themeColor="text1"/>
        </w:rPr>
        <w:t>Criminal Justice Matters</w:t>
      </w:r>
      <w:r w:rsidRPr="00EF4F23">
        <w:rPr>
          <w:color w:val="000000" w:themeColor="text1"/>
        </w:rPr>
        <w:t xml:space="preserve">, 66(1), pp. 36–37. doi:10.1080/09627250608553401. </w:t>
      </w:r>
    </w:p>
    <w:p w14:paraId="3B750E6E"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lastRenderedPageBreak/>
        <w:t>Reed, A. and Wake, N. (2016) ‘</w:t>
      </w:r>
      <w:proofErr w:type="spellStart"/>
      <w:r w:rsidRPr="00EF4F23">
        <w:rPr>
          <w:color w:val="000000" w:themeColor="text1"/>
        </w:rPr>
        <w:t>Anglo-american</w:t>
      </w:r>
      <w:proofErr w:type="spellEnd"/>
      <w:r w:rsidRPr="00EF4F23">
        <w:rPr>
          <w:color w:val="000000" w:themeColor="text1"/>
        </w:rPr>
        <w:t xml:space="preserve"> perspectives on partial </w:t>
      </w:r>
      <w:proofErr w:type="spellStart"/>
      <w:r w:rsidRPr="00EF4F23">
        <w:rPr>
          <w:color w:val="000000" w:themeColor="text1"/>
        </w:rPr>
        <w:t>defences</w:t>
      </w:r>
      <w:proofErr w:type="spellEnd"/>
      <w:r w:rsidRPr="00EF4F23">
        <w:rPr>
          <w:color w:val="000000" w:themeColor="text1"/>
        </w:rPr>
        <w:t xml:space="preserve">’, </w:t>
      </w:r>
      <w:r w:rsidRPr="00EF4F23">
        <w:rPr>
          <w:i/>
          <w:iCs/>
          <w:color w:val="000000" w:themeColor="text1"/>
        </w:rPr>
        <w:t>Loss of Control and Diminished Responsibility</w:t>
      </w:r>
      <w:r w:rsidRPr="00EF4F23">
        <w:rPr>
          <w:color w:val="000000" w:themeColor="text1"/>
        </w:rPr>
        <w:t>, pp. 183–206. doi:10.4324/9781315593012-13.</w:t>
      </w:r>
    </w:p>
    <w:p w14:paraId="14B76C54"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t xml:space="preserve">Shi, J. (2022) ‘Artificial Intelligence, algorithms and sentencing in Chinese criminal justice: Problems and solutions’, </w:t>
      </w:r>
      <w:r w:rsidRPr="00EF4F23">
        <w:rPr>
          <w:i/>
          <w:iCs/>
          <w:color w:val="000000" w:themeColor="text1"/>
        </w:rPr>
        <w:t>Criminal Law Forum</w:t>
      </w:r>
      <w:r w:rsidRPr="00EF4F23">
        <w:rPr>
          <w:color w:val="000000" w:themeColor="text1"/>
        </w:rPr>
        <w:t>, 33(2), pp. 121–148. doi:10.1007/s10609-022-09437-5.</w:t>
      </w:r>
    </w:p>
    <w:p w14:paraId="5BC3883D" w14:textId="77777777" w:rsidR="00EF4F23" w:rsidRPr="00EF4F23" w:rsidRDefault="00EF4F23"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t xml:space="preserve">Smith, R. (2022) ‘Pushing back on the arguments of The Lancet Commission on the value of death’, </w:t>
      </w:r>
      <w:r w:rsidRPr="00EF4F23">
        <w:rPr>
          <w:i/>
          <w:iCs/>
          <w:color w:val="000000" w:themeColor="text1"/>
        </w:rPr>
        <w:t>BMJ</w:t>
      </w:r>
      <w:r w:rsidRPr="00EF4F23">
        <w:rPr>
          <w:color w:val="000000" w:themeColor="text1"/>
        </w:rPr>
        <w:t xml:space="preserve"> [Preprint]. doi:10.1136/bmj.o782. </w:t>
      </w:r>
    </w:p>
    <w:p w14:paraId="774E6F10" w14:textId="77777777" w:rsidR="00446EC4" w:rsidRPr="00EF4F23" w:rsidRDefault="00446EC4" w:rsidP="003E06BF">
      <w:pPr>
        <w:pStyle w:val="NormalWeb"/>
        <w:spacing w:before="0" w:beforeAutospacing="0" w:after="0" w:afterAutospacing="0" w:line="480" w:lineRule="auto"/>
        <w:ind w:left="567" w:hanging="567"/>
        <w:contextualSpacing/>
        <w:jc w:val="both"/>
        <w:rPr>
          <w:color w:val="000000" w:themeColor="text1"/>
        </w:rPr>
      </w:pPr>
      <w:r w:rsidRPr="00EF4F23">
        <w:rPr>
          <w:color w:val="000000" w:themeColor="text1"/>
        </w:rPr>
        <w:t xml:space="preserve"> </w:t>
      </w:r>
    </w:p>
    <w:p w14:paraId="1707B007" w14:textId="77777777" w:rsidR="00446EC4" w:rsidRPr="00EF4F23" w:rsidRDefault="00446EC4" w:rsidP="003E06BF">
      <w:pPr>
        <w:tabs>
          <w:tab w:val="left" w:pos="5040"/>
        </w:tabs>
        <w:spacing w:after="0" w:line="480" w:lineRule="auto"/>
        <w:contextualSpacing/>
        <w:jc w:val="both"/>
        <w:rPr>
          <w:rFonts w:ascii="Times New Roman" w:hAnsi="Times New Roman" w:cs="Times New Roman"/>
          <w:color w:val="000000" w:themeColor="text1"/>
          <w:sz w:val="24"/>
          <w:szCs w:val="24"/>
        </w:rPr>
      </w:pPr>
    </w:p>
    <w:sectPr w:rsidR="00446EC4" w:rsidRPr="00EF4F23" w:rsidSect="003E06BF">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E17E7" w14:textId="77777777" w:rsidR="00022B38" w:rsidRDefault="00022B38" w:rsidP="00EF4F23">
      <w:pPr>
        <w:spacing w:after="0" w:line="240" w:lineRule="auto"/>
      </w:pPr>
      <w:r>
        <w:separator/>
      </w:r>
    </w:p>
  </w:endnote>
  <w:endnote w:type="continuationSeparator" w:id="0">
    <w:p w14:paraId="40AB0CDF" w14:textId="77777777" w:rsidR="00022B38" w:rsidRDefault="00022B38" w:rsidP="00EF4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D0561" w14:textId="77777777" w:rsidR="00022B38" w:rsidRDefault="00022B38" w:rsidP="00EF4F23">
      <w:pPr>
        <w:spacing w:after="0" w:line="240" w:lineRule="auto"/>
      </w:pPr>
      <w:r>
        <w:separator/>
      </w:r>
    </w:p>
  </w:footnote>
  <w:footnote w:type="continuationSeparator" w:id="0">
    <w:p w14:paraId="04BECFE6" w14:textId="77777777" w:rsidR="00022B38" w:rsidRDefault="00022B38" w:rsidP="00EF4F23">
      <w:pPr>
        <w:spacing w:after="0" w:line="240" w:lineRule="auto"/>
      </w:pPr>
      <w:r>
        <w:continuationSeparator/>
      </w:r>
    </w:p>
  </w:footnote>
  <w:footnote w:id="1">
    <w:p w14:paraId="2437E496"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w:t>
      </w:r>
      <w:proofErr w:type="spellStart"/>
      <w:r w:rsidRPr="00EF4F23">
        <w:rPr>
          <w:color w:val="000000" w:themeColor="text1"/>
          <w:sz w:val="18"/>
          <w:szCs w:val="18"/>
        </w:rPr>
        <w:t>Janigová</w:t>
      </w:r>
      <w:proofErr w:type="spellEnd"/>
      <w:r w:rsidRPr="00EF4F23">
        <w:rPr>
          <w:color w:val="000000" w:themeColor="text1"/>
          <w:sz w:val="18"/>
          <w:szCs w:val="18"/>
        </w:rPr>
        <w:t xml:space="preserve">, S. (2023) ‘The governing-law anchor in legal translation-A homicide case study’, </w:t>
      </w:r>
      <w:r w:rsidRPr="00EF4F23">
        <w:rPr>
          <w:i/>
          <w:iCs/>
          <w:color w:val="000000" w:themeColor="text1"/>
          <w:sz w:val="18"/>
          <w:szCs w:val="18"/>
        </w:rPr>
        <w:t xml:space="preserve">International Journal for the Semiotics of Law - Revue </w:t>
      </w:r>
      <w:proofErr w:type="spellStart"/>
      <w:r w:rsidRPr="00EF4F23">
        <w:rPr>
          <w:i/>
          <w:iCs/>
          <w:color w:val="000000" w:themeColor="text1"/>
          <w:sz w:val="18"/>
          <w:szCs w:val="18"/>
        </w:rPr>
        <w:t>internationale</w:t>
      </w:r>
      <w:proofErr w:type="spellEnd"/>
      <w:r w:rsidRPr="00EF4F23">
        <w:rPr>
          <w:i/>
          <w:iCs/>
          <w:color w:val="000000" w:themeColor="text1"/>
          <w:sz w:val="18"/>
          <w:szCs w:val="18"/>
        </w:rPr>
        <w:t xml:space="preserve"> de </w:t>
      </w:r>
      <w:proofErr w:type="spellStart"/>
      <w:r w:rsidRPr="00EF4F23">
        <w:rPr>
          <w:i/>
          <w:iCs/>
          <w:color w:val="000000" w:themeColor="text1"/>
          <w:sz w:val="18"/>
          <w:szCs w:val="18"/>
        </w:rPr>
        <w:t>Sémiotique</w:t>
      </w:r>
      <w:proofErr w:type="spellEnd"/>
      <w:r w:rsidRPr="00EF4F23">
        <w:rPr>
          <w:i/>
          <w:iCs/>
          <w:color w:val="000000" w:themeColor="text1"/>
          <w:sz w:val="18"/>
          <w:szCs w:val="18"/>
        </w:rPr>
        <w:t xml:space="preserve"> </w:t>
      </w:r>
      <w:proofErr w:type="spellStart"/>
      <w:r w:rsidRPr="00EF4F23">
        <w:rPr>
          <w:i/>
          <w:iCs/>
          <w:color w:val="000000" w:themeColor="text1"/>
          <w:sz w:val="18"/>
          <w:szCs w:val="18"/>
        </w:rPr>
        <w:t>juridique</w:t>
      </w:r>
      <w:proofErr w:type="spellEnd"/>
      <w:r w:rsidRPr="00EF4F23">
        <w:rPr>
          <w:color w:val="000000" w:themeColor="text1"/>
          <w:sz w:val="18"/>
          <w:szCs w:val="18"/>
        </w:rPr>
        <w:t xml:space="preserve"> [Preprint]. doi:10.1007/s11196-023-09992-z. </w:t>
      </w:r>
    </w:p>
    <w:p w14:paraId="0F491AC6" w14:textId="77777777" w:rsidR="00EF4F23" w:rsidRPr="00EF4F23" w:rsidRDefault="00EF4F23" w:rsidP="00EF4F23">
      <w:pPr>
        <w:pStyle w:val="FootnoteText"/>
        <w:contextualSpacing/>
        <w:jc w:val="both"/>
        <w:rPr>
          <w:rFonts w:ascii="Times New Roman" w:hAnsi="Times New Roman" w:cs="Times New Roman"/>
          <w:color w:val="000000" w:themeColor="text1"/>
          <w:sz w:val="18"/>
          <w:szCs w:val="18"/>
        </w:rPr>
      </w:pPr>
    </w:p>
  </w:footnote>
  <w:footnote w:id="2">
    <w:p w14:paraId="0294CDF6"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Reed, A. and Wake, N. (2016) ‘</w:t>
      </w:r>
      <w:proofErr w:type="spellStart"/>
      <w:r w:rsidRPr="00EF4F23">
        <w:rPr>
          <w:color w:val="000000" w:themeColor="text1"/>
          <w:sz w:val="18"/>
          <w:szCs w:val="18"/>
        </w:rPr>
        <w:t>Anglo-american</w:t>
      </w:r>
      <w:proofErr w:type="spellEnd"/>
      <w:r w:rsidRPr="00EF4F23">
        <w:rPr>
          <w:color w:val="000000" w:themeColor="text1"/>
          <w:sz w:val="18"/>
          <w:szCs w:val="18"/>
        </w:rPr>
        <w:t xml:space="preserve"> perspectives on partial </w:t>
      </w:r>
      <w:proofErr w:type="spellStart"/>
      <w:r w:rsidRPr="00EF4F23">
        <w:rPr>
          <w:color w:val="000000" w:themeColor="text1"/>
          <w:sz w:val="18"/>
          <w:szCs w:val="18"/>
        </w:rPr>
        <w:t>defences</w:t>
      </w:r>
      <w:proofErr w:type="spellEnd"/>
      <w:r w:rsidRPr="00EF4F23">
        <w:rPr>
          <w:color w:val="000000" w:themeColor="text1"/>
          <w:sz w:val="18"/>
          <w:szCs w:val="18"/>
        </w:rPr>
        <w:t xml:space="preserve">’, </w:t>
      </w:r>
      <w:r w:rsidRPr="00EF4F23">
        <w:rPr>
          <w:i/>
          <w:iCs/>
          <w:color w:val="000000" w:themeColor="text1"/>
          <w:sz w:val="18"/>
          <w:szCs w:val="18"/>
        </w:rPr>
        <w:t>Loss of Control and Diminished Responsibility</w:t>
      </w:r>
      <w:r w:rsidRPr="00EF4F23">
        <w:rPr>
          <w:color w:val="000000" w:themeColor="text1"/>
          <w:sz w:val="18"/>
          <w:szCs w:val="18"/>
        </w:rPr>
        <w:t>, pp. 183–206. doi:10.4324/9781315593012-13.</w:t>
      </w:r>
    </w:p>
  </w:footnote>
  <w:footnote w:id="3">
    <w:p w14:paraId="21AE1A67"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Edwards, S. (2007) ‘Descent into murder: Provocation’s stricture—the prognosis for women who kill men who abuse them’, </w:t>
      </w:r>
      <w:r w:rsidRPr="00EF4F23">
        <w:rPr>
          <w:i/>
          <w:iCs/>
          <w:color w:val="000000" w:themeColor="text1"/>
          <w:sz w:val="18"/>
          <w:szCs w:val="18"/>
        </w:rPr>
        <w:t>The Journal of Criminal Law</w:t>
      </w:r>
      <w:r w:rsidRPr="00EF4F23">
        <w:rPr>
          <w:color w:val="000000" w:themeColor="text1"/>
          <w:sz w:val="18"/>
          <w:szCs w:val="18"/>
        </w:rPr>
        <w:t xml:space="preserve">, 71(4), pp. 342–361. doi:10.1350/jcla.2007.71.4.342. </w:t>
      </w:r>
    </w:p>
    <w:p w14:paraId="2F37B890" w14:textId="77777777" w:rsidR="00EF4F23" w:rsidRPr="00EF4F23" w:rsidRDefault="00EF4F23" w:rsidP="00EF4F23">
      <w:pPr>
        <w:pStyle w:val="FootnoteText"/>
        <w:contextualSpacing/>
        <w:jc w:val="both"/>
        <w:rPr>
          <w:rFonts w:ascii="Times New Roman" w:hAnsi="Times New Roman" w:cs="Times New Roman"/>
          <w:color w:val="000000" w:themeColor="text1"/>
          <w:sz w:val="18"/>
          <w:szCs w:val="18"/>
        </w:rPr>
      </w:pPr>
    </w:p>
  </w:footnote>
  <w:footnote w:id="4">
    <w:p w14:paraId="07B04050"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w:t>
      </w:r>
      <w:proofErr w:type="spellStart"/>
      <w:r w:rsidRPr="00EF4F23">
        <w:rPr>
          <w:color w:val="000000" w:themeColor="text1"/>
          <w:sz w:val="18"/>
          <w:szCs w:val="18"/>
        </w:rPr>
        <w:t>Morrall</w:t>
      </w:r>
      <w:proofErr w:type="spellEnd"/>
      <w:r w:rsidRPr="00EF4F23">
        <w:rPr>
          <w:color w:val="000000" w:themeColor="text1"/>
          <w:sz w:val="18"/>
          <w:szCs w:val="18"/>
        </w:rPr>
        <w:t xml:space="preserve">, P. (2006) ‘Murder and society: Why commit murder?’, </w:t>
      </w:r>
      <w:r w:rsidRPr="00EF4F23">
        <w:rPr>
          <w:i/>
          <w:iCs/>
          <w:color w:val="000000" w:themeColor="text1"/>
          <w:sz w:val="18"/>
          <w:szCs w:val="18"/>
        </w:rPr>
        <w:t>Criminal Justice Matters</w:t>
      </w:r>
      <w:r w:rsidRPr="00EF4F23">
        <w:rPr>
          <w:color w:val="000000" w:themeColor="text1"/>
          <w:sz w:val="18"/>
          <w:szCs w:val="18"/>
        </w:rPr>
        <w:t xml:space="preserve">, 66(1), pp. 36–37. doi:10.1080/09627250608553401. </w:t>
      </w:r>
    </w:p>
  </w:footnote>
  <w:footnote w:id="5">
    <w:p w14:paraId="0F9FE1EE"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Shi, J. (2022) ‘Artificial Intelligence, algorithms and sentencing in Chinese criminal justice: Problems and solutions’, </w:t>
      </w:r>
      <w:r w:rsidRPr="00EF4F23">
        <w:rPr>
          <w:i/>
          <w:iCs/>
          <w:color w:val="000000" w:themeColor="text1"/>
          <w:sz w:val="18"/>
          <w:szCs w:val="18"/>
        </w:rPr>
        <w:t>Criminal Law Forum</w:t>
      </w:r>
      <w:r w:rsidRPr="00EF4F23">
        <w:rPr>
          <w:color w:val="000000" w:themeColor="text1"/>
          <w:sz w:val="18"/>
          <w:szCs w:val="18"/>
        </w:rPr>
        <w:t>, 33(2), pp. 121–148. doi:10.1007/s10609-022-09437-5.</w:t>
      </w:r>
    </w:p>
  </w:footnote>
  <w:footnote w:id="6">
    <w:p w14:paraId="03AB2907"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w:t>
      </w:r>
      <w:proofErr w:type="spellStart"/>
      <w:r w:rsidRPr="00EF4F23">
        <w:rPr>
          <w:color w:val="000000" w:themeColor="text1"/>
          <w:sz w:val="18"/>
          <w:szCs w:val="18"/>
        </w:rPr>
        <w:t>Königs</w:t>
      </w:r>
      <w:proofErr w:type="spellEnd"/>
      <w:r w:rsidRPr="00EF4F23">
        <w:rPr>
          <w:color w:val="000000" w:themeColor="text1"/>
          <w:sz w:val="18"/>
          <w:szCs w:val="18"/>
        </w:rPr>
        <w:t xml:space="preserve">, P. (2022) ‘Artificial Intelligence and responsibility gaps: What is the problem?’, </w:t>
      </w:r>
      <w:r w:rsidRPr="00EF4F23">
        <w:rPr>
          <w:i/>
          <w:iCs/>
          <w:color w:val="000000" w:themeColor="text1"/>
          <w:sz w:val="18"/>
          <w:szCs w:val="18"/>
        </w:rPr>
        <w:t>Ethics and Information Technology</w:t>
      </w:r>
      <w:r w:rsidRPr="00EF4F23">
        <w:rPr>
          <w:color w:val="000000" w:themeColor="text1"/>
          <w:sz w:val="18"/>
          <w:szCs w:val="18"/>
        </w:rPr>
        <w:t xml:space="preserve">, 24(3). doi:10.1007/s10676-022-09643-0. </w:t>
      </w:r>
    </w:p>
  </w:footnote>
  <w:footnote w:id="7">
    <w:p w14:paraId="5851A28B"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w:t>
      </w:r>
      <w:proofErr w:type="spellStart"/>
      <w:r w:rsidRPr="00EF4F23">
        <w:rPr>
          <w:color w:val="000000" w:themeColor="text1"/>
          <w:sz w:val="18"/>
          <w:szCs w:val="18"/>
        </w:rPr>
        <w:t>Horder</w:t>
      </w:r>
      <w:proofErr w:type="spellEnd"/>
      <w:r w:rsidRPr="00EF4F23">
        <w:rPr>
          <w:color w:val="000000" w:themeColor="text1"/>
          <w:sz w:val="18"/>
          <w:szCs w:val="18"/>
        </w:rPr>
        <w:t xml:space="preserve">, J. (2021) ‘Criminal law at the limit: Countering false claims in elections and referendums’, </w:t>
      </w:r>
      <w:r w:rsidRPr="00EF4F23">
        <w:rPr>
          <w:i/>
          <w:iCs/>
          <w:color w:val="000000" w:themeColor="text1"/>
          <w:sz w:val="18"/>
          <w:szCs w:val="18"/>
        </w:rPr>
        <w:t>The Modern Law Review</w:t>
      </w:r>
      <w:r w:rsidRPr="00EF4F23">
        <w:rPr>
          <w:color w:val="000000" w:themeColor="text1"/>
          <w:sz w:val="18"/>
          <w:szCs w:val="18"/>
        </w:rPr>
        <w:t xml:space="preserve">, 84(3), pp. 429–455. doi:10.1111/1468-2230.12615. </w:t>
      </w:r>
    </w:p>
  </w:footnote>
  <w:footnote w:id="8">
    <w:p w14:paraId="4ED5A6C1"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Grossman, J.L. and Friedman, L.M. (2011) ‘Whom do we belong to? parentage and the law’, </w:t>
      </w:r>
      <w:r w:rsidRPr="00EF4F23">
        <w:rPr>
          <w:i/>
          <w:iCs/>
          <w:color w:val="000000" w:themeColor="text1"/>
          <w:sz w:val="18"/>
          <w:szCs w:val="18"/>
        </w:rPr>
        <w:t>Inside the Castle</w:t>
      </w:r>
      <w:r w:rsidRPr="00EF4F23">
        <w:rPr>
          <w:color w:val="000000" w:themeColor="text1"/>
          <w:sz w:val="18"/>
          <w:szCs w:val="18"/>
        </w:rPr>
        <w:t xml:space="preserve"> [Preprint]. doi:10.23943/</w:t>
      </w:r>
      <w:proofErr w:type="spellStart"/>
      <w:r w:rsidRPr="00EF4F23">
        <w:rPr>
          <w:color w:val="000000" w:themeColor="text1"/>
          <w:sz w:val="18"/>
          <w:szCs w:val="18"/>
        </w:rPr>
        <w:t>princeton</w:t>
      </w:r>
      <w:proofErr w:type="spellEnd"/>
      <w:r w:rsidRPr="00EF4F23">
        <w:rPr>
          <w:color w:val="000000" w:themeColor="text1"/>
          <w:sz w:val="18"/>
          <w:szCs w:val="18"/>
        </w:rPr>
        <w:t xml:space="preserve">/9780691149820.003.0014. </w:t>
      </w:r>
    </w:p>
    <w:p w14:paraId="756B2868" w14:textId="77777777" w:rsidR="00EF4F23" w:rsidRPr="00EF4F23" w:rsidRDefault="00EF4F23" w:rsidP="00EF4F23">
      <w:pPr>
        <w:pStyle w:val="FootnoteText"/>
        <w:contextualSpacing/>
        <w:jc w:val="both"/>
        <w:rPr>
          <w:rFonts w:ascii="Times New Roman" w:hAnsi="Times New Roman" w:cs="Times New Roman"/>
          <w:color w:val="000000" w:themeColor="text1"/>
          <w:sz w:val="18"/>
          <w:szCs w:val="18"/>
        </w:rPr>
      </w:pPr>
    </w:p>
  </w:footnote>
  <w:footnote w:id="9">
    <w:p w14:paraId="2AFA0602"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Smith, R. (2022) ‘Pushing back on the arguments of The Lancet Commission on the value of death’, </w:t>
      </w:r>
      <w:r w:rsidRPr="00EF4F23">
        <w:rPr>
          <w:i/>
          <w:iCs/>
          <w:color w:val="000000" w:themeColor="text1"/>
          <w:sz w:val="18"/>
          <w:szCs w:val="18"/>
        </w:rPr>
        <w:t>BMJ</w:t>
      </w:r>
      <w:r w:rsidRPr="00EF4F23">
        <w:rPr>
          <w:color w:val="000000" w:themeColor="text1"/>
          <w:sz w:val="18"/>
          <w:szCs w:val="18"/>
        </w:rPr>
        <w:t xml:space="preserve"> [Preprint]. doi:10.1136/bmj.o782. </w:t>
      </w:r>
    </w:p>
  </w:footnote>
  <w:footnote w:id="10">
    <w:p w14:paraId="54C547AD"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Mechanic, M.B. (2022) ‘Battered women charged with homicide: Expert consultation, Evaluation, and testimony’, </w:t>
      </w:r>
      <w:r w:rsidRPr="00EF4F23">
        <w:rPr>
          <w:i/>
          <w:iCs/>
          <w:color w:val="000000" w:themeColor="text1"/>
          <w:sz w:val="18"/>
          <w:szCs w:val="18"/>
        </w:rPr>
        <w:t>Journal of Aggression, Maltreatment &amp;amp; Trauma</w:t>
      </w:r>
      <w:r w:rsidRPr="00EF4F23">
        <w:rPr>
          <w:color w:val="000000" w:themeColor="text1"/>
          <w:sz w:val="18"/>
          <w:szCs w:val="18"/>
        </w:rPr>
        <w:t xml:space="preserve">, 32(1–2), pp. 198–221. doi:10.1080/10926771.2022.2068393. </w:t>
      </w:r>
    </w:p>
  </w:footnote>
  <w:footnote w:id="11">
    <w:p w14:paraId="2F5BA698" w14:textId="77777777" w:rsidR="00EF4F23" w:rsidRPr="00EF4F23" w:rsidRDefault="00EF4F23" w:rsidP="00EF4F23">
      <w:pPr>
        <w:pStyle w:val="NormalWeb"/>
        <w:spacing w:before="0" w:beforeAutospacing="0" w:after="0" w:afterAutospacing="0"/>
        <w:ind w:left="567" w:hanging="567"/>
        <w:contextualSpacing/>
        <w:jc w:val="both"/>
        <w:rPr>
          <w:color w:val="000000" w:themeColor="text1"/>
          <w:sz w:val="18"/>
          <w:szCs w:val="18"/>
        </w:rPr>
      </w:pPr>
      <w:r w:rsidRPr="00EF4F23">
        <w:rPr>
          <w:rStyle w:val="FootnoteReference"/>
          <w:color w:val="000000" w:themeColor="text1"/>
          <w:sz w:val="18"/>
          <w:szCs w:val="18"/>
        </w:rPr>
        <w:footnoteRef/>
      </w:r>
      <w:r w:rsidRPr="00EF4F23">
        <w:rPr>
          <w:color w:val="000000" w:themeColor="text1"/>
          <w:sz w:val="18"/>
          <w:szCs w:val="18"/>
        </w:rPr>
        <w:t xml:space="preserve"> </w:t>
      </w:r>
      <w:r w:rsidRPr="00EF4F23">
        <w:rPr>
          <w:color w:val="000000" w:themeColor="text1"/>
          <w:sz w:val="18"/>
          <w:szCs w:val="18"/>
          <w:shd w:val="clear" w:color="auto" w:fill="FFFFFF"/>
        </w:rPr>
        <w:t xml:space="preserve">Lewis, A., Bonnie, R.J., Pope, T., Epstein, L.G., Greer, D.M., </w:t>
      </w:r>
      <w:proofErr w:type="spellStart"/>
      <w:r w:rsidRPr="00EF4F23">
        <w:rPr>
          <w:color w:val="000000" w:themeColor="text1"/>
          <w:sz w:val="18"/>
          <w:szCs w:val="18"/>
          <w:shd w:val="clear" w:color="auto" w:fill="FFFFFF"/>
        </w:rPr>
        <w:t>Kirschen</w:t>
      </w:r>
      <w:proofErr w:type="spellEnd"/>
      <w:r w:rsidRPr="00EF4F23">
        <w:rPr>
          <w:color w:val="000000" w:themeColor="text1"/>
          <w:sz w:val="18"/>
          <w:szCs w:val="18"/>
          <w:shd w:val="clear" w:color="auto" w:fill="FFFFFF"/>
        </w:rPr>
        <w:t>, M.P., Rubin, M. and Russell, J.A., 2019. Determination of death by neurologic criteria in the United States: the case for revising the Uniform Determination of Death Act. </w:t>
      </w:r>
      <w:r w:rsidRPr="00EF4F23">
        <w:rPr>
          <w:i/>
          <w:iCs/>
          <w:color w:val="000000" w:themeColor="text1"/>
          <w:sz w:val="18"/>
          <w:szCs w:val="18"/>
          <w:shd w:val="clear" w:color="auto" w:fill="FFFFFF"/>
        </w:rPr>
        <w:t>The Journal of Law, Medicine &amp; Ethics</w:t>
      </w:r>
      <w:r w:rsidRPr="00EF4F23">
        <w:rPr>
          <w:color w:val="000000" w:themeColor="text1"/>
          <w:sz w:val="18"/>
          <w:szCs w:val="18"/>
          <w:shd w:val="clear" w:color="auto" w:fill="FFFFFF"/>
        </w:rPr>
        <w:t>, </w:t>
      </w:r>
      <w:r w:rsidRPr="00EF4F23">
        <w:rPr>
          <w:i/>
          <w:iCs/>
          <w:color w:val="000000" w:themeColor="text1"/>
          <w:sz w:val="18"/>
          <w:szCs w:val="18"/>
          <w:shd w:val="clear" w:color="auto" w:fill="FFFFFF"/>
        </w:rPr>
        <w:t>47</w:t>
      </w:r>
      <w:r w:rsidRPr="00EF4F23">
        <w:rPr>
          <w:color w:val="000000" w:themeColor="text1"/>
          <w:sz w:val="18"/>
          <w:szCs w:val="18"/>
          <w:shd w:val="clear" w:color="auto" w:fill="FFFFFF"/>
        </w:rPr>
        <w:t>(4_suppl), pp.9-24.</w:t>
      </w:r>
    </w:p>
    <w:p w14:paraId="6A12DA86" w14:textId="77777777" w:rsidR="00EF4F23" w:rsidRPr="00EF4F23" w:rsidRDefault="00EF4F23" w:rsidP="00EF4F23">
      <w:pPr>
        <w:pStyle w:val="FootnoteText"/>
        <w:contextualSpacing/>
        <w:jc w:val="both"/>
        <w:rPr>
          <w:rFonts w:ascii="Times New Roman" w:hAnsi="Times New Roman" w:cs="Times New Roman"/>
          <w:color w:val="000000" w:themeColor="text1"/>
          <w:sz w:val="18"/>
          <w:szCs w:val="18"/>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EE2"/>
    <w:rsid w:val="00022B38"/>
    <w:rsid w:val="000804B0"/>
    <w:rsid w:val="000E4A83"/>
    <w:rsid w:val="002C6C35"/>
    <w:rsid w:val="00326EE2"/>
    <w:rsid w:val="003E06BF"/>
    <w:rsid w:val="00446EC4"/>
    <w:rsid w:val="005762E1"/>
    <w:rsid w:val="00722800"/>
    <w:rsid w:val="009259E8"/>
    <w:rsid w:val="009C7629"/>
    <w:rsid w:val="00A21D50"/>
    <w:rsid w:val="00AF058F"/>
    <w:rsid w:val="00C21342"/>
    <w:rsid w:val="00C81F99"/>
    <w:rsid w:val="00CE0941"/>
    <w:rsid w:val="00CE61C6"/>
    <w:rsid w:val="00D65A01"/>
    <w:rsid w:val="00EF4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EC768"/>
  <w15:chartTrackingRefBased/>
  <w15:docId w15:val="{1F27E698-271E-4657-8672-64B5F4BC3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EC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6E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6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22800"/>
    <w:pPr>
      <w:ind w:left="720"/>
      <w:contextualSpacing/>
    </w:pPr>
  </w:style>
  <w:style w:type="character" w:customStyle="1" w:styleId="Heading1Char">
    <w:name w:val="Heading 1 Char"/>
    <w:basedOn w:val="DefaultParagraphFont"/>
    <w:link w:val="Heading1"/>
    <w:uiPriority w:val="9"/>
    <w:rsid w:val="00446EC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46EC4"/>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EF4F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4F23"/>
    <w:rPr>
      <w:sz w:val="20"/>
      <w:szCs w:val="20"/>
    </w:rPr>
  </w:style>
  <w:style w:type="character" w:styleId="FootnoteReference">
    <w:name w:val="footnote reference"/>
    <w:basedOn w:val="DefaultParagraphFont"/>
    <w:uiPriority w:val="99"/>
    <w:semiHidden/>
    <w:unhideWhenUsed/>
    <w:rsid w:val="00EF4F23"/>
    <w:rPr>
      <w:vertAlign w:val="superscript"/>
    </w:rPr>
  </w:style>
  <w:style w:type="paragraph" w:styleId="NoSpacing">
    <w:name w:val="No Spacing"/>
    <w:uiPriority w:val="1"/>
    <w:qFormat/>
    <w:rsid w:val="00EF4F23"/>
    <w:pPr>
      <w:spacing w:after="0" w:line="240" w:lineRule="auto"/>
    </w:pPr>
  </w:style>
  <w:style w:type="paragraph" w:styleId="TOCHeading">
    <w:name w:val="TOC Heading"/>
    <w:basedOn w:val="Heading1"/>
    <w:next w:val="Normal"/>
    <w:uiPriority w:val="39"/>
    <w:unhideWhenUsed/>
    <w:qFormat/>
    <w:rsid w:val="003E06BF"/>
    <w:pPr>
      <w:outlineLvl w:val="9"/>
    </w:pPr>
  </w:style>
  <w:style w:type="paragraph" w:styleId="TOC1">
    <w:name w:val="toc 1"/>
    <w:basedOn w:val="Normal"/>
    <w:next w:val="Normal"/>
    <w:autoRedefine/>
    <w:uiPriority w:val="39"/>
    <w:unhideWhenUsed/>
    <w:rsid w:val="003E06BF"/>
    <w:pPr>
      <w:spacing w:after="100"/>
    </w:pPr>
  </w:style>
  <w:style w:type="paragraph" w:styleId="TOC2">
    <w:name w:val="toc 2"/>
    <w:basedOn w:val="Normal"/>
    <w:next w:val="Normal"/>
    <w:autoRedefine/>
    <w:uiPriority w:val="39"/>
    <w:unhideWhenUsed/>
    <w:rsid w:val="003E06BF"/>
    <w:pPr>
      <w:spacing w:after="100"/>
      <w:ind w:left="220"/>
    </w:pPr>
  </w:style>
  <w:style w:type="character" w:styleId="Hyperlink">
    <w:name w:val="Hyperlink"/>
    <w:basedOn w:val="DefaultParagraphFont"/>
    <w:uiPriority w:val="99"/>
    <w:unhideWhenUsed/>
    <w:rsid w:val="003E06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89020">
      <w:bodyDiv w:val="1"/>
      <w:marLeft w:val="0"/>
      <w:marRight w:val="0"/>
      <w:marTop w:val="0"/>
      <w:marBottom w:val="0"/>
      <w:divBdr>
        <w:top w:val="none" w:sz="0" w:space="0" w:color="auto"/>
        <w:left w:val="none" w:sz="0" w:space="0" w:color="auto"/>
        <w:bottom w:val="none" w:sz="0" w:space="0" w:color="auto"/>
        <w:right w:val="none" w:sz="0" w:space="0" w:color="auto"/>
      </w:divBdr>
    </w:div>
    <w:div w:id="521743714">
      <w:bodyDiv w:val="1"/>
      <w:marLeft w:val="0"/>
      <w:marRight w:val="0"/>
      <w:marTop w:val="0"/>
      <w:marBottom w:val="0"/>
      <w:divBdr>
        <w:top w:val="none" w:sz="0" w:space="0" w:color="auto"/>
        <w:left w:val="none" w:sz="0" w:space="0" w:color="auto"/>
        <w:bottom w:val="none" w:sz="0" w:space="0" w:color="auto"/>
        <w:right w:val="none" w:sz="0" w:space="0" w:color="auto"/>
      </w:divBdr>
    </w:div>
    <w:div w:id="814028830">
      <w:bodyDiv w:val="1"/>
      <w:marLeft w:val="0"/>
      <w:marRight w:val="0"/>
      <w:marTop w:val="0"/>
      <w:marBottom w:val="0"/>
      <w:divBdr>
        <w:top w:val="none" w:sz="0" w:space="0" w:color="auto"/>
        <w:left w:val="none" w:sz="0" w:space="0" w:color="auto"/>
        <w:bottom w:val="none" w:sz="0" w:space="0" w:color="auto"/>
        <w:right w:val="none" w:sz="0" w:space="0" w:color="auto"/>
      </w:divBdr>
    </w:div>
    <w:div w:id="864707840">
      <w:bodyDiv w:val="1"/>
      <w:marLeft w:val="0"/>
      <w:marRight w:val="0"/>
      <w:marTop w:val="0"/>
      <w:marBottom w:val="0"/>
      <w:divBdr>
        <w:top w:val="none" w:sz="0" w:space="0" w:color="auto"/>
        <w:left w:val="none" w:sz="0" w:space="0" w:color="auto"/>
        <w:bottom w:val="none" w:sz="0" w:space="0" w:color="auto"/>
        <w:right w:val="none" w:sz="0" w:space="0" w:color="auto"/>
      </w:divBdr>
    </w:div>
    <w:div w:id="978802532">
      <w:bodyDiv w:val="1"/>
      <w:marLeft w:val="0"/>
      <w:marRight w:val="0"/>
      <w:marTop w:val="0"/>
      <w:marBottom w:val="0"/>
      <w:divBdr>
        <w:top w:val="none" w:sz="0" w:space="0" w:color="auto"/>
        <w:left w:val="none" w:sz="0" w:space="0" w:color="auto"/>
        <w:bottom w:val="none" w:sz="0" w:space="0" w:color="auto"/>
        <w:right w:val="none" w:sz="0" w:space="0" w:color="auto"/>
      </w:divBdr>
    </w:div>
    <w:div w:id="1226989730">
      <w:bodyDiv w:val="1"/>
      <w:marLeft w:val="0"/>
      <w:marRight w:val="0"/>
      <w:marTop w:val="0"/>
      <w:marBottom w:val="0"/>
      <w:divBdr>
        <w:top w:val="none" w:sz="0" w:space="0" w:color="auto"/>
        <w:left w:val="none" w:sz="0" w:space="0" w:color="auto"/>
        <w:bottom w:val="none" w:sz="0" w:space="0" w:color="auto"/>
        <w:right w:val="none" w:sz="0" w:space="0" w:color="auto"/>
      </w:divBdr>
    </w:div>
    <w:div w:id="1433934416">
      <w:bodyDiv w:val="1"/>
      <w:marLeft w:val="0"/>
      <w:marRight w:val="0"/>
      <w:marTop w:val="0"/>
      <w:marBottom w:val="0"/>
      <w:divBdr>
        <w:top w:val="none" w:sz="0" w:space="0" w:color="auto"/>
        <w:left w:val="none" w:sz="0" w:space="0" w:color="auto"/>
        <w:bottom w:val="none" w:sz="0" w:space="0" w:color="auto"/>
        <w:right w:val="none" w:sz="0" w:space="0" w:color="auto"/>
      </w:divBdr>
    </w:div>
    <w:div w:id="1597517833">
      <w:bodyDiv w:val="1"/>
      <w:marLeft w:val="0"/>
      <w:marRight w:val="0"/>
      <w:marTop w:val="0"/>
      <w:marBottom w:val="0"/>
      <w:divBdr>
        <w:top w:val="none" w:sz="0" w:space="0" w:color="auto"/>
        <w:left w:val="none" w:sz="0" w:space="0" w:color="auto"/>
        <w:bottom w:val="none" w:sz="0" w:space="0" w:color="auto"/>
        <w:right w:val="none" w:sz="0" w:space="0" w:color="auto"/>
      </w:divBdr>
    </w:div>
    <w:div w:id="1712151096">
      <w:bodyDiv w:val="1"/>
      <w:marLeft w:val="0"/>
      <w:marRight w:val="0"/>
      <w:marTop w:val="0"/>
      <w:marBottom w:val="0"/>
      <w:divBdr>
        <w:top w:val="none" w:sz="0" w:space="0" w:color="auto"/>
        <w:left w:val="none" w:sz="0" w:space="0" w:color="auto"/>
        <w:bottom w:val="none" w:sz="0" w:space="0" w:color="auto"/>
        <w:right w:val="none" w:sz="0" w:space="0" w:color="auto"/>
      </w:divBdr>
    </w:div>
    <w:div w:id="1737975257">
      <w:bodyDiv w:val="1"/>
      <w:marLeft w:val="0"/>
      <w:marRight w:val="0"/>
      <w:marTop w:val="0"/>
      <w:marBottom w:val="0"/>
      <w:divBdr>
        <w:top w:val="none" w:sz="0" w:space="0" w:color="auto"/>
        <w:left w:val="none" w:sz="0" w:space="0" w:color="auto"/>
        <w:bottom w:val="none" w:sz="0" w:space="0" w:color="auto"/>
        <w:right w:val="none" w:sz="0" w:space="0" w:color="auto"/>
      </w:divBdr>
    </w:div>
    <w:div w:id="1844930879">
      <w:bodyDiv w:val="1"/>
      <w:marLeft w:val="0"/>
      <w:marRight w:val="0"/>
      <w:marTop w:val="0"/>
      <w:marBottom w:val="0"/>
      <w:divBdr>
        <w:top w:val="none" w:sz="0" w:space="0" w:color="auto"/>
        <w:left w:val="none" w:sz="0" w:space="0" w:color="auto"/>
        <w:bottom w:val="none" w:sz="0" w:space="0" w:color="auto"/>
        <w:right w:val="none" w:sz="0" w:space="0" w:color="auto"/>
      </w:divBdr>
    </w:div>
    <w:div w:id="1936552930">
      <w:bodyDiv w:val="1"/>
      <w:marLeft w:val="0"/>
      <w:marRight w:val="0"/>
      <w:marTop w:val="0"/>
      <w:marBottom w:val="0"/>
      <w:divBdr>
        <w:top w:val="none" w:sz="0" w:space="0" w:color="auto"/>
        <w:left w:val="none" w:sz="0" w:space="0" w:color="auto"/>
        <w:bottom w:val="none" w:sz="0" w:space="0" w:color="auto"/>
        <w:right w:val="none" w:sz="0" w:space="0" w:color="auto"/>
      </w:divBdr>
    </w:div>
    <w:div w:id="208787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F41BF-CB6F-4AB6-8C65-0482334E9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Divine Rescue</cp:lastModifiedBy>
  <cp:revision>2</cp:revision>
  <dcterms:created xsi:type="dcterms:W3CDTF">2023-07-07T04:59:00Z</dcterms:created>
  <dcterms:modified xsi:type="dcterms:W3CDTF">2023-07-07T04:59:00Z</dcterms:modified>
</cp:coreProperties>
</file>