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53552" w14:textId="77777777" w:rsidR="004E05C9" w:rsidRPr="003F5679" w:rsidRDefault="004E05C9" w:rsidP="004E05C9">
      <w:pPr>
        <w:jc w:val="center"/>
      </w:pPr>
    </w:p>
    <w:p w14:paraId="1E4B4E27" w14:textId="77777777" w:rsidR="004E05C9" w:rsidRPr="003F5679" w:rsidRDefault="004E05C9" w:rsidP="004E05C9">
      <w:pPr>
        <w:jc w:val="center"/>
      </w:pPr>
      <w:r w:rsidRPr="003F5679">
        <w:rPr>
          <w:noProof/>
        </w:rPr>
        <w:drawing>
          <wp:inline distT="0" distB="0" distL="114300" distR="114300" wp14:anchorId="655D4B81" wp14:editId="47267F9C">
            <wp:extent cx="2936875" cy="1311275"/>
            <wp:effectExtent l="0" t="0" r="4445" b="14605"/>
            <wp:docPr id="2"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文本&#10;&#10;AI 生成的内容可能不正确。"/>
                    <pic:cNvPicPr>
                      <a:picLocks noChangeAspect="1"/>
                    </pic:cNvPicPr>
                  </pic:nvPicPr>
                  <pic:blipFill>
                    <a:blip r:embed="rId9"/>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bottom w:val="single" w:sz="4" w:space="0" w:color="auto"/>
        </w:tblBorders>
        <w:tblLook w:val="04A0" w:firstRow="1" w:lastRow="0" w:firstColumn="1" w:lastColumn="0" w:noHBand="0" w:noVBand="1"/>
      </w:tblPr>
      <w:tblGrid>
        <w:gridCol w:w="3240"/>
        <w:gridCol w:w="6300"/>
      </w:tblGrid>
      <w:tr w:rsidR="004E05C9" w:rsidRPr="003F5679" w14:paraId="7388FDE9" w14:textId="77777777" w:rsidTr="00BA4F3A">
        <w:trPr>
          <w:trHeight w:val="300"/>
          <w:jc w:val="center"/>
        </w:trPr>
        <w:tc>
          <w:tcPr>
            <w:tcW w:w="3240" w:type="dxa"/>
          </w:tcPr>
          <w:p w14:paraId="4A01ECF5" w14:textId="77777777" w:rsidR="004E05C9" w:rsidRPr="003F5679" w:rsidRDefault="004E05C9" w:rsidP="00BA4F3A">
            <w:pPr>
              <w:jc w:val="center"/>
            </w:pPr>
            <w:r w:rsidRPr="003F5679">
              <w:rPr>
                <w:rFonts w:ascii="Arial" w:hAnsi="Arial" w:cs="Arial" w:hint="eastAsia"/>
                <w:b/>
                <w:sz w:val="24"/>
              </w:rPr>
              <w:t>Module</w:t>
            </w:r>
            <w:r w:rsidRPr="003F5679">
              <w:rPr>
                <w:rFonts w:ascii="Arial" w:hAnsi="Arial" w:cs="Arial"/>
                <w:b/>
                <w:sz w:val="24"/>
              </w:rPr>
              <w:t xml:space="preserve"> code:</w:t>
            </w:r>
            <w:r w:rsidRPr="003F5679">
              <w:rPr>
                <w:rFonts w:ascii="Arial" w:hAnsi="Arial" w:cs="Arial"/>
                <w:b/>
                <w:color w:val="000000"/>
                <w:sz w:val="24"/>
              </w:rPr>
              <w:t xml:space="preserve"> </w:t>
            </w:r>
            <w:r w:rsidRPr="003F5679">
              <w:rPr>
                <w:rFonts w:ascii="Arial" w:hAnsi="Arial" w:cs="Arial"/>
                <w:b/>
                <w:bCs/>
                <w:color w:val="000000"/>
                <w:sz w:val="24"/>
              </w:rPr>
              <w:t>BMBM6016</w:t>
            </w:r>
          </w:p>
        </w:tc>
        <w:tc>
          <w:tcPr>
            <w:tcW w:w="6300" w:type="dxa"/>
          </w:tcPr>
          <w:p w14:paraId="46EC5516" w14:textId="77777777" w:rsidR="004E05C9" w:rsidRPr="003F5679" w:rsidRDefault="004E05C9" w:rsidP="00BA4F3A">
            <w:pPr>
              <w:ind w:firstLineChars="1100" w:firstLine="2650"/>
            </w:pPr>
            <w:r w:rsidRPr="003F5679">
              <w:rPr>
                <w:rFonts w:ascii="Arial" w:hAnsi="Arial" w:cs="Arial" w:hint="eastAsia"/>
                <w:b/>
                <w:sz w:val="24"/>
              </w:rPr>
              <w:t>Module</w:t>
            </w:r>
            <w:r w:rsidRPr="003F5679">
              <w:rPr>
                <w:rFonts w:ascii="Arial" w:hAnsi="Arial" w:cs="Arial"/>
                <w:b/>
                <w:sz w:val="24"/>
              </w:rPr>
              <w:t xml:space="preserve">: </w:t>
            </w:r>
            <w:r w:rsidRPr="003F5679">
              <w:rPr>
                <w:rFonts w:ascii="Arial" w:hAnsi="Arial" w:cs="Arial"/>
                <w:b/>
                <w:bCs/>
                <w:sz w:val="24"/>
              </w:rPr>
              <w:t>Strategic Marketing</w:t>
            </w:r>
          </w:p>
        </w:tc>
      </w:tr>
    </w:tbl>
    <w:p w14:paraId="6981DA70" w14:textId="77777777" w:rsidR="004E05C9" w:rsidRPr="003F5679" w:rsidRDefault="004E05C9" w:rsidP="004E05C9">
      <w:pPr>
        <w:jc w:val="center"/>
      </w:pPr>
    </w:p>
    <w:p w14:paraId="35A5F233" w14:textId="77777777" w:rsidR="004E05C9" w:rsidRPr="003F5679" w:rsidRDefault="004E05C9" w:rsidP="004E05C9"/>
    <w:p w14:paraId="3A495D81" w14:textId="77777777" w:rsidR="004E05C9" w:rsidRPr="003F5679" w:rsidRDefault="004E05C9" w:rsidP="004E05C9">
      <w:pPr>
        <w:jc w:val="center"/>
        <w:rPr>
          <w:rFonts w:ascii="Arial" w:hAnsi="Arial" w:cs="Arial"/>
          <w:b/>
          <w:bCs/>
          <w:sz w:val="36"/>
          <w:szCs w:val="36"/>
        </w:rPr>
      </w:pPr>
      <w:r w:rsidRPr="003F5679">
        <w:rPr>
          <w:rFonts w:ascii="Arial" w:hAnsi="Arial" w:cs="Arial" w:hint="eastAsia"/>
          <w:b/>
          <w:bCs/>
          <w:sz w:val="36"/>
          <w:szCs w:val="36"/>
        </w:rPr>
        <w:t>M</w:t>
      </w:r>
      <w:r w:rsidRPr="003F5679">
        <w:rPr>
          <w:rFonts w:ascii="Arial" w:hAnsi="Arial" w:cs="Arial"/>
          <w:b/>
          <w:bCs/>
          <w:sz w:val="36"/>
          <w:szCs w:val="36"/>
        </w:rPr>
        <w:t xml:space="preserve">arketing </w:t>
      </w:r>
      <w:r w:rsidRPr="003F5679">
        <w:rPr>
          <w:rFonts w:ascii="Arial" w:hAnsi="Arial" w:cs="Arial" w:hint="eastAsia"/>
          <w:b/>
          <w:bCs/>
          <w:sz w:val="36"/>
          <w:szCs w:val="36"/>
        </w:rPr>
        <w:t>A</w:t>
      </w:r>
      <w:r w:rsidRPr="003F5679">
        <w:rPr>
          <w:rFonts w:ascii="Arial" w:hAnsi="Arial" w:cs="Arial"/>
          <w:b/>
          <w:bCs/>
          <w:sz w:val="36"/>
          <w:szCs w:val="36"/>
        </w:rPr>
        <w:t xml:space="preserve">udit of Domino's in </w:t>
      </w:r>
      <w:r w:rsidRPr="003F5679">
        <w:rPr>
          <w:rFonts w:ascii="Arial" w:hAnsi="Arial" w:cs="Arial" w:hint="eastAsia"/>
          <w:b/>
          <w:bCs/>
          <w:sz w:val="36"/>
          <w:szCs w:val="36"/>
        </w:rPr>
        <w:t>T</w:t>
      </w:r>
      <w:r w:rsidRPr="003F5679">
        <w:rPr>
          <w:rFonts w:ascii="Arial" w:hAnsi="Arial" w:cs="Arial"/>
          <w:b/>
          <w:bCs/>
          <w:sz w:val="36"/>
          <w:szCs w:val="36"/>
        </w:rPr>
        <w:t xml:space="preserve">he UK </w:t>
      </w:r>
      <w:r w:rsidRPr="003F5679">
        <w:rPr>
          <w:rFonts w:ascii="Arial" w:hAnsi="Arial" w:cs="Arial" w:hint="eastAsia"/>
          <w:b/>
          <w:bCs/>
          <w:sz w:val="36"/>
          <w:szCs w:val="36"/>
        </w:rPr>
        <w:t>M</w:t>
      </w:r>
      <w:r w:rsidRPr="003F5679">
        <w:rPr>
          <w:rFonts w:ascii="Arial" w:hAnsi="Arial" w:cs="Arial"/>
          <w:b/>
          <w:bCs/>
          <w:sz w:val="36"/>
          <w:szCs w:val="36"/>
        </w:rPr>
        <w:t>arket</w:t>
      </w:r>
    </w:p>
    <w:p w14:paraId="2B94E293" w14:textId="77777777" w:rsidR="004E05C9" w:rsidRPr="003F5679" w:rsidRDefault="004E05C9" w:rsidP="004E05C9">
      <w:pPr>
        <w:jc w:val="center"/>
        <w:rPr>
          <w:rFonts w:ascii="Arial" w:hAnsi="Arial" w:cs="Arial"/>
          <w:b/>
          <w:bCs/>
          <w:sz w:val="36"/>
          <w:szCs w:val="36"/>
        </w:rPr>
      </w:pPr>
    </w:p>
    <w:p w14:paraId="09C4EA89" w14:textId="77777777" w:rsidR="004E05C9" w:rsidRPr="003F5679" w:rsidRDefault="004E05C9" w:rsidP="004E05C9">
      <w:pPr>
        <w:jc w:val="center"/>
        <w:rPr>
          <w:rFonts w:ascii="Arial" w:hAnsi="Arial" w:cs="Arial"/>
          <w:b/>
          <w:bCs/>
          <w:sz w:val="36"/>
          <w:szCs w:val="36"/>
        </w:rPr>
      </w:pPr>
      <w:r w:rsidRPr="003F5679">
        <w:rPr>
          <w:rFonts w:hint="eastAsia"/>
          <w:noProof/>
        </w:rPr>
        <w:drawing>
          <wp:inline distT="0" distB="0" distL="0" distR="0" wp14:anchorId="2AFA6528" wp14:editId="63076F12">
            <wp:extent cx="3138406" cy="1883044"/>
            <wp:effectExtent l="0" t="0" r="5080" b="3175"/>
            <wp:docPr id="2005758084" name="图片 1" descr="ヨーロッパのDomino's Pizzaでビーガンペペロニピザをリリースしました。 | プラントベースドミート｜代替肉｜PBM｜ザ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ヨーロッパのDomino's Pizzaでビーガンペペロニピザをリリースしました。 | プラントベースドミート｜代替肉｜PBM｜ザ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0909" cy="1890546"/>
                    </a:xfrm>
                    <a:prstGeom prst="rect">
                      <a:avLst/>
                    </a:prstGeom>
                    <a:noFill/>
                    <a:ln>
                      <a:noFill/>
                    </a:ln>
                  </pic:spPr>
                </pic:pic>
              </a:graphicData>
            </a:graphic>
          </wp:inline>
        </w:drawing>
      </w:r>
    </w:p>
    <w:p w14:paraId="62664808" w14:textId="77777777" w:rsidR="004E05C9" w:rsidRPr="003F5679" w:rsidRDefault="004E05C9" w:rsidP="004E05C9">
      <w:pPr>
        <w:jc w:val="center"/>
        <w:rPr>
          <w:rFonts w:ascii="Arial" w:eastAsia="宋体" w:hAnsi="Arial" w:cs="Arial"/>
        </w:rPr>
      </w:pPr>
      <w:r w:rsidRPr="003F5679">
        <w:rPr>
          <w:rFonts w:ascii="Arial" w:eastAsia="宋体" w:hAnsi="Arial" w:cs="Arial"/>
        </w:rPr>
        <w:t>Name: Jian Huang</w:t>
      </w:r>
    </w:p>
    <w:p w14:paraId="08E658F0" w14:textId="77777777" w:rsidR="004E05C9" w:rsidRPr="003F5679" w:rsidRDefault="004E05C9" w:rsidP="004E05C9">
      <w:pPr>
        <w:jc w:val="center"/>
        <w:rPr>
          <w:rFonts w:ascii="Arial" w:eastAsia="宋体" w:hAnsi="Arial" w:cs="Arial"/>
        </w:rPr>
      </w:pPr>
      <w:r w:rsidRPr="003F5679">
        <w:rPr>
          <w:rFonts w:ascii="Arial" w:eastAsia="宋体" w:hAnsi="Arial" w:cs="Arial"/>
        </w:rPr>
        <w:t>Student number: 2400261</w:t>
      </w:r>
    </w:p>
    <w:p w14:paraId="07EEB699" w14:textId="77777777" w:rsidR="004E05C9" w:rsidRPr="003F5679" w:rsidRDefault="004E05C9" w:rsidP="004E05C9">
      <w:pPr>
        <w:jc w:val="center"/>
        <w:rPr>
          <w:rFonts w:ascii="Arial" w:eastAsia="宋体" w:hAnsi="Arial" w:cs="Arial"/>
        </w:rPr>
      </w:pPr>
      <w:r w:rsidRPr="003F5679">
        <w:rPr>
          <w:rFonts w:ascii="Arial" w:eastAsia="宋体" w:hAnsi="Arial" w:cs="Arial"/>
        </w:rPr>
        <w:t>Lecturer: Gwyneth Jones</w:t>
      </w:r>
    </w:p>
    <w:p w14:paraId="6BDFC307" w14:textId="77777777" w:rsidR="004E05C9" w:rsidRPr="003F5679" w:rsidRDefault="004E05C9" w:rsidP="004E05C9">
      <w:pPr>
        <w:jc w:val="center"/>
        <w:rPr>
          <w:rFonts w:ascii="Arial" w:eastAsia="宋体" w:hAnsi="Arial" w:cs="Arial"/>
        </w:rPr>
      </w:pPr>
      <w:r w:rsidRPr="003F5679">
        <w:rPr>
          <w:rFonts w:ascii="Arial" w:eastAsia="宋体" w:hAnsi="Arial" w:cs="Arial"/>
        </w:rPr>
        <w:t>Submission Date:</w:t>
      </w:r>
      <w:r w:rsidRPr="003F5679">
        <w:rPr>
          <w:rFonts w:ascii="Arial" w:eastAsia="宋体" w:hAnsi="Arial" w:cs="Arial" w:hint="eastAsia"/>
        </w:rPr>
        <w:t xml:space="preserve"> 2025.03.28</w:t>
      </w:r>
    </w:p>
    <w:p w14:paraId="0249CD45" w14:textId="44798341" w:rsidR="004E05C9" w:rsidRPr="003F5679" w:rsidRDefault="004E05C9" w:rsidP="004E05C9">
      <w:pPr>
        <w:jc w:val="center"/>
        <w:rPr>
          <w:rFonts w:ascii="Arial" w:eastAsia="宋体" w:hAnsi="Arial" w:cs="Arial"/>
        </w:rPr>
      </w:pPr>
      <w:r w:rsidRPr="003F5679">
        <w:rPr>
          <w:rFonts w:ascii="Arial" w:eastAsia="宋体" w:hAnsi="Arial" w:cs="Arial"/>
        </w:rPr>
        <w:t>Word</w:t>
      </w:r>
      <w:r w:rsidRPr="003F5679">
        <w:rPr>
          <w:rFonts w:ascii="Arial" w:eastAsia="宋体" w:hAnsi="Arial" w:cs="Arial" w:hint="eastAsia"/>
        </w:rPr>
        <w:t xml:space="preserve"> </w:t>
      </w:r>
      <w:r w:rsidR="00262222">
        <w:rPr>
          <w:rFonts w:ascii="Arial" w:eastAsia="宋体" w:hAnsi="Arial" w:cs="Arial" w:hint="eastAsia"/>
        </w:rPr>
        <w:t>C</w:t>
      </w:r>
      <w:r w:rsidRPr="003F5679">
        <w:rPr>
          <w:rFonts w:ascii="Arial" w:eastAsia="宋体" w:hAnsi="Arial" w:cs="Arial"/>
        </w:rPr>
        <w:t xml:space="preserve">ount: </w:t>
      </w:r>
      <w:r w:rsidRPr="003F5679">
        <w:rPr>
          <w:rFonts w:ascii="Arial" w:eastAsia="宋体" w:hAnsi="Arial" w:cs="Arial" w:hint="eastAsia"/>
        </w:rPr>
        <w:t>2,7</w:t>
      </w:r>
      <w:r w:rsidR="00B558EB">
        <w:rPr>
          <w:rFonts w:ascii="Arial" w:eastAsia="宋体" w:hAnsi="Arial" w:cs="Arial" w:hint="eastAsia"/>
        </w:rPr>
        <w:t>39</w:t>
      </w:r>
      <w:r w:rsidRPr="003F5679">
        <w:rPr>
          <w:rFonts w:ascii="Arial" w:eastAsia="宋体" w:hAnsi="Arial" w:cs="Arial" w:hint="eastAsia"/>
        </w:rPr>
        <w:t xml:space="preserve"> </w:t>
      </w:r>
      <w:r w:rsidRPr="003F5679">
        <w:rPr>
          <w:rFonts w:ascii="Arial" w:eastAsia="宋体" w:hAnsi="Arial" w:cs="Arial"/>
        </w:rPr>
        <w:t>words</w:t>
      </w:r>
    </w:p>
    <w:p w14:paraId="64548EEE" w14:textId="77777777" w:rsidR="004E05C9" w:rsidRPr="003F5679" w:rsidRDefault="004E05C9" w:rsidP="004E05C9">
      <w:pPr>
        <w:rPr>
          <w:rFonts w:eastAsia="宋体"/>
        </w:rPr>
      </w:pPr>
    </w:p>
    <w:p w14:paraId="1AFC2984" w14:textId="77777777" w:rsidR="004E05C9" w:rsidRPr="003F5679" w:rsidRDefault="004E05C9" w:rsidP="004E05C9">
      <w:pPr>
        <w:jc w:val="center"/>
        <w:rPr>
          <w:rFonts w:ascii="Arial" w:eastAsia="宋体" w:hAnsi="Arial" w:cs="Arial"/>
        </w:rPr>
      </w:pPr>
      <w:r w:rsidRPr="003F5679">
        <w:rPr>
          <w:rFonts w:ascii="Arial" w:eastAsia="宋体" w:hAnsi="Arial" w:cs="Arial"/>
        </w:rPr>
        <w:t>University of Wales Trinity Saint David</w:t>
      </w:r>
    </w:p>
    <w:p w14:paraId="56D16A65" w14:textId="77777777" w:rsidR="004E05C9" w:rsidRPr="003F5679" w:rsidRDefault="004E05C9" w:rsidP="004E05C9">
      <w:pPr>
        <w:widowControl/>
        <w:jc w:val="left"/>
        <w:rPr>
          <w:b/>
          <w:bCs/>
          <w:sz w:val="32"/>
          <w:szCs w:val="32"/>
        </w:rPr>
      </w:pPr>
      <w:r w:rsidRPr="003F5679">
        <w:rPr>
          <w:b/>
          <w:bCs/>
          <w:sz w:val="32"/>
          <w:szCs w:val="32"/>
        </w:rPr>
        <w:br w:type="page"/>
      </w:r>
    </w:p>
    <w:p w14:paraId="3AEB7C6F" w14:textId="114A05C6" w:rsidR="004E05C9" w:rsidRPr="003F5679" w:rsidRDefault="004E05C9" w:rsidP="004E05C9">
      <w:pPr>
        <w:jc w:val="center"/>
        <w:rPr>
          <w:b/>
          <w:bCs/>
          <w:sz w:val="32"/>
          <w:szCs w:val="32"/>
        </w:rPr>
      </w:pPr>
      <w:r w:rsidRPr="003F5679">
        <w:rPr>
          <w:rFonts w:hint="eastAsia"/>
          <w:b/>
          <w:bCs/>
          <w:sz w:val="32"/>
          <w:szCs w:val="32"/>
        </w:rPr>
        <w:lastRenderedPageBreak/>
        <w:t xml:space="preserve">Executive </w:t>
      </w:r>
      <w:r w:rsidR="00262222">
        <w:rPr>
          <w:rFonts w:hint="eastAsia"/>
          <w:b/>
          <w:bCs/>
          <w:sz w:val="32"/>
          <w:szCs w:val="32"/>
        </w:rPr>
        <w:t>S</w:t>
      </w:r>
      <w:r w:rsidRPr="003F5679">
        <w:rPr>
          <w:rFonts w:hint="eastAsia"/>
          <w:b/>
          <w:bCs/>
          <w:sz w:val="32"/>
          <w:szCs w:val="32"/>
        </w:rPr>
        <w:t>ummary</w:t>
      </w:r>
    </w:p>
    <w:p w14:paraId="77117CB2" w14:textId="525BD221" w:rsidR="004E05C9" w:rsidRPr="003F5679" w:rsidRDefault="004E05C9" w:rsidP="004E05C9">
      <w:r w:rsidRPr="003F5679">
        <w:t xml:space="preserve">This report provides a comprehensive marketing audit of Domino's Pizza in the UK market, analysing both internal and external factors that influence its competitive position. Using PESTEL, Porter's Five Forces, </w:t>
      </w:r>
      <w:r w:rsidRPr="003F5679">
        <w:rPr>
          <w:rFonts w:hint="eastAsia"/>
        </w:rPr>
        <w:t>Porter</w:t>
      </w:r>
      <w:r w:rsidR="00262222">
        <w:t>’</w:t>
      </w:r>
      <w:r w:rsidR="00262222">
        <w:rPr>
          <w:rFonts w:hint="eastAsia"/>
        </w:rPr>
        <w:t>s</w:t>
      </w:r>
      <w:r w:rsidRPr="003F5679">
        <w:rPr>
          <w:rFonts w:hint="eastAsia"/>
        </w:rPr>
        <w:t xml:space="preserve"> Value Chain </w:t>
      </w:r>
      <w:r w:rsidRPr="003F5679">
        <w:t>and SWOT frameworks, the report examines the macro and micro-environmental factors affecting Domino's operations.</w:t>
      </w:r>
    </w:p>
    <w:p w14:paraId="74E9B8B7" w14:textId="77777777" w:rsidR="004E05C9" w:rsidRPr="003F5679" w:rsidRDefault="004E05C9" w:rsidP="004E05C9"/>
    <w:p w14:paraId="45602EA7" w14:textId="77777777" w:rsidR="004E05C9" w:rsidRPr="003F5679" w:rsidRDefault="004E05C9" w:rsidP="004E05C9">
      <w:r w:rsidRPr="003F5679">
        <w:t>The report analyses Domino's UK operations using the PESTEL framework, highlighting political factors</w:t>
      </w:r>
      <w:r w:rsidRPr="003F5679">
        <w:rPr>
          <w:rFonts w:hint="eastAsia"/>
        </w:rPr>
        <w:t>,</w:t>
      </w:r>
      <w:r w:rsidRPr="003F5679">
        <w:t xml:space="preserve"> </w:t>
      </w:r>
      <w:r w:rsidRPr="003F5679">
        <w:rPr>
          <w:rFonts w:hint="eastAsia"/>
        </w:rPr>
        <w:t>economic factor and political factor</w:t>
      </w:r>
      <w:r w:rsidRPr="003F5679">
        <w:t>. Porter’s Five Forces reveals threats from new entrants, supplier and buyer power, substitutes, and competition, alongside challenges from an ageing population and dietary shifts.</w:t>
      </w:r>
      <w:r w:rsidRPr="003F5679">
        <w:rPr>
          <w:rFonts w:hint="eastAsia"/>
        </w:rPr>
        <w:t xml:space="preserve"> </w:t>
      </w:r>
    </w:p>
    <w:p w14:paraId="15EAA558" w14:textId="77777777" w:rsidR="004E05C9" w:rsidRPr="003F5679" w:rsidRDefault="004E05C9" w:rsidP="004E05C9"/>
    <w:p w14:paraId="65D5F14A" w14:textId="77777777" w:rsidR="004E05C9" w:rsidRPr="003F5679" w:rsidRDefault="004E05C9" w:rsidP="004E05C9">
      <w:r w:rsidRPr="003F5679">
        <w:t>Internally, Domino's leverages technology like the PULSE system and Pizza Tracker to enhance logistics, operations, and customer experience. Procurement, HR, and tech development support cost efficiency and supply chain reliability. A SWOT analysis identifies strengths in brand loyalty and innovation, but weaknesses in labour costs and product diversity. Opportunities include healthy food trends and automation, while threats involve inflation, competition, and regulatory constraints.</w:t>
      </w:r>
    </w:p>
    <w:p w14:paraId="5B96994B" w14:textId="77777777" w:rsidR="004E05C9" w:rsidRPr="003F5679" w:rsidRDefault="004E05C9" w:rsidP="004E05C9">
      <w:r w:rsidRPr="003F5679">
        <w:br w:type="page"/>
      </w:r>
    </w:p>
    <w:p w14:paraId="3B83C44A" w14:textId="4A30C3B8" w:rsidR="004E05C9" w:rsidRPr="003F5679" w:rsidRDefault="00262222" w:rsidP="004E05C9">
      <w:pPr>
        <w:jc w:val="center"/>
        <w:rPr>
          <w:b/>
          <w:bCs/>
          <w:sz w:val="32"/>
          <w:szCs w:val="32"/>
        </w:rPr>
      </w:pPr>
      <w:r>
        <w:rPr>
          <w:rFonts w:hint="eastAsia"/>
          <w:b/>
          <w:bCs/>
          <w:sz w:val="32"/>
          <w:szCs w:val="32"/>
        </w:rPr>
        <w:lastRenderedPageBreak/>
        <w:t xml:space="preserve">Table of </w:t>
      </w:r>
      <w:r w:rsidR="004E05C9" w:rsidRPr="003F5679">
        <w:rPr>
          <w:rFonts w:hint="eastAsia"/>
          <w:b/>
          <w:bCs/>
          <w:sz w:val="32"/>
          <w:szCs w:val="32"/>
        </w:rPr>
        <w:t>Content</w:t>
      </w:r>
      <w:r>
        <w:rPr>
          <w:rFonts w:hint="eastAsia"/>
          <w:b/>
          <w:bCs/>
          <w:sz w:val="32"/>
          <w:szCs w:val="32"/>
        </w:rPr>
        <w:t>s</w:t>
      </w:r>
    </w:p>
    <w:p w14:paraId="272FAA81" w14:textId="58546555" w:rsidR="00862DC4" w:rsidRDefault="004E05C9">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r w:rsidRPr="003F5679">
        <w:fldChar w:fldCharType="begin"/>
      </w:r>
      <w:r w:rsidRPr="003F5679">
        <w:instrText xml:space="preserve">TOC \o "1-3" \h \u </w:instrText>
      </w:r>
      <w:r w:rsidRPr="003F5679">
        <w:fldChar w:fldCharType="separate"/>
      </w:r>
      <w:hyperlink w:anchor="_Toc193509721" w:history="1">
        <w:r w:rsidR="00862DC4" w:rsidRPr="008D6E8B">
          <w:rPr>
            <w:rStyle w:val="a8"/>
            <w:rFonts w:hint="eastAsia"/>
            <w:noProof/>
          </w:rPr>
          <w:t>1.0 Introduction</w:t>
        </w:r>
        <w:r w:rsidR="00862DC4">
          <w:rPr>
            <w:rFonts w:hint="eastAsia"/>
            <w:noProof/>
          </w:rPr>
          <w:tab/>
        </w:r>
        <w:r w:rsidR="00862DC4">
          <w:rPr>
            <w:rFonts w:hint="eastAsia"/>
            <w:noProof/>
          </w:rPr>
          <w:fldChar w:fldCharType="begin"/>
        </w:r>
        <w:r w:rsidR="00862DC4">
          <w:rPr>
            <w:rFonts w:hint="eastAsia"/>
            <w:noProof/>
          </w:rPr>
          <w:instrText xml:space="preserve"> </w:instrText>
        </w:r>
        <w:r w:rsidR="00862DC4">
          <w:rPr>
            <w:noProof/>
          </w:rPr>
          <w:instrText>PAGEREF _Toc193509721 \h</w:instrText>
        </w:r>
        <w:r w:rsidR="00862DC4">
          <w:rPr>
            <w:rFonts w:hint="eastAsia"/>
            <w:noProof/>
          </w:rPr>
          <w:instrText xml:space="preserve"> </w:instrText>
        </w:r>
        <w:r w:rsidR="00862DC4">
          <w:rPr>
            <w:rFonts w:hint="eastAsia"/>
            <w:noProof/>
          </w:rPr>
        </w:r>
        <w:r w:rsidR="00862DC4">
          <w:rPr>
            <w:noProof/>
          </w:rPr>
          <w:fldChar w:fldCharType="separate"/>
        </w:r>
        <w:r w:rsidR="00862DC4">
          <w:rPr>
            <w:noProof/>
          </w:rPr>
          <w:t>1</w:t>
        </w:r>
        <w:r w:rsidR="00862DC4">
          <w:rPr>
            <w:rFonts w:hint="eastAsia"/>
            <w:noProof/>
          </w:rPr>
          <w:fldChar w:fldCharType="end"/>
        </w:r>
      </w:hyperlink>
    </w:p>
    <w:p w14:paraId="6AACD6ED" w14:textId="32D60819"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22" w:history="1">
        <w:r w:rsidRPr="008D6E8B">
          <w:rPr>
            <w:rStyle w:val="a8"/>
            <w:rFonts w:hint="eastAsia"/>
            <w:noProof/>
          </w:rPr>
          <w:t>2.0 Macroenvironment Analysis</w:t>
        </w:r>
        <w:r>
          <w:rPr>
            <w:rFonts w:hint="eastAsia"/>
            <w:noProof/>
          </w:rPr>
          <w:tab/>
        </w:r>
        <w:r>
          <w:rPr>
            <w:rFonts w:hint="eastAsia"/>
            <w:noProof/>
          </w:rPr>
          <w:fldChar w:fldCharType="begin"/>
        </w:r>
        <w:r>
          <w:rPr>
            <w:rFonts w:hint="eastAsia"/>
            <w:noProof/>
          </w:rPr>
          <w:instrText xml:space="preserve"> </w:instrText>
        </w:r>
        <w:r>
          <w:rPr>
            <w:noProof/>
          </w:rPr>
          <w:instrText>PAGEREF _Toc193509722 \h</w:instrText>
        </w:r>
        <w:r>
          <w:rPr>
            <w:rFonts w:hint="eastAsia"/>
            <w:noProof/>
          </w:rPr>
          <w:instrText xml:space="preserve"> </w:instrText>
        </w:r>
        <w:r>
          <w:rPr>
            <w:rFonts w:hint="eastAsia"/>
            <w:noProof/>
          </w:rPr>
        </w:r>
        <w:r>
          <w:rPr>
            <w:noProof/>
          </w:rPr>
          <w:fldChar w:fldCharType="separate"/>
        </w:r>
        <w:r>
          <w:rPr>
            <w:noProof/>
          </w:rPr>
          <w:t>3</w:t>
        </w:r>
        <w:r>
          <w:rPr>
            <w:rFonts w:hint="eastAsia"/>
            <w:noProof/>
          </w:rPr>
          <w:fldChar w:fldCharType="end"/>
        </w:r>
      </w:hyperlink>
    </w:p>
    <w:p w14:paraId="03BE278E" w14:textId="3FD6BFDF"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23" w:history="1">
        <w:r w:rsidRPr="008D6E8B">
          <w:rPr>
            <w:rStyle w:val="a8"/>
            <w:rFonts w:hint="eastAsia"/>
            <w:noProof/>
          </w:rPr>
          <w:t>2.1 Political</w:t>
        </w:r>
        <w:r>
          <w:rPr>
            <w:rFonts w:hint="eastAsia"/>
            <w:noProof/>
          </w:rPr>
          <w:tab/>
        </w:r>
        <w:r>
          <w:rPr>
            <w:rFonts w:hint="eastAsia"/>
            <w:noProof/>
          </w:rPr>
          <w:fldChar w:fldCharType="begin"/>
        </w:r>
        <w:r>
          <w:rPr>
            <w:rFonts w:hint="eastAsia"/>
            <w:noProof/>
          </w:rPr>
          <w:instrText xml:space="preserve"> </w:instrText>
        </w:r>
        <w:r>
          <w:rPr>
            <w:noProof/>
          </w:rPr>
          <w:instrText>PAGEREF _Toc193509723 \h</w:instrText>
        </w:r>
        <w:r>
          <w:rPr>
            <w:rFonts w:hint="eastAsia"/>
            <w:noProof/>
          </w:rPr>
          <w:instrText xml:space="preserve"> </w:instrText>
        </w:r>
        <w:r>
          <w:rPr>
            <w:rFonts w:hint="eastAsia"/>
            <w:noProof/>
          </w:rPr>
        </w:r>
        <w:r>
          <w:rPr>
            <w:noProof/>
          </w:rPr>
          <w:fldChar w:fldCharType="separate"/>
        </w:r>
        <w:r>
          <w:rPr>
            <w:noProof/>
          </w:rPr>
          <w:t>4</w:t>
        </w:r>
        <w:r>
          <w:rPr>
            <w:rFonts w:hint="eastAsia"/>
            <w:noProof/>
          </w:rPr>
          <w:fldChar w:fldCharType="end"/>
        </w:r>
      </w:hyperlink>
    </w:p>
    <w:p w14:paraId="310023D1" w14:textId="3B17A880"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24" w:history="1">
        <w:r w:rsidRPr="008D6E8B">
          <w:rPr>
            <w:rStyle w:val="a8"/>
            <w:rFonts w:hint="eastAsia"/>
            <w:noProof/>
          </w:rPr>
          <w:t>2.2 Economic</w:t>
        </w:r>
        <w:r>
          <w:rPr>
            <w:rFonts w:hint="eastAsia"/>
            <w:noProof/>
          </w:rPr>
          <w:tab/>
        </w:r>
        <w:r>
          <w:rPr>
            <w:rFonts w:hint="eastAsia"/>
            <w:noProof/>
          </w:rPr>
          <w:fldChar w:fldCharType="begin"/>
        </w:r>
        <w:r>
          <w:rPr>
            <w:rFonts w:hint="eastAsia"/>
            <w:noProof/>
          </w:rPr>
          <w:instrText xml:space="preserve"> </w:instrText>
        </w:r>
        <w:r>
          <w:rPr>
            <w:noProof/>
          </w:rPr>
          <w:instrText>PAGEREF _Toc193509724 \h</w:instrText>
        </w:r>
        <w:r>
          <w:rPr>
            <w:rFonts w:hint="eastAsia"/>
            <w:noProof/>
          </w:rPr>
          <w:instrText xml:space="preserve"> </w:instrText>
        </w:r>
        <w:r>
          <w:rPr>
            <w:rFonts w:hint="eastAsia"/>
            <w:noProof/>
          </w:rPr>
        </w:r>
        <w:r>
          <w:rPr>
            <w:noProof/>
          </w:rPr>
          <w:fldChar w:fldCharType="separate"/>
        </w:r>
        <w:r>
          <w:rPr>
            <w:noProof/>
          </w:rPr>
          <w:t>5</w:t>
        </w:r>
        <w:r>
          <w:rPr>
            <w:rFonts w:hint="eastAsia"/>
            <w:noProof/>
          </w:rPr>
          <w:fldChar w:fldCharType="end"/>
        </w:r>
      </w:hyperlink>
    </w:p>
    <w:p w14:paraId="6D6AC95D" w14:textId="466E64C7"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25" w:history="1">
        <w:r w:rsidRPr="008D6E8B">
          <w:rPr>
            <w:rStyle w:val="a8"/>
            <w:rFonts w:hint="eastAsia"/>
            <w:noProof/>
          </w:rPr>
          <w:t>2.3 Technological</w:t>
        </w:r>
        <w:r>
          <w:rPr>
            <w:rFonts w:hint="eastAsia"/>
            <w:noProof/>
          </w:rPr>
          <w:tab/>
        </w:r>
        <w:r>
          <w:rPr>
            <w:rFonts w:hint="eastAsia"/>
            <w:noProof/>
          </w:rPr>
          <w:fldChar w:fldCharType="begin"/>
        </w:r>
        <w:r>
          <w:rPr>
            <w:rFonts w:hint="eastAsia"/>
            <w:noProof/>
          </w:rPr>
          <w:instrText xml:space="preserve"> </w:instrText>
        </w:r>
        <w:r>
          <w:rPr>
            <w:noProof/>
          </w:rPr>
          <w:instrText>PAGEREF _Toc193509725 \h</w:instrText>
        </w:r>
        <w:r>
          <w:rPr>
            <w:rFonts w:hint="eastAsia"/>
            <w:noProof/>
          </w:rPr>
          <w:instrText xml:space="preserve"> </w:instrText>
        </w:r>
        <w:r>
          <w:rPr>
            <w:rFonts w:hint="eastAsia"/>
            <w:noProof/>
          </w:rPr>
        </w:r>
        <w:r>
          <w:rPr>
            <w:noProof/>
          </w:rPr>
          <w:fldChar w:fldCharType="separate"/>
        </w:r>
        <w:r>
          <w:rPr>
            <w:noProof/>
          </w:rPr>
          <w:t>6</w:t>
        </w:r>
        <w:r>
          <w:rPr>
            <w:rFonts w:hint="eastAsia"/>
            <w:noProof/>
          </w:rPr>
          <w:fldChar w:fldCharType="end"/>
        </w:r>
      </w:hyperlink>
    </w:p>
    <w:p w14:paraId="34BBD6B8" w14:textId="78DA2CAE"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26" w:history="1">
        <w:r w:rsidRPr="008D6E8B">
          <w:rPr>
            <w:rStyle w:val="a8"/>
            <w:rFonts w:hint="eastAsia"/>
            <w:noProof/>
          </w:rPr>
          <w:t>3.0 Microenvironment Analysis</w:t>
        </w:r>
        <w:r>
          <w:rPr>
            <w:rFonts w:hint="eastAsia"/>
            <w:noProof/>
          </w:rPr>
          <w:tab/>
        </w:r>
        <w:r>
          <w:rPr>
            <w:rFonts w:hint="eastAsia"/>
            <w:noProof/>
          </w:rPr>
          <w:fldChar w:fldCharType="begin"/>
        </w:r>
        <w:r>
          <w:rPr>
            <w:rFonts w:hint="eastAsia"/>
            <w:noProof/>
          </w:rPr>
          <w:instrText xml:space="preserve"> </w:instrText>
        </w:r>
        <w:r>
          <w:rPr>
            <w:noProof/>
          </w:rPr>
          <w:instrText>PAGEREF _Toc193509726 \h</w:instrText>
        </w:r>
        <w:r>
          <w:rPr>
            <w:rFonts w:hint="eastAsia"/>
            <w:noProof/>
          </w:rPr>
          <w:instrText xml:space="preserve"> </w:instrText>
        </w:r>
        <w:r>
          <w:rPr>
            <w:rFonts w:hint="eastAsia"/>
            <w:noProof/>
          </w:rPr>
        </w:r>
        <w:r>
          <w:rPr>
            <w:noProof/>
          </w:rPr>
          <w:fldChar w:fldCharType="separate"/>
        </w:r>
        <w:r>
          <w:rPr>
            <w:noProof/>
          </w:rPr>
          <w:t>8</w:t>
        </w:r>
        <w:r>
          <w:rPr>
            <w:rFonts w:hint="eastAsia"/>
            <w:noProof/>
          </w:rPr>
          <w:fldChar w:fldCharType="end"/>
        </w:r>
      </w:hyperlink>
    </w:p>
    <w:p w14:paraId="252913E8" w14:textId="5E593BAF"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27" w:history="1">
        <w:r w:rsidRPr="008D6E8B">
          <w:rPr>
            <w:rStyle w:val="a8"/>
            <w:rFonts w:hint="eastAsia"/>
            <w:noProof/>
          </w:rPr>
          <w:t>3.1 Threat of New Entrants</w:t>
        </w:r>
        <w:r>
          <w:rPr>
            <w:rFonts w:hint="eastAsia"/>
            <w:noProof/>
          </w:rPr>
          <w:tab/>
        </w:r>
        <w:r>
          <w:rPr>
            <w:rFonts w:hint="eastAsia"/>
            <w:noProof/>
          </w:rPr>
          <w:fldChar w:fldCharType="begin"/>
        </w:r>
        <w:r>
          <w:rPr>
            <w:rFonts w:hint="eastAsia"/>
            <w:noProof/>
          </w:rPr>
          <w:instrText xml:space="preserve"> </w:instrText>
        </w:r>
        <w:r>
          <w:rPr>
            <w:noProof/>
          </w:rPr>
          <w:instrText>PAGEREF _Toc193509727 \h</w:instrText>
        </w:r>
        <w:r>
          <w:rPr>
            <w:rFonts w:hint="eastAsia"/>
            <w:noProof/>
          </w:rPr>
          <w:instrText xml:space="preserve"> </w:instrText>
        </w:r>
        <w:r>
          <w:rPr>
            <w:rFonts w:hint="eastAsia"/>
            <w:noProof/>
          </w:rPr>
        </w:r>
        <w:r>
          <w:rPr>
            <w:noProof/>
          </w:rPr>
          <w:fldChar w:fldCharType="separate"/>
        </w:r>
        <w:r>
          <w:rPr>
            <w:noProof/>
          </w:rPr>
          <w:t>8</w:t>
        </w:r>
        <w:r>
          <w:rPr>
            <w:rFonts w:hint="eastAsia"/>
            <w:noProof/>
          </w:rPr>
          <w:fldChar w:fldCharType="end"/>
        </w:r>
      </w:hyperlink>
    </w:p>
    <w:p w14:paraId="33ED7490" w14:textId="1C37EBF3"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28" w:history="1">
        <w:r w:rsidRPr="008D6E8B">
          <w:rPr>
            <w:rStyle w:val="a8"/>
            <w:rFonts w:hint="eastAsia"/>
            <w:noProof/>
          </w:rPr>
          <w:t>3.2 Bargaining Power of Suppliers</w:t>
        </w:r>
        <w:r>
          <w:rPr>
            <w:rFonts w:hint="eastAsia"/>
            <w:noProof/>
          </w:rPr>
          <w:tab/>
        </w:r>
        <w:r>
          <w:rPr>
            <w:rFonts w:hint="eastAsia"/>
            <w:noProof/>
          </w:rPr>
          <w:fldChar w:fldCharType="begin"/>
        </w:r>
        <w:r>
          <w:rPr>
            <w:rFonts w:hint="eastAsia"/>
            <w:noProof/>
          </w:rPr>
          <w:instrText xml:space="preserve"> </w:instrText>
        </w:r>
        <w:r>
          <w:rPr>
            <w:noProof/>
          </w:rPr>
          <w:instrText>PAGEREF _Toc193509728 \h</w:instrText>
        </w:r>
        <w:r>
          <w:rPr>
            <w:rFonts w:hint="eastAsia"/>
            <w:noProof/>
          </w:rPr>
          <w:instrText xml:space="preserve"> </w:instrText>
        </w:r>
        <w:r>
          <w:rPr>
            <w:rFonts w:hint="eastAsia"/>
            <w:noProof/>
          </w:rPr>
        </w:r>
        <w:r>
          <w:rPr>
            <w:noProof/>
          </w:rPr>
          <w:fldChar w:fldCharType="separate"/>
        </w:r>
        <w:r>
          <w:rPr>
            <w:noProof/>
          </w:rPr>
          <w:t>9</w:t>
        </w:r>
        <w:r>
          <w:rPr>
            <w:rFonts w:hint="eastAsia"/>
            <w:noProof/>
          </w:rPr>
          <w:fldChar w:fldCharType="end"/>
        </w:r>
      </w:hyperlink>
    </w:p>
    <w:p w14:paraId="379D8484" w14:textId="6BAB7794"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29" w:history="1">
        <w:r w:rsidRPr="008D6E8B">
          <w:rPr>
            <w:rStyle w:val="a8"/>
            <w:rFonts w:hint="eastAsia"/>
            <w:noProof/>
          </w:rPr>
          <w:t>3.3 Bargaining Power of Buyers</w:t>
        </w:r>
        <w:r>
          <w:rPr>
            <w:rFonts w:hint="eastAsia"/>
            <w:noProof/>
          </w:rPr>
          <w:tab/>
        </w:r>
        <w:r>
          <w:rPr>
            <w:rFonts w:hint="eastAsia"/>
            <w:noProof/>
          </w:rPr>
          <w:fldChar w:fldCharType="begin"/>
        </w:r>
        <w:r>
          <w:rPr>
            <w:rFonts w:hint="eastAsia"/>
            <w:noProof/>
          </w:rPr>
          <w:instrText xml:space="preserve"> </w:instrText>
        </w:r>
        <w:r>
          <w:rPr>
            <w:noProof/>
          </w:rPr>
          <w:instrText>PAGEREF _Toc193509729 \h</w:instrText>
        </w:r>
        <w:r>
          <w:rPr>
            <w:rFonts w:hint="eastAsia"/>
            <w:noProof/>
          </w:rPr>
          <w:instrText xml:space="preserve"> </w:instrText>
        </w:r>
        <w:r>
          <w:rPr>
            <w:rFonts w:hint="eastAsia"/>
            <w:noProof/>
          </w:rPr>
        </w:r>
        <w:r>
          <w:rPr>
            <w:noProof/>
          </w:rPr>
          <w:fldChar w:fldCharType="separate"/>
        </w:r>
        <w:r>
          <w:rPr>
            <w:noProof/>
          </w:rPr>
          <w:t>9</w:t>
        </w:r>
        <w:r>
          <w:rPr>
            <w:rFonts w:hint="eastAsia"/>
            <w:noProof/>
          </w:rPr>
          <w:fldChar w:fldCharType="end"/>
        </w:r>
      </w:hyperlink>
    </w:p>
    <w:p w14:paraId="30F18B61" w14:textId="03403548"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30" w:history="1">
        <w:r w:rsidRPr="008D6E8B">
          <w:rPr>
            <w:rStyle w:val="a8"/>
            <w:rFonts w:hint="eastAsia"/>
            <w:noProof/>
          </w:rPr>
          <w:t>3.4 Threat of Substitutes</w:t>
        </w:r>
        <w:r>
          <w:rPr>
            <w:rFonts w:hint="eastAsia"/>
            <w:noProof/>
          </w:rPr>
          <w:tab/>
        </w:r>
        <w:r>
          <w:rPr>
            <w:rFonts w:hint="eastAsia"/>
            <w:noProof/>
          </w:rPr>
          <w:fldChar w:fldCharType="begin"/>
        </w:r>
        <w:r>
          <w:rPr>
            <w:rFonts w:hint="eastAsia"/>
            <w:noProof/>
          </w:rPr>
          <w:instrText xml:space="preserve"> </w:instrText>
        </w:r>
        <w:r>
          <w:rPr>
            <w:noProof/>
          </w:rPr>
          <w:instrText>PAGEREF _Toc193509730 \h</w:instrText>
        </w:r>
        <w:r>
          <w:rPr>
            <w:rFonts w:hint="eastAsia"/>
            <w:noProof/>
          </w:rPr>
          <w:instrText xml:space="preserve"> </w:instrText>
        </w:r>
        <w:r>
          <w:rPr>
            <w:rFonts w:hint="eastAsia"/>
            <w:noProof/>
          </w:rPr>
        </w:r>
        <w:r>
          <w:rPr>
            <w:noProof/>
          </w:rPr>
          <w:fldChar w:fldCharType="separate"/>
        </w:r>
        <w:r>
          <w:rPr>
            <w:noProof/>
          </w:rPr>
          <w:t>10</w:t>
        </w:r>
        <w:r>
          <w:rPr>
            <w:rFonts w:hint="eastAsia"/>
            <w:noProof/>
          </w:rPr>
          <w:fldChar w:fldCharType="end"/>
        </w:r>
      </w:hyperlink>
    </w:p>
    <w:p w14:paraId="3D7CD065" w14:textId="5F4C6B19"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31" w:history="1">
        <w:r w:rsidRPr="008D6E8B">
          <w:rPr>
            <w:rStyle w:val="a8"/>
            <w:rFonts w:hint="eastAsia"/>
            <w:noProof/>
          </w:rPr>
          <w:t>3.5 Competitor Rivalry</w:t>
        </w:r>
        <w:r>
          <w:rPr>
            <w:rFonts w:hint="eastAsia"/>
            <w:noProof/>
          </w:rPr>
          <w:tab/>
        </w:r>
        <w:r>
          <w:rPr>
            <w:rFonts w:hint="eastAsia"/>
            <w:noProof/>
          </w:rPr>
          <w:fldChar w:fldCharType="begin"/>
        </w:r>
        <w:r>
          <w:rPr>
            <w:rFonts w:hint="eastAsia"/>
            <w:noProof/>
          </w:rPr>
          <w:instrText xml:space="preserve"> </w:instrText>
        </w:r>
        <w:r>
          <w:rPr>
            <w:noProof/>
          </w:rPr>
          <w:instrText>PAGEREF _Toc193509731 \h</w:instrText>
        </w:r>
        <w:r>
          <w:rPr>
            <w:rFonts w:hint="eastAsia"/>
            <w:noProof/>
          </w:rPr>
          <w:instrText xml:space="preserve"> </w:instrText>
        </w:r>
        <w:r>
          <w:rPr>
            <w:rFonts w:hint="eastAsia"/>
            <w:noProof/>
          </w:rPr>
        </w:r>
        <w:r>
          <w:rPr>
            <w:noProof/>
          </w:rPr>
          <w:fldChar w:fldCharType="separate"/>
        </w:r>
        <w:r>
          <w:rPr>
            <w:noProof/>
          </w:rPr>
          <w:t>11</w:t>
        </w:r>
        <w:r>
          <w:rPr>
            <w:rFonts w:hint="eastAsia"/>
            <w:noProof/>
          </w:rPr>
          <w:fldChar w:fldCharType="end"/>
        </w:r>
      </w:hyperlink>
    </w:p>
    <w:p w14:paraId="78538975" w14:textId="72EFAB4D"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32" w:history="1">
        <w:r w:rsidRPr="008D6E8B">
          <w:rPr>
            <w:rStyle w:val="a8"/>
            <w:rFonts w:hint="eastAsia"/>
            <w:noProof/>
          </w:rPr>
          <w:t>4.0 Internal Analysis</w:t>
        </w:r>
        <w:r>
          <w:rPr>
            <w:rFonts w:hint="eastAsia"/>
            <w:noProof/>
          </w:rPr>
          <w:tab/>
        </w:r>
        <w:r>
          <w:rPr>
            <w:rFonts w:hint="eastAsia"/>
            <w:noProof/>
          </w:rPr>
          <w:fldChar w:fldCharType="begin"/>
        </w:r>
        <w:r>
          <w:rPr>
            <w:rFonts w:hint="eastAsia"/>
            <w:noProof/>
          </w:rPr>
          <w:instrText xml:space="preserve"> </w:instrText>
        </w:r>
        <w:r>
          <w:rPr>
            <w:noProof/>
          </w:rPr>
          <w:instrText>PAGEREF _Toc193509732 \h</w:instrText>
        </w:r>
        <w:r>
          <w:rPr>
            <w:rFonts w:hint="eastAsia"/>
            <w:noProof/>
          </w:rPr>
          <w:instrText xml:space="preserve"> </w:instrText>
        </w:r>
        <w:r>
          <w:rPr>
            <w:rFonts w:hint="eastAsia"/>
            <w:noProof/>
          </w:rPr>
        </w:r>
        <w:r>
          <w:rPr>
            <w:noProof/>
          </w:rPr>
          <w:fldChar w:fldCharType="separate"/>
        </w:r>
        <w:r>
          <w:rPr>
            <w:noProof/>
          </w:rPr>
          <w:t>11</w:t>
        </w:r>
        <w:r>
          <w:rPr>
            <w:rFonts w:hint="eastAsia"/>
            <w:noProof/>
          </w:rPr>
          <w:fldChar w:fldCharType="end"/>
        </w:r>
      </w:hyperlink>
    </w:p>
    <w:p w14:paraId="37CD3462" w14:textId="7302D99C"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33" w:history="1">
        <w:r w:rsidRPr="008D6E8B">
          <w:rPr>
            <w:rStyle w:val="a8"/>
            <w:rFonts w:hint="eastAsia"/>
            <w:noProof/>
          </w:rPr>
          <w:t>4.1Primary Activities</w:t>
        </w:r>
        <w:r>
          <w:rPr>
            <w:rFonts w:hint="eastAsia"/>
            <w:noProof/>
          </w:rPr>
          <w:tab/>
        </w:r>
        <w:r>
          <w:rPr>
            <w:rFonts w:hint="eastAsia"/>
            <w:noProof/>
          </w:rPr>
          <w:fldChar w:fldCharType="begin"/>
        </w:r>
        <w:r>
          <w:rPr>
            <w:rFonts w:hint="eastAsia"/>
            <w:noProof/>
          </w:rPr>
          <w:instrText xml:space="preserve"> </w:instrText>
        </w:r>
        <w:r>
          <w:rPr>
            <w:noProof/>
          </w:rPr>
          <w:instrText>PAGEREF _Toc193509733 \h</w:instrText>
        </w:r>
        <w:r>
          <w:rPr>
            <w:rFonts w:hint="eastAsia"/>
            <w:noProof/>
          </w:rPr>
          <w:instrText xml:space="preserve"> </w:instrText>
        </w:r>
        <w:r>
          <w:rPr>
            <w:rFonts w:hint="eastAsia"/>
            <w:noProof/>
          </w:rPr>
        </w:r>
        <w:r>
          <w:rPr>
            <w:noProof/>
          </w:rPr>
          <w:fldChar w:fldCharType="separate"/>
        </w:r>
        <w:r>
          <w:rPr>
            <w:noProof/>
          </w:rPr>
          <w:t>12</w:t>
        </w:r>
        <w:r>
          <w:rPr>
            <w:rFonts w:hint="eastAsia"/>
            <w:noProof/>
          </w:rPr>
          <w:fldChar w:fldCharType="end"/>
        </w:r>
      </w:hyperlink>
    </w:p>
    <w:p w14:paraId="565F5636" w14:textId="4E4D41E4"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34" w:history="1">
        <w:r w:rsidRPr="008D6E8B">
          <w:rPr>
            <w:rStyle w:val="a8"/>
            <w:rFonts w:hint="eastAsia"/>
            <w:noProof/>
          </w:rPr>
          <w:t>4.2 Secondary Activities</w:t>
        </w:r>
        <w:r>
          <w:rPr>
            <w:rFonts w:hint="eastAsia"/>
            <w:noProof/>
          </w:rPr>
          <w:tab/>
        </w:r>
        <w:r>
          <w:rPr>
            <w:rFonts w:hint="eastAsia"/>
            <w:noProof/>
          </w:rPr>
          <w:fldChar w:fldCharType="begin"/>
        </w:r>
        <w:r>
          <w:rPr>
            <w:rFonts w:hint="eastAsia"/>
            <w:noProof/>
          </w:rPr>
          <w:instrText xml:space="preserve"> </w:instrText>
        </w:r>
        <w:r>
          <w:rPr>
            <w:noProof/>
          </w:rPr>
          <w:instrText>PAGEREF _Toc193509734 \h</w:instrText>
        </w:r>
        <w:r>
          <w:rPr>
            <w:rFonts w:hint="eastAsia"/>
            <w:noProof/>
          </w:rPr>
          <w:instrText xml:space="preserve"> </w:instrText>
        </w:r>
        <w:r>
          <w:rPr>
            <w:rFonts w:hint="eastAsia"/>
            <w:noProof/>
          </w:rPr>
        </w:r>
        <w:r>
          <w:rPr>
            <w:noProof/>
          </w:rPr>
          <w:fldChar w:fldCharType="separate"/>
        </w:r>
        <w:r>
          <w:rPr>
            <w:noProof/>
          </w:rPr>
          <w:t>13</w:t>
        </w:r>
        <w:r>
          <w:rPr>
            <w:rFonts w:hint="eastAsia"/>
            <w:noProof/>
          </w:rPr>
          <w:fldChar w:fldCharType="end"/>
        </w:r>
      </w:hyperlink>
    </w:p>
    <w:p w14:paraId="227B41D1" w14:textId="04CFC6CB"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35" w:history="1">
        <w:r w:rsidRPr="008D6E8B">
          <w:rPr>
            <w:rStyle w:val="a8"/>
            <w:rFonts w:hint="eastAsia"/>
            <w:noProof/>
          </w:rPr>
          <w:t>5.0 SWOT Analysis</w:t>
        </w:r>
        <w:r>
          <w:rPr>
            <w:rFonts w:hint="eastAsia"/>
            <w:noProof/>
          </w:rPr>
          <w:tab/>
        </w:r>
        <w:r>
          <w:rPr>
            <w:rFonts w:hint="eastAsia"/>
            <w:noProof/>
          </w:rPr>
          <w:fldChar w:fldCharType="begin"/>
        </w:r>
        <w:r>
          <w:rPr>
            <w:rFonts w:hint="eastAsia"/>
            <w:noProof/>
          </w:rPr>
          <w:instrText xml:space="preserve"> </w:instrText>
        </w:r>
        <w:r>
          <w:rPr>
            <w:noProof/>
          </w:rPr>
          <w:instrText>PAGEREF _Toc193509735 \h</w:instrText>
        </w:r>
        <w:r>
          <w:rPr>
            <w:rFonts w:hint="eastAsia"/>
            <w:noProof/>
          </w:rPr>
          <w:instrText xml:space="preserve"> </w:instrText>
        </w:r>
        <w:r>
          <w:rPr>
            <w:rFonts w:hint="eastAsia"/>
            <w:noProof/>
          </w:rPr>
        </w:r>
        <w:r>
          <w:rPr>
            <w:noProof/>
          </w:rPr>
          <w:fldChar w:fldCharType="separate"/>
        </w:r>
        <w:r>
          <w:rPr>
            <w:noProof/>
          </w:rPr>
          <w:t>14</w:t>
        </w:r>
        <w:r>
          <w:rPr>
            <w:rFonts w:hint="eastAsia"/>
            <w:noProof/>
          </w:rPr>
          <w:fldChar w:fldCharType="end"/>
        </w:r>
      </w:hyperlink>
    </w:p>
    <w:p w14:paraId="6D98AD7D" w14:textId="783652C0"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36" w:history="1">
        <w:r w:rsidRPr="008D6E8B">
          <w:rPr>
            <w:rStyle w:val="a8"/>
            <w:rFonts w:hint="eastAsia"/>
            <w:noProof/>
          </w:rPr>
          <w:t>6.0 Conclusion</w:t>
        </w:r>
        <w:r>
          <w:rPr>
            <w:rFonts w:hint="eastAsia"/>
            <w:noProof/>
          </w:rPr>
          <w:tab/>
        </w:r>
        <w:r>
          <w:rPr>
            <w:rFonts w:hint="eastAsia"/>
            <w:noProof/>
          </w:rPr>
          <w:fldChar w:fldCharType="begin"/>
        </w:r>
        <w:r>
          <w:rPr>
            <w:rFonts w:hint="eastAsia"/>
            <w:noProof/>
          </w:rPr>
          <w:instrText xml:space="preserve"> </w:instrText>
        </w:r>
        <w:r>
          <w:rPr>
            <w:noProof/>
          </w:rPr>
          <w:instrText>PAGEREF _Toc193509736 \h</w:instrText>
        </w:r>
        <w:r>
          <w:rPr>
            <w:rFonts w:hint="eastAsia"/>
            <w:noProof/>
          </w:rPr>
          <w:instrText xml:space="preserve"> </w:instrText>
        </w:r>
        <w:r>
          <w:rPr>
            <w:rFonts w:hint="eastAsia"/>
            <w:noProof/>
          </w:rPr>
        </w:r>
        <w:r>
          <w:rPr>
            <w:noProof/>
          </w:rPr>
          <w:fldChar w:fldCharType="separate"/>
        </w:r>
        <w:r>
          <w:rPr>
            <w:noProof/>
          </w:rPr>
          <w:t>16</w:t>
        </w:r>
        <w:r>
          <w:rPr>
            <w:rFonts w:hint="eastAsia"/>
            <w:noProof/>
          </w:rPr>
          <w:fldChar w:fldCharType="end"/>
        </w:r>
      </w:hyperlink>
    </w:p>
    <w:p w14:paraId="154487F4" w14:textId="4B502606"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37" w:history="1">
        <w:r w:rsidRPr="008D6E8B">
          <w:rPr>
            <w:rStyle w:val="a8"/>
            <w:rFonts w:hint="eastAsia"/>
            <w:noProof/>
          </w:rPr>
          <w:t>References</w:t>
        </w:r>
        <w:r>
          <w:rPr>
            <w:rFonts w:hint="eastAsia"/>
            <w:noProof/>
          </w:rPr>
          <w:tab/>
        </w:r>
        <w:r>
          <w:rPr>
            <w:rFonts w:hint="eastAsia"/>
            <w:noProof/>
          </w:rPr>
          <w:fldChar w:fldCharType="begin"/>
        </w:r>
        <w:r>
          <w:rPr>
            <w:rFonts w:hint="eastAsia"/>
            <w:noProof/>
          </w:rPr>
          <w:instrText xml:space="preserve"> </w:instrText>
        </w:r>
        <w:r>
          <w:rPr>
            <w:noProof/>
          </w:rPr>
          <w:instrText>PAGEREF _Toc193509737 \h</w:instrText>
        </w:r>
        <w:r>
          <w:rPr>
            <w:rFonts w:hint="eastAsia"/>
            <w:noProof/>
          </w:rPr>
          <w:instrText xml:space="preserve"> </w:instrText>
        </w:r>
        <w:r>
          <w:rPr>
            <w:rFonts w:hint="eastAsia"/>
            <w:noProof/>
          </w:rPr>
        </w:r>
        <w:r>
          <w:rPr>
            <w:noProof/>
          </w:rPr>
          <w:fldChar w:fldCharType="separate"/>
        </w:r>
        <w:r>
          <w:rPr>
            <w:noProof/>
          </w:rPr>
          <w:t>17</w:t>
        </w:r>
        <w:r>
          <w:rPr>
            <w:rFonts w:hint="eastAsia"/>
            <w:noProof/>
          </w:rPr>
          <w:fldChar w:fldCharType="end"/>
        </w:r>
      </w:hyperlink>
    </w:p>
    <w:p w14:paraId="012052B8" w14:textId="243D5BA8" w:rsidR="00862DC4" w:rsidRDefault="00862DC4">
      <w:pPr>
        <w:pStyle w:val="TOC1"/>
        <w:tabs>
          <w:tab w:val="right" w:leader="dot" w:pos="8296"/>
        </w:tabs>
        <w:rPr>
          <w:rFonts w:asciiTheme="minorHAnsi" w:eastAsiaTheme="minorEastAsia" w:hAnsiTheme="minorHAnsi" w:cstheme="minorBidi" w:hint="eastAsia"/>
          <w:noProof/>
          <w:kern w:val="2"/>
          <w:sz w:val="22"/>
          <w:szCs w:val="24"/>
          <w:lang w:val="en-US"/>
          <w14:ligatures w14:val="standardContextual"/>
        </w:rPr>
      </w:pPr>
      <w:hyperlink w:anchor="_Toc193509738" w:history="1">
        <w:r w:rsidRPr="008D6E8B">
          <w:rPr>
            <w:rStyle w:val="a8"/>
            <w:rFonts w:hint="eastAsia"/>
            <w:noProof/>
          </w:rPr>
          <w:t>Appendices</w:t>
        </w:r>
        <w:r>
          <w:rPr>
            <w:rFonts w:hint="eastAsia"/>
            <w:noProof/>
          </w:rPr>
          <w:tab/>
        </w:r>
        <w:r>
          <w:rPr>
            <w:rFonts w:hint="eastAsia"/>
            <w:noProof/>
          </w:rPr>
          <w:fldChar w:fldCharType="begin"/>
        </w:r>
        <w:r>
          <w:rPr>
            <w:rFonts w:hint="eastAsia"/>
            <w:noProof/>
          </w:rPr>
          <w:instrText xml:space="preserve"> </w:instrText>
        </w:r>
        <w:r>
          <w:rPr>
            <w:noProof/>
          </w:rPr>
          <w:instrText>PAGEREF _Toc193509738 \h</w:instrText>
        </w:r>
        <w:r>
          <w:rPr>
            <w:rFonts w:hint="eastAsia"/>
            <w:noProof/>
          </w:rPr>
          <w:instrText xml:space="preserve"> </w:instrText>
        </w:r>
        <w:r>
          <w:rPr>
            <w:rFonts w:hint="eastAsia"/>
            <w:noProof/>
          </w:rPr>
        </w:r>
        <w:r>
          <w:rPr>
            <w:noProof/>
          </w:rPr>
          <w:fldChar w:fldCharType="separate"/>
        </w:r>
        <w:r>
          <w:rPr>
            <w:noProof/>
          </w:rPr>
          <w:t>22</w:t>
        </w:r>
        <w:r>
          <w:rPr>
            <w:rFonts w:hint="eastAsia"/>
            <w:noProof/>
          </w:rPr>
          <w:fldChar w:fldCharType="end"/>
        </w:r>
      </w:hyperlink>
    </w:p>
    <w:p w14:paraId="5011FD5D" w14:textId="27A4F221"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39" w:history="1">
        <w:r w:rsidRPr="008D6E8B">
          <w:rPr>
            <w:rStyle w:val="a8"/>
            <w:rFonts w:hint="eastAsia"/>
            <w:noProof/>
          </w:rPr>
          <w:t>Appendix 1. World economic development forecast</w:t>
        </w:r>
        <w:r>
          <w:rPr>
            <w:rFonts w:hint="eastAsia"/>
            <w:noProof/>
          </w:rPr>
          <w:tab/>
        </w:r>
        <w:r>
          <w:rPr>
            <w:rFonts w:hint="eastAsia"/>
            <w:noProof/>
          </w:rPr>
          <w:fldChar w:fldCharType="begin"/>
        </w:r>
        <w:r>
          <w:rPr>
            <w:rFonts w:hint="eastAsia"/>
            <w:noProof/>
          </w:rPr>
          <w:instrText xml:space="preserve"> </w:instrText>
        </w:r>
        <w:r>
          <w:rPr>
            <w:noProof/>
          </w:rPr>
          <w:instrText>PAGEREF _Toc193509739 \h</w:instrText>
        </w:r>
        <w:r>
          <w:rPr>
            <w:rFonts w:hint="eastAsia"/>
            <w:noProof/>
          </w:rPr>
          <w:instrText xml:space="preserve"> </w:instrText>
        </w:r>
        <w:r>
          <w:rPr>
            <w:rFonts w:hint="eastAsia"/>
            <w:noProof/>
          </w:rPr>
        </w:r>
        <w:r>
          <w:rPr>
            <w:noProof/>
          </w:rPr>
          <w:fldChar w:fldCharType="separate"/>
        </w:r>
        <w:r>
          <w:rPr>
            <w:noProof/>
          </w:rPr>
          <w:t>22</w:t>
        </w:r>
        <w:r>
          <w:rPr>
            <w:rFonts w:hint="eastAsia"/>
            <w:noProof/>
          </w:rPr>
          <w:fldChar w:fldCharType="end"/>
        </w:r>
      </w:hyperlink>
    </w:p>
    <w:p w14:paraId="5D31AC2E" w14:textId="61D43647" w:rsidR="00862DC4" w:rsidRDefault="00862DC4">
      <w:pPr>
        <w:pStyle w:val="TOC2"/>
        <w:tabs>
          <w:tab w:val="right" w:leader="dot" w:pos="8296"/>
        </w:tabs>
        <w:ind w:left="560"/>
        <w:rPr>
          <w:rFonts w:asciiTheme="minorHAnsi" w:eastAsiaTheme="minorEastAsia" w:hAnsiTheme="minorHAnsi" w:cstheme="minorBidi" w:hint="eastAsia"/>
          <w:noProof/>
          <w:kern w:val="2"/>
          <w:sz w:val="22"/>
          <w:szCs w:val="24"/>
          <w:lang w:val="en-US"/>
          <w14:ligatures w14:val="standardContextual"/>
        </w:rPr>
      </w:pPr>
      <w:hyperlink w:anchor="_Toc193509740" w:history="1">
        <w:r w:rsidRPr="008D6E8B">
          <w:rPr>
            <w:rStyle w:val="a8"/>
            <w:rFonts w:hint="eastAsia"/>
            <w:noProof/>
          </w:rPr>
          <w:t>Appendix 2. Domino's food packaging</w:t>
        </w:r>
        <w:r>
          <w:rPr>
            <w:rFonts w:hint="eastAsia"/>
            <w:noProof/>
          </w:rPr>
          <w:tab/>
        </w:r>
        <w:r>
          <w:rPr>
            <w:rFonts w:hint="eastAsia"/>
            <w:noProof/>
          </w:rPr>
          <w:fldChar w:fldCharType="begin"/>
        </w:r>
        <w:r>
          <w:rPr>
            <w:rFonts w:hint="eastAsia"/>
            <w:noProof/>
          </w:rPr>
          <w:instrText xml:space="preserve"> </w:instrText>
        </w:r>
        <w:r>
          <w:rPr>
            <w:noProof/>
          </w:rPr>
          <w:instrText>PAGEREF _Toc193509740 \h</w:instrText>
        </w:r>
        <w:r>
          <w:rPr>
            <w:rFonts w:hint="eastAsia"/>
            <w:noProof/>
          </w:rPr>
          <w:instrText xml:space="preserve"> </w:instrText>
        </w:r>
        <w:r>
          <w:rPr>
            <w:rFonts w:hint="eastAsia"/>
            <w:noProof/>
          </w:rPr>
        </w:r>
        <w:r>
          <w:rPr>
            <w:noProof/>
          </w:rPr>
          <w:fldChar w:fldCharType="separate"/>
        </w:r>
        <w:r>
          <w:rPr>
            <w:noProof/>
          </w:rPr>
          <w:t>23</w:t>
        </w:r>
        <w:r>
          <w:rPr>
            <w:rFonts w:hint="eastAsia"/>
            <w:noProof/>
          </w:rPr>
          <w:fldChar w:fldCharType="end"/>
        </w:r>
      </w:hyperlink>
    </w:p>
    <w:p w14:paraId="6C847959" w14:textId="55A74C62" w:rsidR="004E05C9" w:rsidRPr="003F5679" w:rsidRDefault="004E05C9" w:rsidP="004E05C9">
      <w:pPr>
        <w:sectPr w:rsidR="004E05C9" w:rsidRPr="003F5679" w:rsidSect="004E05C9">
          <w:pgSz w:w="11906" w:h="16838"/>
          <w:pgMar w:top="1440" w:right="1800" w:bottom="1440" w:left="1800" w:header="851" w:footer="992" w:gutter="0"/>
          <w:cols w:space="0"/>
          <w:docGrid w:type="lines" w:linePitch="312"/>
        </w:sectPr>
      </w:pPr>
      <w:r w:rsidRPr="003F5679">
        <w:fldChar w:fldCharType="end"/>
      </w:r>
    </w:p>
    <w:p w14:paraId="31302AB8" w14:textId="77777777" w:rsidR="004E05C9" w:rsidRPr="003F5679" w:rsidRDefault="004E05C9" w:rsidP="004E05C9">
      <w:pPr>
        <w:pStyle w:val="1"/>
      </w:pPr>
      <w:bookmarkStart w:id="0" w:name="_Toc193509721"/>
      <w:r w:rsidRPr="003F5679">
        <w:lastRenderedPageBreak/>
        <w:t>1.0 Introduction</w:t>
      </w:r>
      <w:bookmarkEnd w:id="0"/>
    </w:p>
    <w:p w14:paraId="1FE3912A" w14:textId="77777777" w:rsidR="004E05C9" w:rsidRPr="003F5679" w:rsidRDefault="004E05C9" w:rsidP="004E05C9">
      <w:bookmarkStart w:id="1" w:name="_Hlk189712522"/>
      <w:r w:rsidRPr="003F5679">
        <w:t xml:space="preserve">According to the </w:t>
      </w:r>
      <w:bookmarkStart w:id="2" w:name="OLE_LINK2"/>
      <w:r w:rsidRPr="003F5679">
        <w:t>International Monetary Fund</w:t>
      </w:r>
      <w:r w:rsidRPr="003F5679">
        <w:rPr>
          <w:rFonts w:hint="eastAsia"/>
        </w:rPr>
        <w:t xml:space="preserve"> </w:t>
      </w:r>
      <w:r w:rsidRPr="003F5679">
        <w:fldChar w:fldCharType="begin"/>
      </w:r>
      <w:r w:rsidRPr="003F5679">
        <w:instrText xml:space="preserve"> ADDIN ZOTERO_ITEM CSL_CITATION {"citationID":"c91vN0WZ","properties":{"formattedCitation":"(International Monetary Fund, 2025)","plainCitation":"(International Monetary Fund, 2025)","noteIndex":0},"citationItems":[{"id":81,"uris":["http://zotero.org/users/local/IyRzUUWA/items/S2XE2F74"],"itemData":{"id":81,"type":"webpage","title":"World Economic Outlook Update, January 2025: Global Growth: Divergent and Uncertain","title-short":"Global Growth: Divergent and Uncertain","URL":"https://www.imf.org/en/Publications/WEO/Issues/2025/01/17/world-economic-outlook-update-january-2025","author":[{"literal":"International Monetary Fund"}],"accessed":{"date-parts":[["2025",3,14]]},"issued":{"date-parts":[["2025"]]}}}],"schema":"https://github.com/citation-style-language/schema/raw/master/csl-citation.json"} </w:instrText>
      </w:r>
      <w:r w:rsidRPr="003F5679">
        <w:fldChar w:fldCharType="separate"/>
      </w:r>
      <w:r w:rsidRPr="003F5679">
        <w:t>(2025)</w:t>
      </w:r>
      <w:r w:rsidRPr="003F5679">
        <w:fldChar w:fldCharType="end"/>
      </w:r>
      <w:bookmarkEnd w:id="2"/>
      <w:r w:rsidRPr="003F5679">
        <w:t>,</w:t>
      </w:r>
      <w:bookmarkEnd w:id="1"/>
      <w:r w:rsidRPr="003F5679">
        <w:t xml:space="preserve"> it is estimated that the global economic growth rate will meet 3.3% in 2025 and 2026, wh</w:t>
      </w:r>
      <w:r w:rsidRPr="003F5679">
        <w:rPr>
          <w:rFonts w:hint="eastAsia"/>
        </w:rPr>
        <w:t>i</w:t>
      </w:r>
      <w:r w:rsidRPr="003F5679">
        <w:t xml:space="preserve">ch is lower than the average level historically. The above data shows that the development of current economics is relatively low. </w:t>
      </w:r>
      <w:r w:rsidRPr="003F5679">
        <w:rPr>
          <w:rFonts w:hint="eastAsia"/>
        </w:rPr>
        <w:t>I</w:t>
      </w:r>
      <w:r w:rsidRPr="003F5679">
        <w:t xml:space="preserve">t will accelerate the running costs of business and the competitive pressure in the fast-food restaurant industry </w:t>
      </w:r>
      <w:r w:rsidRPr="003F5679">
        <w:fldChar w:fldCharType="begin"/>
      </w:r>
      <w:r w:rsidRPr="003F5679">
        <w:instrText xml:space="preserve"> ADDIN ZOTERO_ITEM CSL_CITATION {"citationID":"Ebk2VebH","properties":{"formattedCitation":"(Mbah and Wasum, 2022)","plainCitation":"(Mbah and Wasum, 2022)","noteIndex":0},"citationItems":[{"id":218,"uris":["http://zotero.org/users/local/IyRzUUWA/items/TYR37AB3"],"itemData":{"id":218,"type":"article-journal","container-title":"Advances in Social Sciences Research Journal","issue":"3","page":"144–153","source":"Google Scholar","title":"Russian-Ukraine 2022 War: A review of the economic impact of Russian-Ukraine crisis on the USA, UK, Canada, and Europe","title-short":"Russian-Ukraine 2022 War","volume":"9","author":[{"family":"Mbah","given":"Ruth Endam"},{"family":"Wasum","given":"Divine Forcha"}],"issued":{"date-parts":[["2022"]]}}}],"schema":"https://github.com/citation-style-language/schema/raw/master/csl-citation.json"} </w:instrText>
      </w:r>
      <w:r w:rsidRPr="003F5679">
        <w:fldChar w:fldCharType="separate"/>
      </w:r>
      <w:r w:rsidRPr="003F5679">
        <w:t>(Mbah and Wasum, 2022)</w:t>
      </w:r>
      <w:r w:rsidRPr="003F5679">
        <w:fldChar w:fldCharType="end"/>
      </w:r>
      <w:r w:rsidRPr="003F5679">
        <w:t xml:space="preserve">. </w:t>
      </w:r>
      <w:r w:rsidRPr="003F5679">
        <w:rPr>
          <w:rFonts w:hint="eastAsia"/>
        </w:rPr>
        <w:t>However</w:t>
      </w:r>
      <w:r w:rsidRPr="003F5679">
        <w:t>, it will stimulate the innovation ability of the organisation, which means that the organisation needs to constant doing product innovation and differentiated service to maintain the competitive ability, avoiding market share occupied by competitors.</w:t>
      </w:r>
    </w:p>
    <w:p w14:paraId="7844B433" w14:textId="77777777" w:rsidR="004E05C9" w:rsidRPr="003F5679" w:rsidRDefault="004E05C9" w:rsidP="004E05C9"/>
    <w:p w14:paraId="7EC1EE5A" w14:textId="7EA61A7C" w:rsidR="004E05C9" w:rsidRPr="003F5679" w:rsidRDefault="004E05C9" w:rsidP="004E05C9">
      <w:r w:rsidRPr="003F5679">
        <w:t>Domino</w:t>
      </w:r>
      <w:r w:rsidR="00B558EB">
        <w:t>’</w:t>
      </w:r>
      <w:r w:rsidR="00B558EB">
        <w:rPr>
          <w:rFonts w:hint="eastAsia"/>
        </w:rPr>
        <w:t>s</w:t>
      </w:r>
      <w:r w:rsidRPr="003F5679">
        <w:t xml:space="preserve">, a globally well-known pizza chain brand, was constructed at 1960, and it is located at Michigan, USA </w:t>
      </w:r>
      <w:r w:rsidRPr="003F5679">
        <w:fldChar w:fldCharType="begin"/>
      </w:r>
      <w:r w:rsidRPr="003F5679">
        <w:instrText xml:space="preserve"> ADDIN ZOTERO_ITEM CSL_CITATION {"citationID":"jsAjpJLu","properties":{"formattedCitation":"(Domino\\uc0\\u8217{}s, 2025)","plainCitation":"(Domino’s, 2025)","noteIndex":0},"citationItems":[{"id":83,"uris":["http://zotero.org/users/local/IyRzUUWA/items/6ZVPHUGC"],"itemData":{"id":83,"type":"webpage","title":"OUR STORY","URL":"https://corporate.dominos.co.uk/about-us/our-story","author":[{"literal":"Domino’s"}],"accessed":{"date-parts":[["2025",3,14]]},"issued":{"date-parts":[["2025"]]}}}],"schema":"https://github.com/citation-style-language/schema/raw/master/csl-citation.json"} </w:instrText>
      </w:r>
      <w:r w:rsidRPr="003F5679">
        <w:fldChar w:fldCharType="separate"/>
      </w:r>
      <w:r w:rsidRPr="003F5679">
        <w:rPr>
          <w:kern w:val="0"/>
        </w:rPr>
        <w:t>(Domino’s, 2025)</w:t>
      </w:r>
      <w:r w:rsidRPr="003F5679">
        <w:fldChar w:fldCharType="end"/>
      </w:r>
      <w:r w:rsidRPr="003F5679">
        <w:t>. According to</w:t>
      </w:r>
      <w:r w:rsidRPr="003F5679">
        <w:rPr>
          <w:rFonts w:hint="eastAsia"/>
        </w:rPr>
        <w:t xml:space="preserve"> </w:t>
      </w:r>
      <w:r w:rsidRPr="003F5679">
        <w:t xml:space="preserve">ScrapeHero </w:t>
      </w:r>
      <w:r w:rsidRPr="003F5679">
        <w:fldChar w:fldCharType="begin"/>
      </w:r>
      <w:r w:rsidRPr="003F5679">
        <w:instrText xml:space="preserve"> ADDIN ZOTERO_ITEM CSL_CITATION {"citationID":"jFvbW2jZ","properties":{"formattedCitation":"(ScrapeHero, 2025)","plainCitation":"(ScrapeHero, 2025)","noteIndex":0},"citationItems":[{"id":86,"uris":["http://zotero.org/users/local/IyRzUUWA/items/PPJKHSC8"],"itemData":{"id":86,"type":"webpage","abstract":"There are 1,301 Dominos locations in the United Kingdom as of \n      January 29, 2025. The state/territory with the most number of Dominos locations in the UK is England with 1,076 locations, which is 82% of all Dominos locations in the UK.","language":"en","note":"section: Location Reports","title":"Number of Dominos locations in the UK in 2025","URL":"https://www.scrapehero.com/location-reports/Dominos-UK/","author":[{"literal":"ScrapeHero"}],"accessed":{"date-parts":[["2025",3,14]]},"issued":{"date-parts":[["2025"]]}}}],"schema":"https://github.com/citation-style-language/schema/raw/master/csl-citation.json"} </w:instrText>
      </w:r>
      <w:r w:rsidRPr="003F5679">
        <w:fldChar w:fldCharType="separate"/>
      </w:r>
      <w:r w:rsidRPr="003F5679">
        <w:t>(2025)</w:t>
      </w:r>
      <w:r w:rsidRPr="003F5679">
        <w:fldChar w:fldCharType="end"/>
      </w:r>
      <w:r w:rsidRPr="003F5679">
        <w:t>, Domino currently has 1,301 stores in the UK, with the great amount of stores number in England, accounting for 83% of the total number of stores in the UK.</w:t>
      </w:r>
    </w:p>
    <w:p w14:paraId="70E1ED33" w14:textId="77777777" w:rsidR="004E05C9" w:rsidRPr="003F5679" w:rsidRDefault="004E05C9" w:rsidP="004E05C9">
      <w:pPr>
        <w:widowControl/>
        <w:jc w:val="left"/>
      </w:pPr>
    </w:p>
    <w:p w14:paraId="2655BD22" w14:textId="0261ABE3" w:rsidR="004E05C9" w:rsidRPr="003F5679" w:rsidRDefault="004E05C9" w:rsidP="004E05C9">
      <w:pPr>
        <w:widowControl/>
      </w:pPr>
      <w:r w:rsidRPr="003F5679">
        <w:t xml:space="preserve">The purpose of this report is to help </w:t>
      </w:r>
      <w:r w:rsidR="00B558EB">
        <w:rPr>
          <w:rFonts w:hint="eastAsia"/>
        </w:rPr>
        <w:t>Domino</w:t>
      </w:r>
      <w:r w:rsidR="00B558EB">
        <w:t>’</w:t>
      </w:r>
      <w:r w:rsidR="00B558EB">
        <w:rPr>
          <w:rFonts w:hint="eastAsia"/>
        </w:rPr>
        <w:t>s</w:t>
      </w:r>
      <w:r w:rsidRPr="003F5679">
        <w:t xml:space="preserve"> cope with the challenges of the global economy by analysing the internal and external marketing environment of enterprises.</w:t>
      </w:r>
      <w:r w:rsidRPr="003F5679">
        <w:rPr>
          <w:rFonts w:hint="eastAsia"/>
        </w:rPr>
        <w:t xml:space="preserve"> </w:t>
      </w:r>
      <w:r w:rsidRPr="003F5679">
        <w:t xml:space="preserve">This report will use PESTEL and Porter five forces model as macro and micro tools respectively to analyse Domino's </w:t>
      </w:r>
      <w:r w:rsidRPr="003F5679">
        <w:lastRenderedPageBreak/>
        <w:t xml:space="preserve">external competition in the UK market. </w:t>
      </w:r>
      <w:r w:rsidRPr="003F5679">
        <w:rPr>
          <w:rFonts w:hint="eastAsia"/>
        </w:rPr>
        <w:t>Additionally</w:t>
      </w:r>
      <w:r w:rsidRPr="003F5679">
        <w:t>, the Porter value chain will be used to analyse its internal situation. Finally, the SWOT model is used as a summary to analyse Domino's competitive advantages and disadvantages, as well as the competitive opportunities and threats brought by the external competitive environment.</w:t>
      </w:r>
      <w:r w:rsidRPr="003F5679">
        <w:rPr>
          <w:rFonts w:hint="eastAsia"/>
        </w:rPr>
        <w:t xml:space="preserve"> </w:t>
      </w:r>
    </w:p>
    <w:p w14:paraId="424581B7" w14:textId="77777777" w:rsidR="004E05C9" w:rsidRPr="003F5679" w:rsidRDefault="004E05C9" w:rsidP="004E05C9">
      <w:pPr>
        <w:widowControl/>
        <w:jc w:val="left"/>
        <w:rPr>
          <w:b/>
          <w:bCs/>
          <w:sz w:val="24"/>
          <w:szCs w:val="24"/>
        </w:rPr>
      </w:pPr>
      <w:r w:rsidRPr="003F5679">
        <w:br w:type="page"/>
      </w:r>
    </w:p>
    <w:p w14:paraId="7F8E2471" w14:textId="5DAF9EB1" w:rsidR="004E05C9" w:rsidRPr="003F5679" w:rsidRDefault="004E05C9" w:rsidP="004E05C9">
      <w:pPr>
        <w:pStyle w:val="1"/>
      </w:pPr>
      <w:bookmarkStart w:id="3" w:name="_Toc193509722"/>
      <w:r w:rsidRPr="003F5679">
        <w:rPr>
          <w:rFonts w:hint="eastAsia"/>
        </w:rPr>
        <w:lastRenderedPageBreak/>
        <w:t xml:space="preserve">2.0 Macroenvironment </w:t>
      </w:r>
      <w:r w:rsidR="00262222">
        <w:rPr>
          <w:rFonts w:hint="eastAsia"/>
        </w:rPr>
        <w:t>A</w:t>
      </w:r>
      <w:r w:rsidRPr="003F5679">
        <w:rPr>
          <w:rFonts w:hint="eastAsia"/>
        </w:rPr>
        <w:t>nalysis</w:t>
      </w:r>
      <w:bookmarkEnd w:id="3"/>
    </w:p>
    <w:p w14:paraId="0B18F086" w14:textId="76E8E840" w:rsidR="004E05C9" w:rsidRPr="003F5679" w:rsidRDefault="004E05C9" w:rsidP="00262222">
      <w:pPr>
        <w:pStyle w:val="a9"/>
        <w:framePr w:hSpace="180" w:wrap="around" w:vAnchor="text" w:hAnchor="page" w:x="4441" w:y="12673"/>
        <w:jc w:val="center"/>
        <w:rPr>
          <w:rFonts w:ascii="Times New Roman" w:hAnsi="Times New Roman" w:cs="Times New Roman"/>
          <w:sz w:val="24"/>
          <w:szCs w:val="24"/>
        </w:rPr>
      </w:pPr>
      <w:r w:rsidRPr="003F5679">
        <w:rPr>
          <w:rFonts w:ascii="Times New Roman" w:hAnsi="Times New Roman" w:cs="Times New Roman"/>
          <w:sz w:val="24"/>
          <w:szCs w:val="24"/>
        </w:rPr>
        <w:t xml:space="preserve">Table </w:t>
      </w:r>
      <w:r w:rsidRPr="003F5679">
        <w:rPr>
          <w:rFonts w:ascii="Times New Roman" w:hAnsi="Times New Roman" w:cs="Times New Roman"/>
          <w:sz w:val="24"/>
          <w:szCs w:val="24"/>
        </w:rPr>
        <w:fldChar w:fldCharType="begin"/>
      </w:r>
      <w:r w:rsidRPr="003F5679">
        <w:rPr>
          <w:rFonts w:ascii="Times New Roman" w:hAnsi="Times New Roman" w:cs="Times New Roman"/>
          <w:sz w:val="24"/>
          <w:szCs w:val="24"/>
        </w:rPr>
        <w:instrText xml:space="preserve"> SEQ Table \* ARABIC </w:instrText>
      </w:r>
      <w:r w:rsidRPr="003F5679">
        <w:rPr>
          <w:rFonts w:ascii="Times New Roman" w:hAnsi="Times New Roman" w:cs="Times New Roman"/>
          <w:sz w:val="24"/>
          <w:szCs w:val="24"/>
        </w:rPr>
        <w:fldChar w:fldCharType="separate"/>
      </w:r>
      <w:r w:rsidRPr="003F5679">
        <w:rPr>
          <w:rFonts w:ascii="Times New Roman" w:hAnsi="Times New Roman" w:cs="Times New Roman"/>
          <w:sz w:val="24"/>
          <w:szCs w:val="24"/>
        </w:rPr>
        <w:t>1</w:t>
      </w:r>
      <w:r w:rsidRPr="003F5679">
        <w:rPr>
          <w:rFonts w:ascii="Times New Roman" w:hAnsi="Times New Roman" w:cs="Times New Roman"/>
          <w:sz w:val="24"/>
          <w:szCs w:val="24"/>
        </w:rPr>
        <w:fldChar w:fldCharType="end"/>
      </w:r>
      <w:r w:rsidRPr="003F5679">
        <w:rPr>
          <w:rFonts w:ascii="Times New Roman" w:hAnsi="Times New Roman" w:cs="Times New Roman"/>
          <w:sz w:val="24"/>
          <w:szCs w:val="24"/>
        </w:rPr>
        <w:t xml:space="preserve"> PESTEL analysis</w:t>
      </w:r>
      <w:r w:rsidR="00262222">
        <w:rPr>
          <w:rFonts w:ascii="Times New Roman" w:hAnsi="Times New Roman" w:cs="Times New Roman" w:hint="eastAsia"/>
          <w:sz w:val="24"/>
          <w:szCs w:val="24"/>
        </w:rPr>
        <w:t xml:space="preserve"> of </w:t>
      </w:r>
      <w:r w:rsidR="00B558EB">
        <w:rPr>
          <w:rFonts w:ascii="Times New Roman" w:hAnsi="Times New Roman" w:cs="Times New Roman" w:hint="eastAsia"/>
          <w:sz w:val="24"/>
          <w:szCs w:val="24"/>
        </w:rPr>
        <w:t>Domino</w:t>
      </w:r>
      <w:r w:rsidR="00B558EB">
        <w:rPr>
          <w:rFonts w:ascii="Times New Roman" w:hAnsi="Times New Roman" w:cs="Times New Roman"/>
          <w:sz w:val="24"/>
          <w:szCs w:val="24"/>
        </w:rPr>
        <w:t>’</w:t>
      </w:r>
      <w:r w:rsidR="00B558EB">
        <w:rPr>
          <w:rFonts w:ascii="Times New Roman" w:hAnsi="Times New Roman" w:cs="Times New Roman" w:hint="eastAsia"/>
          <w:sz w:val="24"/>
          <w:szCs w:val="24"/>
        </w:rPr>
        <w:t>s</w:t>
      </w:r>
    </w:p>
    <w:p w14:paraId="56D006B1" w14:textId="05BD62A1" w:rsidR="004E05C9" w:rsidRPr="003F5679" w:rsidRDefault="004E05C9" w:rsidP="004E05C9">
      <w:r w:rsidRPr="003F5679">
        <w:t>PESTEL is an analytical tool that helps enterprises achieve the growth of organi</w:t>
      </w:r>
      <w:r w:rsidRPr="003F5679">
        <w:rPr>
          <w:rFonts w:hint="eastAsia"/>
        </w:rPr>
        <w:t>s</w:t>
      </w:r>
      <w:r w:rsidRPr="003F5679">
        <w:t xml:space="preserve">ational performance by conducting internal and external environment assessments </w:t>
      </w:r>
      <w:r w:rsidRPr="003F5679">
        <w:fldChar w:fldCharType="begin"/>
      </w:r>
      <w:r w:rsidRPr="003F5679">
        <w:instrText xml:space="preserve"> ADDIN ZOTERO_ITEM CSL_CITATION {"citationID":"QQlkQozK","properties":{"formattedCitation":"(Buye, 2021)","plainCitation":"(Buye, 2021)","noteIndex":0},"citationItems":[{"id":87,"uris":["http://zotero.org/users/local/IyRzUUWA/items/B5TS6KJQ"],"itemData":{</w:instrText>
      </w:r>
      <w:r w:rsidRPr="003F5679">
        <w:rPr>
          <w:rFonts w:hint="eastAsia"/>
        </w:rPr>
        <w:instrText>"id":87,"type":"article-journal","container-title":"Project: Action Research for Development","source":"Google Scholar","title":"Critical examination of the PES</w:instrText>
      </w:r>
      <w:r w:rsidRPr="003F5679">
        <w:rPr>
          <w:rFonts w:hint="eastAsia"/>
        </w:rPr>
        <w:instrText>℡</w:instrText>
      </w:r>
      <w:r w:rsidRPr="003F5679">
        <w:rPr>
          <w:rFonts w:hint="eastAsia"/>
        </w:rPr>
        <w:instrText xml:space="preserve"> Analysis Model","URL":"https://www.researchgate.net/profile/Ronald-Buye/publication/349506325</w:instrText>
      </w:r>
      <w:r w:rsidRPr="003F5679">
        <w:instrText xml:space="preserve">_Critical_examination_of_the_PESTEL_Analysis_Model/links/6093f3fd92851c490fbd6e7e/Critical-examination-of-the-PESTEL-Analysis-Model","author":[{"family":"Buye","given":"Ronald"}],"accessed":{"date-parts":[["2025",3,14]]},"issued":{"date-parts":[["2021"]]}}}],"schema":"https://github.com/citation-style-language/schema/raw/master/csl-citation.json"} </w:instrText>
      </w:r>
      <w:r w:rsidRPr="003F5679">
        <w:fldChar w:fldCharType="separate"/>
      </w:r>
      <w:r w:rsidRPr="003F5679">
        <w:t>(Buye, 2021)</w:t>
      </w:r>
      <w:r w:rsidRPr="003F5679">
        <w:fldChar w:fldCharType="end"/>
      </w:r>
      <w:r w:rsidRPr="003F5679">
        <w:t xml:space="preserve">. PESTEL </w:t>
      </w:r>
      <w:r w:rsidR="001F64EB">
        <w:rPr>
          <w:rFonts w:hint="eastAsia"/>
        </w:rPr>
        <w:t xml:space="preserve">can be used in </w:t>
      </w:r>
      <w:r w:rsidRPr="003F5679">
        <w:t>analys</w:t>
      </w:r>
      <w:r w:rsidR="001F64EB">
        <w:rPr>
          <w:rFonts w:hint="eastAsia"/>
        </w:rPr>
        <w:t>ing</w:t>
      </w:r>
      <w:r w:rsidRPr="003F5679">
        <w:t xml:space="preserve"> the challenges and opportunities that </w:t>
      </w:r>
      <w:r w:rsidRPr="003F5679">
        <w:rPr>
          <w:rFonts w:hint="eastAsia"/>
        </w:rPr>
        <w:t>Domino</w:t>
      </w:r>
      <w:r w:rsidR="00B558EB">
        <w:t>’</w:t>
      </w:r>
      <w:r w:rsidRPr="003F5679">
        <w:rPr>
          <w:rFonts w:hint="eastAsia"/>
        </w:rPr>
        <w:t>s</w:t>
      </w:r>
      <w:r w:rsidRPr="003F5679">
        <w:t xml:space="preserve"> may encounter in the market competition, which is </w:t>
      </w:r>
      <w:r w:rsidR="001F64EB">
        <w:rPr>
          <w:rFonts w:hint="eastAsia"/>
        </w:rPr>
        <w:t>helpful</w:t>
      </w:r>
      <w:r w:rsidRPr="003F5679">
        <w:t xml:space="preserve"> </w:t>
      </w:r>
      <w:r w:rsidR="001F64EB">
        <w:rPr>
          <w:rFonts w:hint="eastAsia"/>
        </w:rPr>
        <w:t>to</w:t>
      </w:r>
      <w:r w:rsidRPr="003F5679">
        <w:t xml:space="preserve"> the realization of enterprise development goals. However,</w:t>
      </w:r>
      <w:r w:rsidRPr="003F5679">
        <w:rPr>
          <w:rFonts w:hint="eastAsia"/>
        </w:rPr>
        <w:t xml:space="preserve"> </w:t>
      </w:r>
      <w:r w:rsidRPr="003F5679">
        <w:t xml:space="preserve">PESTEL cannot be quantified </w:t>
      </w:r>
      <w:r w:rsidR="00262222" w:rsidRPr="00262222">
        <w:t>(Wajid and Zafar, 2021)</w:t>
      </w:r>
      <w:r w:rsidRPr="003F5679">
        <w:t>, which makes the accuracy of its risk assessment and prediction impossible to guarantee.</w:t>
      </w:r>
      <w:r w:rsidRPr="003F5679">
        <w:rPr>
          <w:rFonts w:hint="eastAsia"/>
        </w:rPr>
        <w:t xml:space="preserve"> T</w:t>
      </w:r>
      <w:r w:rsidRPr="003F5679">
        <w:t>here is no perfect quantitative and evaluation tool in the world, and it still needs to be analysed on a case-by-case basis.</w:t>
      </w:r>
    </w:p>
    <w:tbl>
      <w:tblPr>
        <w:tblStyle w:val="a7"/>
        <w:tblpPr w:leftFromText="180" w:rightFromText="180" w:vertAnchor="text" w:horzAnchor="margin" w:tblpXSpec="center" w:tblpY="238"/>
        <w:tblW w:w="11585" w:type="dxa"/>
        <w:tblLook w:val="04A0" w:firstRow="1" w:lastRow="0" w:firstColumn="1" w:lastColumn="0" w:noHBand="0" w:noVBand="1"/>
      </w:tblPr>
      <w:tblGrid>
        <w:gridCol w:w="1693"/>
        <w:gridCol w:w="2584"/>
        <w:gridCol w:w="2136"/>
        <w:gridCol w:w="1775"/>
        <w:gridCol w:w="1707"/>
        <w:gridCol w:w="1690"/>
      </w:tblGrid>
      <w:tr w:rsidR="004E05C9" w:rsidRPr="003F5679" w14:paraId="72BB55A8" w14:textId="77777777" w:rsidTr="001F64EB">
        <w:trPr>
          <w:trHeight w:val="363"/>
        </w:trPr>
        <w:tc>
          <w:tcPr>
            <w:tcW w:w="1693" w:type="dxa"/>
          </w:tcPr>
          <w:p w14:paraId="059D8F1E" w14:textId="77777777" w:rsidR="004E05C9" w:rsidRPr="003F5679" w:rsidRDefault="004E05C9" w:rsidP="00BA4F3A">
            <w:pPr>
              <w:jc w:val="center"/>
              <w:rPr>
                <w:sz w:val="20"/>
                <w:szCs w:val="18"/>
              </w:rPr>
            </w:pPr>
            <w:r w:rsidRPr="003F5679">
              <w:rPr>
                <w:sz w:val="20"/>
                <w:szCs w:val="18"/>
              </w:rPr>
              <w:t>Political</w:t>
            </w:r>
          </w:p>
        </w:tc>
        <w:tc>
          <w:tcPr>
            <w:tcW w:w="2584" w:type="dxa"/>
          </w:tcPr>
          <w:p w14:paraId="08882B13" w14:textId="77777777" w:rsidR="004E05C9" w:rsidRPr="003F5679" w:rsidRDefault="004E05C9" w:rsidP="00BA4F3A">
            <w:pPr>
              <w:jc w:val="center"/>
              <w:rPr>
                <w:sz w:val="20"/>
                <w:szCs w:val="18"/>
              </w:rPr>
            </w:pPr>
            <w:r w:rsidRPr="003F5679">
              <w:rPr>
                <w:sz w:val="20"/>
                <w:szCs w:val="18"/>
              </w:rPr>
              <w:t>Economic</w:t>
            </w:r>
          </w:p>
        </w:tc>
        <w:tc>
          <w:tcPr>
            <w:tcW w:w="2136" w:type="dxa"/>
          </w:tcPr>
          <w:p w14:paraId="6AE91BB7" w14:textId="77777777" w:rsidR="004E05C9" w:rsidRPr="003F5679" w:rsidRDefault="004E05C9" w:rsidP="00BA4F3A">
            <w:pPr>
              <w:jc w:val="center"/>
              <w:rPr>
                <w:sz w:val="20"/>
                <w:szCs w:val="18"/>
              </w:rPr>
            </w:pPr>
            <w:r w:rsidRPr="003F5679">
              <w:rPr>
                <w:sz w:val="20"/>
                <w:szCs w:val="18"/>
              </w:rPr>
              <w:t>Social</w:t>
            </w:r>
          </w:p>
        </w:tc>
        <w:tc>
          <w:tcPr>
            <w:tcW w:w="1775" w:type="dxa"/>
          </w:tcPr>
          <w:p w14:paraId="0BD934F1" w14:textId="77777777" w:rsidR="004E05C9" w:rsidRPr="003F5679" w:rsidRDefault="004E05C9" w:rsidP="00BA4F3A">
            <w:pPr>
              <w:jc w:val="center"/>
              <w:rPr>
                <w:sz w:val="20"/>
                <w:szCs w:val="18"/>
              </w:rPr>
            </w:pPr>
            <w:r w:rsidRPr="003F5679">
              <w:rPr>
                <w:sz w:val="20"/>
                <w:szCs w:val="18"/>
              </w:rPr>
              <w:t>Technological</w:t>
            </w:r>
          </w:p>
        </w:tc>
        <w:tc>
          <w:tcPr>
            <w:tcW w:w="1707" w:type="dxa"/>
          </w:tcPr>
          <w:p w14:paraId="26D0C5F6" w14:textId="77777777" w:rsidR="004E05C9" w:rsidRPr="003F5679" w:rsidRDefault="004E05C9" w:rsidP="00BA4F3A">
            <w:pPr>
              <w:jc w:val="center"/>
              <w:rPr>
                <w:sz w:val="20"/>
                <w:szCs w:val="18"/>
              </w:rPr>
            </w:pPr>
            <w:r w:rsidRPr="003F5679">
              <w:rPr>
                <w:sz w:val="20"/>
                <w:szCs w:val="18"/>
              </w:rPr>
              <w:t>Environmental</w:t>
            </w:r>
          </w:p>
        </w:tc>
        <w:tc>
          <w:tcPr>
            <w:tcW w:w="1690" w:type="dxa"/>
          </w:tcPr>
          <w:p w14:paraId="324741FD" w14:textId="77777777" w:rsidR="004E05C9" w:rsidRPr="003F5679" w:rsidRDefault="004E05C9" w:rsidP="00BA4F3A">
            <w:pPr>
              <w:jc w:val="center"/>
              <w:rPr>
                <w:sz w:val="20"/>
                <w:szCs w:val="18"/>
              </w:rPr>
            </w:pPr>
            <w:r w:rsidRPr="003F5679">
              <w:rPr>
                <w:sz w:val="20"/>
                <w:szCs w:val="18"/>
              </w:rPr>
              <w:t>Legal</w:t>
            </w:r>
          </w:p>
        </w:tc>
      </w:tr>
      <w:tr w:rsidR="004E05C9" w:rsidRPr="003F5679" w14:paraId="73DC1E38" w14:textId="77777777" w:rsidTr="001F64EB">
        <w:trPr>
          <w:trHeight w:val="3251"/>
        </w:trPr>
        <w:tc>
          <w:tcPr>
            <w:tcW w:w="1693" w:type="dxa"/>
          </w:tcPr>
          <w:p w14:paraId="17D20A91"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 xml:space="preserve">Britain exits from the European Union. </w:t>
            </w:r>
            <w:r w:rsidRPr="003F5679">
              <w:rPr>
                <w:sz w:val="20"/>
                <w:szCs w:val="18"/>
              </w:rPr>
              <w:fldChar w:fldCharType="begin"/>
            </w:r>
            <w:r w:rsidRPr="003F5679">
              <w:rPr>
                <w:sz w:val="20"/>
                <w:szCs w:val="18"/>
              </w:rPr>
              <w:instrText xml:space="preserve"> ADDIN ZOTERO_ITEM CSL_CITATION {"citationID":"KjNLI2OD","properties":{"formattedCitation":"(World Bank Group, 2025)","plainCitation":"(World Bank Group, 2025)","noteIndex":0},"citationItems":[{"id":166,"uris":["http://zotero.org/users/local/IyRzUUWA/items/DM8RJ92R"],"itemData":{"id":166,"type":"webpage","title":"Political Stability and Absence of Violence/Terrorism: Percentile Rank | Indicator Profile | Prosperity Data360","URL":"https://prosperitydata360.worldbank.org/en/indicator/WB+WWGI+PV+PER+RNK","author":[{"literal":"World Bank Group"}],"accessed":{"date-parts":[["2025",3,16]]},"issued":{"date-parts":[["2025"]]}}}],"schema":"https://github.com/citation-style-language/schema/raw/master/csl-citation.json"} </w:instrText>
            </w:r>
            <w:r w:rsidRPr="003F5679">
              <w:rPr>
                <w:sz w:val="20"/>
                <w:szCs w:val="18"/>
              </w:rPr>
              <w:fldChar w:fldCharType="separate"/>
            </w:r>
            <w:r w:rsidRPr="003F5679">
              <w:rPr>
                <w:sz w:val="20"/>
                <w:szCs w:val="18"/>
              </w:rPr>
              <w:t>(World Bank Group, 2025)</w:t>
            </w:r>
            <w:r w:rsidRPr="003F5679">
              <w:rPr>
                <w:sz w:val="20"/>
                <w:szCs w:val="18"/>
              </w:rPr>
              <w:fldChar w:fldCharType="end"/>
            </w:r>
          </w:p>
          <w:p w14:paraId="6FEC0BF4"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Laws and regulations govern enterprise behaviour</w:t>
            </w:r>
          </w:p>
          <w:p w14:paraId="4D938115"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Trade policies can affect the availability and cost of ingredients</w:t>
            </w:r>
          </w:p>
        </w:tc>
        <w:tc>
          <w:tcPr>
            <w:tcW w:w="2584" w:type="dxa"/>
          </w:tcPr>
          <w:p w14:paraId="2ECBDCC5"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Inflation is too high</w:t>
            </w:r>
            <w:r w:rsidRPr="003F5679">
              <w:rPr>
                <w:rFonts w:hint="eastAsia"/>
                <w:sz w:val="20"/>
                <w:szCs w:val="18"/>
              </w:rPr>
              <w:t xml:space="preserve"> </w:t>
            </w:r>
            <w:r w:rsidRPr="003F5679">
              <w:rPr>
                <w:sz w:val="20"/>
                <w:szCs w:val="18"/>
              </w:rPr>
              <w:fldChar w:fldCharType="begin"/>
            </w:r>
            <w:r w:rsidRPr="003F5679">
              <w:rPr>
                <w:sz w:val="20"/>
                <w:szCs w:val="18"/>
              </w:rPr>
              <w:instrText xml:space="preserve"> ADDIN ZOTERO_ITEM CSL_CITATION {"citationID":"FVutmQ3r","properties":{"formattedCitation":"(Inflationtool, 2025)","plainCitation":"(Inflationtool, 2025)","noteIndex":0},"citationItems":[{"id":91,"uris":["http://zotero.org/users/local/IyRzUUWA/items/CBWASFUP"],"itemData":{"id":91,"type":"webpage","title":"United Kingdom Inflation Rate - 2025","URL":"https://www.inflationtool.com/rates/uk","author":[{"literal":"Inflationtool"}],"accessed":{"date-parts":[["2025",3,14]]},"issued":{"date-parts":[["2025"]]}}}],"schema":"https://github.com/citation-style-language/schema/raw/master/csl-citation.json"} </w:instrText>
            </w:r>
            <w:r w:rsidRPr="003F5679">
              <w:rPr>
                <w:sz w:val="20"/>
                <w:szCs w:val="18"/>
              </w:rPr>
              <w:fldChar w:fldCharType="separate"/>
            </w:r>
            <w:r w:rsidRPr="003F5679">
              <w:rPr>
                <w:sz w:val="20"/>
                <w:szCs w:val="18"/>
              </w:rPr>
              <w:t>(Inflationtool, 2025)</w:t>
            </w:r>
            <w:r w:rsidRPr="003F5679">
              <w:rPr>
                <w:sz w:val="20"/>
                <w:szCs w:val="18"/>
              </w:rPr>
              <w:fldChar w:fldCharType="end"/>
            </w:r>
          </w:p>
          <w:p w14:paraId="5DE138BF"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Consumer spending power</w:t>
            </w:r>
          </w:p>
          <w:p w14:paraId="244AE6A8" w14:textId="77777777" w:rsidR="004E05C9" w:rsidRPr="003F5679" w:rsidRDefault="004E05C9" w:rsidP="004E05C9">
            <w:pPr>
              <w:pStyle w:val="a6"/>
              <w:numPr>
                <w:ilvl w:val="0"/>
                <w:numId w:val="6"/>
              </w:numPr>
              <w:ind w:firstLineChars="0"/>
              <w:contextualSpacing/>
              <w:rPr>
                <w:sz w:val="20"/>
                <w:szCs w:val="18"/>
              </w:rPr>
            </w:pPr>
            <w:r w:rsidRPr="003F5679">
              <w:rPr>
                <w:rFonts w:hint="eastAsia"/>
                <w:sz w:val="20"/>
                <w:szCs w:val="18"/>
              </w:rPr>
              <w:t>E</w:t>
            </w:r>
            <w:r w:rsidRPr="003F5679">
              <w:rPr>
                <w:sz w:val="20"/>
                <w:szCs w:val="18"/>
              </w:rPr>
              <w:t>conomic depression</w:t>
            </w:r>
          </w:p>
        </w:tc>
        <w:tc>
          <w:tcPr>
            <w:tcW w:w="2136" w:type="dxa"/>
          </w:tcPr>
          <w:p w14:paraId="687F8AC1"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consumer preference</w:t>
            </w:r>
          </w:p>
          <w:p w14:paraId="7FFAF224"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Consumer convenience (Najeemudeen and Panchanatham, 2016)</w:t>
            </w:r>
          </w:p>
          <w:p w14:paraId="59283BB9"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 xml:space="preserve">Organic food raw materials </w:t>
            </w:r>
            <w:r w:rsidRPr="003F5679">
              <w:rPr>
                <w:sz w:val="20"/>
                <w:szCs w:val="18"/>
              </w:rPr>
              <w:fldChar w:fldCharType="begin"/>
            </w:r>
            <w:r w:rsidRPr="003F5679">
              <w:rPr>
                <w:sz w:val="20"/>
                <w:szCs w:val="18"/>
              </w:rPr>
              <w:instrText xml:space="preserve"> ADDIN ZOTERO_ITEM CSL_CITATION {"citationID":"Cpi9AKfQ","properties":{"formattedCitation":"(NGUYEN and TRUONG, 2021)","plainCitation":"(NGUYEN and TRUONG, 2021)","noteIndex":0},"citationItems":[{"id":169,"uris":["http://zotero.org/users/local/IyRzUUWA/items/MPWHMLIK"],"itemData":{"id":169,"type":"article-journal","abstract":"The study investigates some psychological and environmental factors affecting the intention to purchase organic foods of consumers in the inner-city of Hanoi. Impact factors applied for the study include three psychological factors (health concern, environmental concern, consumer awareness of organic foods) and seven environment factors (family’s opinion, friends and colleagues’ opinion, influence of celebrities, expert’s opinion, social status, mass media, state’s encouragement). We analyzed research data from 396 consumers to measure the impacting level of these factors. The convenient sampling method was used to collect the research sample. The measurement applied a 5-point Likert scale classifying from 1–completely disagree to 5–completely agree. Based on previous studies, the research model was recommended. We had estimated the reliability of the scales through Cronbach’s Alpha and composite reliability. The research data is analyzed by using Structural Equation Model method (SEM). The findings of the study suggest that psychological factors (health concern, environmental concern, consumer awareness of organic foods) had a significantly positive influence on consumer’s purchase attention toward organic food. The results also revealed that environmental factors (family’s opinion, friends and colleagues’ opinion, influence of celebrities, expert’s opinion, mass media) were positively linked to consumer’s purchase attention toward organic food.","container-title":"The Journal of Asian Finance, Economics and Business","DOI":"10.13106/JAFEB.2021.VOL8.NO1.915","issue":"1","language":"en","page":"915-925","source":"DOI.org (CSL JSON)","title":"The Impact of Psychological and Environmental Factors on Consumers' Purchase Intention toward Organic Food: Evidence from Vietnam","title-short":"The Impact of Psychological and Environmental Factors on Consumers' Purchase Intention toward Organic Food","volume":"8","author":[{"family":"NGUYEN","given":"Dinh Toan"},{"family":"TRUONG","given":"Dinh Chien"}],"issued":{"date-parts":[["2021",1,30]]}}}],"schema":"https://github.com/citation-style-language/schema/raw/master/csl-citation.json"} </w:instrText>
            </w:r>
            <w:r w:rsidRPr="003F5679">
              <w:rPr>
                <w:sz w:val="20"/>
                <w:szCs w:val="18"/>
              </w:rPr>
              <w:fldChar w:fldCharType="separate"/>
            </w:r>
            <w:r w:rsidRPr="003F5679">
              <w:rPr>
                <w:sz w:val="20"/>
                <w:szCs w:val="18"/>
              </w:rPr>
              <w:t>(NGUYEN and TRUONG, 2021)</w:t>
            </w:r>
            <w:r w:rsidRPr="003F5679">
              <w:rPr>
                <w:sz w:val="20"/>
                <w:szCs w:val="18"/>
              </w:rPr>
              <w:fldChar w:fldCharType="end"/>
            </w:r>
          </w:p>
          <w:p w14:paraId="778810BB"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Health awareness of consumers</w:t>
            </w:r>
          </w:p>
          <w:p w14:paraId="39F6BEAF" w14:textId="77777777" w:rsidR="004E05C9" w:rsidRPr="003F5679" w:rsidRDefault="004E05C9" w:rsidP="00BA4F3A">
            <w:pPr>
              <w:rPr>
                <w:sz w:val="20"/>
                <w:szCs w:val="18"/>
              </w:rPr>
            </w:pPr>
          </w:p>
        </w:tc>
        <w:tc>
          <w:tcPr>
            <w:tcW w:w="1775" w:type="dxa"/>
          </w:tcPr>
          <w:p w14:paraId="49FE1704"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 xml:space="preserve">electronic payment </w:t>
            </w:r>
            <w:r w:rsidRPr="003F5679">
              <w:rPr>
                <w:sz w:val="20"/>
                <w:szCs w:val="18"/>
              </w:rPr>
              <w:fldChar w:fldCharType="begin"/>
            </w:r>
            <w:r w:rsidRPr="003F5679">
              <w:rPr>
                <w:sz w:val="20"/>
                <w:szCs w:val="18"/>
              </w:rPr>
              <w:instrText xml:space="preserve"> ADDIN ZOTERO_ITEM CSL_CITATION {"citationID":"uEhgHLUI","properties":{"formattedCitation":"(Najib {\\i{}et al.}, 2021)","plainCitation":"(Najib et al., 2021)","noteIndex":0},"citationItems":[{"id":101,"uris":["http://zotero.org/users/local/IyRzUUWA/items/PGDPYDFK"],"itemData":{"id":101,"type":"article-journal","container-title":"Journal of Open Innovation: Technology, Market, and Complexity","issue":"1","note":"publisher: MDPI","page":"88","source":"Google Scholar","title":"Fintech in the small food business and its relation with open innovation","volume":"7","author":[{"family":"Najib","given":"Mukhamad"},{"family":"Ermawati","given":"Wita Juwita"},{"family":"Fahma","given":"Farah"},{"family":"Endri","given":"Endri"},{"family":"Suhartanto","given":"Dwi"}],"issued":{"date-parts":[["2021"]]}}}],"schema":"https://github.com/citation-style-language/schema/raw/master/csl-citation.json"} </w:instrText>
            </w:r>
            <w:r w:rsidRPr="003F5679">
              <w:rPr>
                <w:sz w:val="20"/>
                <w:szCs w:val="18"/>
              </w:rPr>
              <w:fldChar w:fldCharType="separate"/>
            </w:r>
            <w:r w:rsidRPr="003F5679">
              <w:rPr>
                <w:kern w:val="0"/>
                <w:sz w:val="20"/>
                <w:szCs w:val="18"/>
              </w:rPr>
              <w:t xml:space="preserve">(Najib </w:t>
            </w:r>
            <w:r w:rsidRPr="003F5679">
              <w:rPr>
                <w:i/>
                <w:iCs/>
                <w:kern w:val="0"/>
                <w:sz w:val="20"/>
                <w:szCs w:val="18"/>
              </w:rPr>
              <w:t>et al.</w:t>
            </w:r>
            <w:r w:rsidRPr="003F5679">
              <w:rPr>
                <w:kern w:val="0"/>
                <w:sz w:val="20"/>
                <w:szCs w:val="18"/>
              </w:rPr>
              <w:t>, 2021)</w:t>
            </w:r>
            <w:r w:rsidRPr="003F5679">
              <w:rPr>
                <w:sz w:val="20"/>
                <w:szCs w:val="18"/>
              </w:rPr>
              <w:fldChar w:fldCharType="end"/>
            </w:r>
          </w:p>
          <w:p w14:paraId="33C5CD52"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Automated kitchen technology development (Barakazı, 2022)</w:t>
            </w:r>
          </w:p>
          <w:p w14:paraId="46628699"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 xml:space="preserve">Online Ordering Systems </w:t>
            </w:r>
          </w:p>
        </w:tc>
        <w:tc>
          <w:tcPr>
            <w:tcW w:w="1707" w:type="dxa"/>
          </w:tcPr>
          <w:p w14:paraId="4CD2842E" w14:textId="77777777" w:rsidR="004E05C9" w:rsidRPr="003F5679" w:rsidRDefault="004E05C9" w:rsidP="004E05C9">
            <w:pPr>
              <w:pStyle w:val="a6"/>
              <w:numPr>
                <w:ilvl w:val="0"/>
                <w:numId w:val="6"/>
              </w:numPr>
              <w:ind w:firstLineChars="0"/>
              <w:contextualSpacing/>
              <w:rPr>
                <w:sz w:val="20"/>
                <w:szCs w:val="18"/>
              </w:rPr>
            </w:pPr>
            <w:r w:rsidRPr="003F5679">
              <w:rPr>
                <w:sz w:val="20"/>
                <w:szCs w:val="18"/>
              </w:rPr>
              <w:t>Restrictions on the use of food and beverage materials (</w:t>
            </w:r>
            <w:r w:rsidRPr="003F5679">
              <w:rPr>
                <w:rFonts w:cstheme="minorBidi"/>
                <w:kern w:val="2"/>
                <w:sz w:val="20"/>
                <w:szCs w:val="18"/>
              </w:rPr>
              <w:t>GOV.UK</w:t>
            </w:r>
            <w:r w:rsidRPr="003F5679">
              <w:rPr>
                <w:rFonts w:cstheme="minorBidi" w:hint="eastAsia"/>
                <w:kern w:val="2"/>
                <w:sz w:val="20"/>
                <w:szCs w:val="18"/>
              </w:rPr>
              <w:t xml:space="preserve">, </w:t>
            </w:r>
            <w:r w:rsidRPr="003F5679">
              <w:rPr>
                <w:rFonts w:cstheme="minorBidi"/>
                <w:kern w:val="2"/>
                <w:sz w:val="20"/>
                <w:szCs w:val="18"/>
              </w:rPr>
              <w:t>2024b</w:t>
            </w:r>
            <w:r w:rsidRPr="003F5679">
              <w:rPr>
                <w:sz w:val="20"/>
                <w:szCs w:val="18"/>
              </w:rPr>
              <w:t>)</w:t>
            </w:r>
          </w:p>
          <w:p w14:paraId="4325C86E" w14:textId="77777777" w:rsidR="004E05C9" w:rsidRPr="003F5679" w:rsidRDefault="004E05C9" w:rsidP="004E05C9">
            <w:pPr>
              <w:pStyle w:val="a6"/>
              <w:numPr>
                <w:ilvl w:val="0"/>
                <w:numId w:val="6"/>
              </w:numPr>
              <w:ind w:firstLineChars="0"/>
              <w:contextualSpacing/>
              <w:rPr>
                <w:sz w:val="20"/>
                <w:szCs w:val="18"/>
              </w:rPr>
            </w:pPr>
            <w:r w:rsidRPr="003F5679">
              <w:rPr>
                <w:rFonts w:hint="eastAsia"/>
                <w:sz w:val="20"/>
                <w:szCs w:val="18"/>
              </w:rPr>
              <w:t>E</w:t>
            </w:r>
            <w:r w:rsidRPr="003F5679">
              <w:rPr>
                <w:sz w:val="20"/>
                <w:szCs w:val="18"/>
              </w:rPr>
              <w:t xml:space="preserve">nergy use </w:t>
            </w:r>
          </w:p>
          <w:p w14:paraId="1B86F722" w14:textId="77777777" w:rsidR="004E05C9" w:rsidRPr="003F5679" w:rsidRDefault="004E05C9" w:rsidP="004E05C9">
            <w:pPr>
              <w:pStyle w:val="a6"/>
              <w:numPr>
                <w:ilvl w:val="0"/>
                <w:numId w:val="6"/>
              </w:numPr>
              <w:ind w:firstLineChars="0"/>
              <w:contextualSpacing/>
              <w:rPr>
                <w:sz w:val="20"/>
                <w:szCs w:val="18"/>
              </w:rPr>
            </w:pPr>
            <w:r w:rsidRPr="003F5679">
              <w:rPr>
                <w:rFonts w:hint="eastAsia"/>
                <w:sz w:val="20"/>
                <w:szCs w:val="18"/>
              </w:rPr>
              <w:t>A</w:t>
            </w:r>
            <w:r w:rsidRPr="003F5679">
              <w:rPr>
                <w:sz w:val="20"/>
                <w:szCs w:val="18"/>
              </w:rPr>
              <w:t>nimal protection</w:t>
            </w:r>
          </w:p>
        </w:tc>
        <w:tc>
          <w:tcPr>
            <w:tcW w:w="1690" w:type="dxa"/>
          </w:tcPr>
          <w:p w14:paraId="23C39EA8" w14:textId="77777777" w:rsidR="004E05C9" w:rsidRPr="003F5679" w:rsidRDefault="004E05C9" w:rsidP="004E05C9">
            <w:pPr>
              <w:pStyle w:val="a6"/>
              <w:numPr>
                <w:ilvl w:val="0"/>
                <w:numId w:val="7"/>
              </w:numPr>
              <w:ind w:firstLineChars="0"/>
              <w:contextualSpacing/>
              <w:rPr>
                <w:sz w:val="20"/>
                <w:szCs w:val="18"/>
              </w:rPr>
            </w:pPr>
            <w:r w:rsidRPr="003F5679">
              <w:rPr>
                <w:sz w:val="20"/>
                <w:szCs w:val="18"/>
              </w:rPr>
              <w:t>Employment Rights Act 1996</w:t>
            </w:r>
          </w:p>
          <w:p w14:paraId="22AA5B90" w14:textId="77777777" w:rsidR="004E05C9" w:rsidRPr="003F5679" w:rsidRDefault="004E05C9" w:rsidP="004E05C9">
            <w:pPr>
              <w:pStyle w:val="a6"/>
              <w:numPr>
                <w:ilvl w:val="0"/>
                <w:numId w:val="7"/>
              </w:numPr>
              <w:ind w:firstLineChars="0"/>
              <w:contextualSpacing/>
              <w:rPr>
                <w:sz w:val="20"/>
                <w:szCs w:val="18"/>
              </w:rPr>
            </w:pPr>
            <w:r w:rsidRPr="003F5679">
              <w:rPr>
                <w:sz w:val="20"/>
                <w:szCs w:val="18"/>
              </w:rPr>
              <w:t>Equality Act 2010</w:t>
            </w:r>
          </w:p>
          <w:p w14:paraId="7C87768E" w14:textId="77777777" w:rsidR="004E05C9" w:rsidRPr="003F5679" w:rsidRDefault="004E05C9" w:rsidP="004E05C9">
            <w:pPr>
              <w:pStyle w:val="a6"/>
              <w:keepNext/>
              <w:numPr>
                <w:ilvl w:val="0"/>
                <w:numId w:val="7"/>
              </w:numPr>
              <w:ind w:firstLineChars="0"/>
              <w:contextualSpacing/>
              <w:rPr>
                <w:sz w:val="20"/>
                <w:szCs w:val="18"/>
              </w:rPr>
            </w:pPr>
            <w:r w:rsidRPr="003F5679">
              <w:rPr>
                <w:rFonts w:hint="eastAsia"/>
                <w:sz w:val="20"/>
                <w:szCs w:val="18"/>
              </w:rPr>
              <w:t>I</w:t>
            </w:r>
            <w:r w:rsidRPr="003F5679">
              <w:rPr>
                <w:sz w:val="20"/>
                <w:szCs w:val="18"/>
              </w:rPr>
              <w:t>ntellectual property protection</w:t>
            </w:r>
          </w:p>
        </w:tc>
      </w:tr>
    </w:tbl>
    <w:p w14:paraId="5E803544" w14:textId="77777777" w:rsidR="004E05C9" w:rsidRPr="003F5679" w:rsidRDefault="004E05C9" w:rsidP="004E05C9">
      <w:pPr>
        <w:pStyle w:val="2"/>
      </w:pPr>
      <w:bookmarkStart w:id="4" w:name="_Toc193509723"/>
      <w:r w:rsidRPr="003F5679">
        <w:lastRenderedPageBreak/>
        <w:t>2.1 Political</w:t>
      </w:r>
      <w:bookmarkEnd w:id="4"/>
    </w:p>
    <w:p w14:paraId="77885355" w14:textId="607A91B2" w:rsidR="004E05C9" w:rsidRPr="003F5679" w:rsidRDefault="004E05C9" w:rsidP="004E05C9">
      <w:r w:rsidRPr="003F5679">
        <w:t>The</w:t>
      </w:r>
      <w:r w:rsidRPr="003F5679">
        <w:rPr>
          <w:rFonts w:hint="eastAsia"/>
        </w:rPr>
        <w:t xml:space="preserve"> </w:t>
      </w:r>
      <w:r w:rsidRPr="003F5679">
        <w:t xml:space="preserve">World Bank Group </w:t>
      </w:r>
      <w:r w:rsidRPr="003F5679">
        <w:fldChar w:fldCharType="begin"/>
      </w:r>
      <w:r w:rsidRPr="003F5679">
        <w:instrText xml:space="preserve"> ADDIN ZOTERO_ITEM CSL_CITATION {"citationID":"DfdAyvnP","properties":{"formattedCitation":"(World Bank Group, 2025)","plainCitation":"(World Bank Group, 2025)","noteIndex":0},"citationItems":[{"id":166,"uris":["http://zotero.org/users/local/IyRzUUWA/items/DM8RJ92R"],"itemData":{"id":166,"type":"webpage","title":"Political Stability and Absence of Violence/Terrorism: Percentile Rank | Indicator Profile | Prosperity Data360","URL":"https://prosperitydata360.worldbank.org/en/indicator/WB+WWGI+PV+PER+RNK","author":[{"literal":"World Bank Group"}],"accessed":{"date-parts":[["2025",3,16]]},"issued":{"date-parts":[["2025"]]}}}],"schema":"https://github.com/citation-style-language/schema/raw/master/csl-citation.json"} </w:instrText>
      </w:r>
      <w:r w:rsidRPr="003F5679">
        <w:fldChar w:fldCharType="separate"/>
      </w:r>
      <w:r w:rsidRPr="003F5679">
        <w:t>(2025)</w:t>
      </w:r>
      <w:r w:rsidRPr="003F5679">
        <w:fldChar w:fldCharType="end"/>
      </w:r>
      <w:r w:rsidRPr="003F5679">
        <w:t xml:space="preserve"> reports that while political volatility in the UK was high from 2005 to 2023, there was a temporary drop in the political stability index between 2019 and 2022. The primary cause of the current situation is </w:t>
      </w:r>
      <w:r w:rsidRPr="003F5679">
        <w:rPr>
          <w:rFonts w:hint="eastAsia"/>
        </w:rPr>
        <w:t>that t</w:t>
      </w:r>
      <w:r w:rsidRPr="003F5679">
        <w:t>he regime within the British government is constantly changing</w:t>
      </w:r>
      <w:r w:rsidRPr="003F5679">
        <w:rPr>
          <w:rFonts w:hint="eastAsia"/>
        </w:rPr>
        <w:t xml:space="preserve"> </w:t>
      </w:r>
      <w:r w:rsidRPr="003F5679">
        <w:fldChar w:fldCharType="begin"/>
      </w:r>
      <w:r w:rsidRPr="003F5679">
        <w:instrText xml:space="preserve"> ADDIN ZOTERO_ITEM CSL_CITATION {"citationID":"erSHB3nj","properties":{"formattedCitation":"(Butzlaff, 2025)","plainCitation":"(Butzlaff, 2025)","noteIndex":0},"citationItems":[{"id":220,"uris":["http://zotero.org/users/local/IyRzUUWA/items/KRUHPVHD"],"itemData":{"id":220,"type":"article-journal","abstract":"A modernisation- and individualisation-induced loss of trust, membership, and voters has been addressed in party research for a while. However, social theory authors such as Beck, Bauman, Sennett, and Taylor have pointed to further organisational dilemmas that have not been addressed in depth: That demands for flexibility, individualisation and non-bindingness and demands for centralized political leadership might go hand in hand; and that notwithstanding increasing individualisation citizens might demand new forms of social collectives and belonging. In this article, I compare how different established party families perceive these contradictions and seek to create new party-society linkages. Based on a series of qualitative in-depth interviews with social democratic and conservative party functionaries, I emphasise that different party families and their reform attempts reflect individualisation, flexible and liquid identities differently and thus refashion the way citizens are linked with political parties and representative democracy.","container-title":"Party Politics","DOI":"10.1177/13540688241306727","ISSN":"1354-0688","issue":"2","note":"publisher: SAGE Publications Ltd","page":"217-227","source":"SAGE Journals","title":"Creating new participatory linkages? Political parties and democratisation in Germany, Austria, and the UK","title-short":"Creating new participatory linkages?","volume":"31","author":[{"family":"Butzlaff","given":"Felix"}],"issued":{"date-parts":[["2025",3,1]]}}}],"schema":"https://github.com/citation-style-language/schema/raw/master/csl-citation.json"} </w:instrText>
      </w:r>
      <w:r w:rsidRPr="003F5679">
        <w:fldChar w:fldCharType="separate"/>
      </w:r>
      <w:r w:rsidRPr="003F5679">
        <w:t>(Butzlaff</w:t>
      </w:r>
      <w:r w:rsidR="00262222">
        <w:rPr>
          <w:rFonts w:hint="eastAsia"/>
        </w:rPr>
        <w:t xml:space="preserve">, </w:t>
      </w:r>
      <w:r w:rsidRPr="003F5679">
        <w:t>2025)</w:t>
      </w:r>
      <w:r w:rsidRPr="003F5679">
        <w:fldChar w:fldCharType="end"/>
      </w:r>
      <w:r w:rsidRPr="003F5679">
        <w:t>.</w:t>
      </w:r>
      <w:r w:rsidRPr="003F5679">
        <w:rPr>
          <w:rFonts w:hint="eastAsia"/>
        </w:rPr>
        <w:t xml:space="preserve"> </w:t>
      </w:r>
      <w:r w:rsidRPr="003F5679">
        <w:t>The political stability index fluctuates very little between 2019 and 2023, and the lower the political volatility index indicates the more stable the political development of the country.</w:t>
      </w:r>
      <w:r w:rsidRPr="003F5679">
        <w:rPr>
          <w:rFonts w:hint="eastAsia"/>
        </w:rPr>
        <w:t xml:space="preserve"> </w:t>
      </w:r>
      <w:r w:rsidRPr="003F5679">
        <w:t xml:space="preserve">This had a positive impact on the growth of the Domino's market in the UK. However, when wealthy nations invest in developing nations, political stability can play a big role </w:t>
      </w:r>
      <w:r w:rsidRPr="003F5679">
        <w:fldChar w:fldCharType="begin"/>
      </w:r>
      <w:r w:rsidRPr="003F5679">
        <w:instrText xml:space="preserve"> ADDIN ZOTERO_ITEM CSL_CITATION {"citationID":"VaONFDk3","properties":{"formattedCitation":"(Groznykh {\\i{}et al.}, 2020)","plainCitation":"(Groznykh et al., 2020)","noteIndex":0},"citationItems":[{"id":110,"uris":["http://zotero.org/users/local/IyRzUUWA/items/LQSNNW4K"],"itemData":{"id":110,"type":"article-journal","container-title":"Proceedings of CBU in Economics and Business","page":"76–83","source":"Google Scholar","title":"The role of political stability in foreign direct investment attraction: Cross-country analysis","title-short":"The role of political stability in foreign direct investment attraction","volume":"1","author":[{"family":"Groznykh","given":"Rogneda"},{"family":"Mariev","given":"Oleg"},{"family":"Plotnikov","given":"Sergey"},{"family":"Fominykh","given":"Maria"}],"issued":{"date-parts":[["2020"]]}}}],"schema":"https://github.com/citation-style-language/schema/raw/master/csl-citation.json"} </w:instrText>
      </w:r>
      <w:r w:rsidRPr="003F5679">
        <w:fldChar w:fldCharType="separate"/>
      </w:r>
      <w:r w:rsidRPr="003F5679">
        <w:rPr>
          <w:kern w:val="0"/>
        </w:rPr>
        <w:t xml:space="preserve">(Groznykh </w:t>
      </w:r>
      <w:r w:rsidRPr="003F5679">
        <w:rPr>
          <w:i/>
          <w:iCs/>
          <w:kern w:val="0"/>
        </w:rPr>
        <w:t>et al.</w:t>
      </w:r>
      <w:r w:rsidRPr="003F5679">
        <w:rPr>
          <w:kern w:val="0"/>
        </w:rPr>
        <w:t>, 2020)</w:t>
      </w:r>
      <w:r w:rsidRPr="003F5679">
        <w:fldChar w:fldCharType="end"/>
      </w:r>
      <w:r w:rsidRPr="003F5679">
        <w:t xml:space="preserve">. The long-term stability of the political can help to guarantee market stability to a certain degree, which will draw in more customers and propel Domino's operations forward. </w:t>
      </w:r>
      <w:r w:rsidRPr="003F5679">
        <w:rPr>
          <w:rFonts w:hint="eastAsia"/>
        </w:rPr>
        <w:t>Thus</w:t>
      </w:r>
      <w:r w:rsidRPr="003F5679">
        <w:t>, Domino will be able to access more investment opportunities in the UK market thanks to the country's stable political, which will promote steady growth going forward</w:t>
      </w:r>
      <w:r w:rsidRPr="003F5679">
        <w:rPr>
          <w:rFonts w:hint="eastAsia"/>
        </w:rPr>
        <w:t xml:space="preserve"> in the future</w:t>
      </w:r>
      <w:r w:rsidRPr="003F5679">
        <w:t>.</w:t>
      </w:r>
    </w:p>
    <w:p w14:paraId="43F1D7B8" w14:textId="77777777" w:rsidR="004E05C9" w:rsidRPr="003F5679" w:rsidRDefault="004E05C9" w:rsidP="004E05C9">
      <w:pPr>
        <w:rPr>
          <w:sz w:val="24"/>
          <w:szCs w:val="24"/>
        </w:rPr>
      </w:pPr>
    </w:p>
    <w:p w14:paraId="2FED80CA" w14:textId="77777777" w:rsidR="004E05C9" w:rsidRPr="003F5679" w:rsidRDefault="004E05C9" w:rsidP="004E05C9">
      <w:r w:rsidRPr="003F5679">
        <w:t>Under Gov.uk (2024a), the UK government enacts worker protection laws, which outline the obligations of employers and employees and prohibit businesses from violating workers' rights. For Domino's, avoiding issues such as employment discrimination and unlawful termination is critical</w:t>
      </w:r>
      <w:r w:rsidRPr="003F5679">
        <w:rPr>
          <w:rFonts w:hint="eastAsia"/>
        </w:rPr>
        <w:t xml:space="preserve">. </w:t>
      </w:r>
      <w:r w:rsidRPr="003F5679">
        <w:t xml:space="preserve">Otherwise, it will affect the corporate image and </w:t>
      </w:r>
      <w:r w:rsidRPr="003F5679">
        <w:lastRenderedPageBreak/>
        <w:t xml:space="preserve">reduce product sales. </w:t>
      </w:r>
    </w:p>
    <w:p w14:paraId="566A6F3A" w14:textId="77777777" w:rsidR="004E05C9" w:rsidRPr="003F5679" w:rsidRDefault="004E05C9" w:rsidP="004E05C9"/>
    <w:p w14:paraId="4572A225" w14:textId="2238B0E5" w:rsidR="004E05C9" w:rsidRPr="003F5679" w:rsidRDefault="004E05C9" w:rsidP="004E05C9">
      <w:r w:rsidRPr="003F5679">
        <w:t>Legal requirements for minimum hourly wages can increase operating costs, leading to problems such as inadequate funding chains for marketing activities.</w:t>
      </w:r>
      <w:r w:rsidRPr="003F5679">
        <w:rPr>
          <w:rFonts w:hint="eastAsia"/>
        </w:rPr>
        <w:t xml:space="preserve"> </w:t>
      </w:r>
      <w:r w:rsidRPr="003F5679">
        <w:t>The Office for National Statistics (2025) notes</w:t>
      </w:r>
      <w:r w:rsidRPr="003F5679">
        <w:rPr>
          <w:rFonts w:hint="eastAsia"/>
        </w:rPr>
        <w:t xml:space="preserve"> that</w:t>
      </w:r>
      <w:r w:rsidRPr="003F5679">
        <w:t xml:space="preserve"> </w:t>
      </w:r>
      <w:r w:rsidRPr="003F5679">
        <w:rPr>
          <w:rFonts w:hint="eastAsia"/>
        </w:rPr>
        <w:t>the</w:t>
      </w:r>
      <w:r w:rsidRPr="003F5679">
        <w:t xml:space="preserve"> employment costs </w:t>
      </w:r>
      <w:r w:rsidRPr="003F5679">
        <w:rPr>
          <w:rFonts w:hint="eastAsia"/>
        </w:rPr>
        <w:t xml:space="preserve">of </w:t>
      </w:r>
      <w:r w:rsidRPr="003F5679">
        <w:t xml:space="preserve">UK </w:t>
      </w:r>
      <w:r w:rsidRPr="003F5679">
        <w:rPr>
          <w:rFonts w:hint="eastAsia"/>
        </w:rPr>
        <w:t xml:space="preserve">are </w:t>
      </w:r>
      <w:r w:rsidRPr="003F5679">
        <w:t>rising</w:t>
      </w:r>
      <w:r w:rsidRPr="003F5679">
        <w:rPr>
          <w:rFonts w:hint="eastAsia"/>
        </w:rPr>
        <w:t xml:space="preserve"> year by year.</w:t>
      </w:r>
      <w:r w:rsidRPr="003F5679">
        <w:t xml:space="preserve"> This is because the minimum wage in the UK is increasing </w:t>
      </w:r>
      <w:r w:rsidRPr="003F5679">
        <w:rPr>
          <w:rFonts w:hint="eastAsia"/>
        </w:rPr>
        <w:t>constantly</w:t>
      </w:r>
      <w:r w:rsidRPr="003F5679">
        <w:t>. Rees (2025) analysis that the Labour government's payroll tax and substantial increases in the minimum wage resulted in a year-on-year increase in tax revenues in the UK. Therefore, although this measure can guarantee the basic living needs of some low-income people to a certain extent, it aggravates the overall human resource investment and financial management problems and increases the operating costs of enterprises.</w:t>
      </w:r>
      <w:r w:rsidRPr="003F5679">
        <w:rPr>
          <w:rFonts w:hint="eastAsia"/>
        </w:rPr>
        <w:t xml:space="preserve"> For </w:t>
      </w:r>
      <w:r w:rsidRPr="003F5679">
        <w:t>Domino</w:t>
      </w:r>
      <w:r w:rsidR="00B558EB">
        <w:t>’</w:t>
      </w:r>
      <w:r w:rsidRPr="003F5679">
        <w:t>s</w:t>
      </w:r>
      <w:r w:rsidRPr="003F5679">
        <w:rPr>
          <w:rFonts w:hint="eastAsia"/>
        </w:rPr>
        <w:t>, it</w:t>
      </w:r>
      <w:r w:rsidRPr="003F5679">
        <w:t xml:space="preserve"> may need to innovate new products and enhance the value of existing offerings to justify future investments in human capital.</w:t>
      </w:r>
    </w:p>
    <w:p w14:paraId="59C33A55" w14:textId="77777777" w:rsidR="004E05C9" w:rsidRPr="003F5679" w:rsidRDefault="004E05C9" w:rsidP="004E05C9">
      <w:pPr>
        <w:pStyle w:val="2"/>
      </w:pPr>
      <w:bookmarkStart w:id="5" w:name="_Toc193509724"/>
      <w:r w:rsidRPr="003F5679">
        <w:t>2.2 Economic</w:t>
      </w:r>
      <w:bookmarkEnd w:id="5"/>
    </w:p>
    <w:p w14:paraId="4440DB2C" w14:textId="351CB44D" w:rsidR="00262222" w:rsidRDefault="004E05C9" w:rsidP="004E05C9">
      <w:r w:rsidRPr="003F5679">
        <w:t>The inflation rate has caused the cost of living in the UK to rise, which affects the rate of consumers buying pizza.</w:t>
      </w:r>
      <w:r w:rsidRPr="003F5679">
        <w:rPr>
          <w:rFonts w:hint="eastAsia"/>
        </w:rPr>
        <w:t xml:space="preserve"> </w:t>
      </w:r>
      <w:r w:rsidRPr="003F5679">
        <w:t>According to I</w:t>
      </w:r>
      <w:r w:rsidRPr="003F5679">
        <w:rPr>
          <w:rFonts w:hint="eastAsia"/>
        </w:rPr>
        <w:t>nflation tool</w:t>
      </w:r>
      <w:r w:rsidRPr="003F5679">
        <w:t xml:space="preserve"> (2025), the UK's inflation rate rise from 0.8% to 9.2% between 2020 and 2022. The UK's decision to leave the European Union is one of the primary causes of this phenomenon (Breinlich </w:t>
      </w:r>
      <w:r w:rsidRPr="003F5679">
        <w:rPr>
          <w:i/>
          <w:iCs/>
        </w:rPr>
        <w:t>et al</w:t>
      </w:r>
      <w:r w:rsidRPr="003F5679">
        <w:rPr>
          <w:rFonts w:hint="eastAsia"/>
          <w:i/>
          <w:iCs/>
        </w:rPr>
        <w:t>.</w:t>
      </w:r>
      <w:r w:rsidRPr="003F5679">
        <w:t xml:space="preserve">, 2022). Excessive </w:t>
      </w:r>
      <w:r w:rsidRPr="003F5679">
        <w:lastRenderedPageBreak/>
        <w:t xml:space="preserve">inflation results in price increase, which in Domino's raises the cost of labour, raw materials, and overheads, all of which impede the company's ability to expand. </w:t>
      </w:r>
    </w:p>
    <w:p w14:paraId="0C012EEE" w14:textId="77777777" w:rsidR="00755CA9" w:rsidRPr="003F5679" w:rsidRDefault="00755CA9" w:rsidP="00755CA9">
      <w:pPr>
        <w:pStyle w:val="a9"/>
        <w:keepNext/>
        <w:jc w:val="center"/>
        <w:rPr>
          <w:rFonts w:ascii="Times New Roman" w:hAnsi="Times New Roman" w:cs="Times New Roman"/>
          <w:sz w:val="24"/>
          <w:szCs w:val="24"/>
        </w:rPr>
      </w:pPr>
      <w:r w:rsidRPr="003F5679">
        <w:rPr>
          <w:rFonts w:ascii="Times New Roman" w:hAnsi="Times New Roman" w:cs="Times New Roman"/>
          <w:sz w:val="24"/>
          <w:szCs w:val="24"/>
        </w:rPr>
        <w:t xml:space="preserve">Table </w:t>
      </w:r>
      <w:r w:rsidRPr="003F5679">
        <w:rPr>
          <w:rFonts w:ascii="Times New Roman" w:hAnsi="Times New Roman" w:cs="Times New Roman"/>
          <w:sz w:val="24"/>
          <w:szCs w:val="24"/>
        </w:rPr>
        <w:fldChar w:fldCharType="begin"/>
      </w:r>
      <w:r w:rsidRPr="003F5679">
        <w:rPr>
          <w:rFonts w:ascii="Times New Roman" w:hAnsi="Times New Roman" w:cs="Times New Roman"/>
          <w:sz w:val="24"/>
          <w:szCs w:val="24"/>
        </w:rPr>
        <w:instrText xml:space="preserve"> SEQ Table \* ARABIC </w:instrText>
      </w:r>
      <w:r w:rsidRPr="003F5679">
        <w:rPr>
          <w:rFonts w:ascii="Times New Roman" w:hAnsi="Times New Roman" w:cs="Times New Roman"/>
          <w:sz w:val="24"/>
          <w:szCs w:val="24"/>
        </w:rPr>
        <w:fldChar w:fldCharType="separate"/>
      </w:r>
      <w:r w:rsidRPr="003F5679">
        <w:rPr>
          <w:rFonts w:ascii="Times New Roman" w:hAnsi="Times New Roman" w:cs="Times New Roman"/>
          <w:sz w:val="24"/>
          <w:szCs w:val="24"/>
        </w:rPr>
        <w:t>2</w:t>
      </w:r>
      <w:r w:rsidRPr="003F5679">
        <w:rPr>
          <w:rFonts w:ascii="Times New Roman" w:hAnsi="Times New Roman" w:cs="Times New Roman"/>
          <w:sz w:val="24"/>
          <w:szCs w:val="24"/>
        </w:rPr>
        <w:fldChar w:fldCharType="end"/>
      </w:r>
      <w:r w:rsidRPr="003F5679">
        <w:rPr>
          <w:rFonts w:ascii="Times New Roman" w:hAnsi="Times New Roman" w:cs="Times New Roman"/>
          <w:sz w:val="24"/>
          <w:szCs w:val="24"/>
        </w:rPr>
        <w:t xml:space="preserve"> United Kingdom Inflation Rate</w:t>
      </w:r>
    </w:p>
    <w:p w14:paraId="24721AD5" w14:textId="77777777" w:rsidR="00755CA9" w:rsidRPr="003F5679" w:rsidRDefault="00755CA9" w:rsidP="00755CA9">
      <w:pPr>
        <w:jc w:val="center"/>
      </w:pPr>
      <w:r w:rsidRPr="003F5679">
        <w:rPr>
          <w:noProof/>
        </w:rPr>
        <w:drawing>
          <wp:inline distT="0" distB="0" distL="0" distR="0" wp14:anchorId="5D7C7240" wp14:editId="0A37F1F2">
            <wp:extent cx="5199049" cy="2027321"/>
            <wp:effectExtent l="0" t="0" r="1905" b="0"/>
            <wp:docPr id="585996944" name="图片 1" descr="图表, 条形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96944" name="图片 1" descr="图表, 条形图&#10;&#10;AI 生成的内容可能不正确。"/>
                    <pic:cNvPicPr/>
                  </pic:nvPicPr>
                  <pic:blipFill>
                    <a:blip r:embed="rId11"/>
                    <a:stretch>
                      <a:fillRect/>
                    </a:stretch>
                  </pic:blipFill>
                  <pic:spPr>
                    <a:xfrm>
                      <a:off x="0" y="0"/>
                      <a:ext cx="5232650" cy="2040424"/>
                    </a:xfrm>
                    <a:prstGeom prst="rect">
                      <a:avLst/>
                    </a:prstGeom>
                  </pic:spPr>
                </pic:pic>
              </a:graphicData>
            </a:graphic>
          </wp:inline>
        </w:drawing>
      </w:r>
    </w:p>
    <w:p w14:paraId="301681EA" w14:textId="5FA3DAC4" w:rsidR="00262222" w:rsidRPr="00755CA9" w:rsidRDefault="00755CA9" w:rsidP="00755CA9">
      <w:pPr>
        <w:jc w:val="center"/>
        <w:rPr>
          <w:sz w:val="24"/>
          <w:szCs w:val="24"/>
        </w:rPr>
      </w:pPr>
      <w:r w:rsidRPr="003F5679">
        <w:rPr>
          <w:sz w:val="24"/>
          <w:szCs w:val="24"/>
        </w:rPr>
        <w:t>Source</w:t>
      </w:r>
      <w:r w:rsidRPr="003F5679">
        <w:rPr>
          <w:sz w:val="24"/>
          <w:szCs w:val="24"/>
        </w:rPr>
        <w:t>：</w:t>
      </w:r>
      <w:r w:rsidRPr="003F5679">
        <w:rPr>
          <w:sz w:val="24"/>
          <w:szCs w:val="24"/>
        </w:rPr>
        <w:t>INFLATIONTOOL, January 2025</w:t>
      </w:r>
    </w:p>
    <w:p w14:paraId="0EB96A21" w14:textId="52A235A5" w:rsidR="004E05C9" w:rsidRPr="003F5679" w:rsidRDefault="004E05C9" w:rsidP="004E05C9">
      <w:r w:rsidRPr="003F5679">
        <w:t xml:space="preserve">Inflation also significantly restricts economic growth and individual purchasing power (Shebl, Abd Elhady, and Refaat, 2021). But other factors can also have an impact on economic growth, such as wealth inequality, war, and financial crisis (Wang, 2024). This makes it harder for </w:t>
      </w:r>
      <w:r w:rsidRPr="003F5679">
        <w:rPr>
          <w:rFonts w:hint="eastAsia"/>
        </w:rPr>
        <w:t>Dominos</w:t>
      </w:r>
      <w:r w:rsidRPr="003F5679">
        <w:t xml:space="preserve"> to make profit from consumer spending. Furthermore, a high rate of inflation will raise people's living expenses and add to life's stress (Amores </w:t>
      </w:r>
      <w:r w:rsidRPr="003F5679">
        <w:rPr>
          <w:i/>
          <w:iCs/>
        </w:rPr>
        <w:t>et al.</w:t>
      </w:r>
      <w:r w:rsidRPr="003F5679">
        <w:rPr>
          <w:rFonts w:hint="eastAsia"/>
          <w:i/>
          <w:iCs/>
        </w:rPr>
        <w:t>,</w:t>
      </w:r>
      <w:r w:rsidRPr="003F5679">
        <w:t xml:space="preserve"> 2025). </w:t>
      </w:r>
      <w:r w:rsidRPr="003F5679">
        <w:rPr>
          <w:rFonts w:hint="eastAsia"/>
        </w:rPr>
        <w:t>Thus</w:t>
      </w:r>
      <w:r w:rsidRPr="003F5679">
        <w:t xml:space="preserve">, the high rate of inflation in the UK will have an impact on both </w:t>
      </w:r>
      <w:r w:rsidRPr="003F5679">
        <w:rPr>
          <w:rFonts w:hint="eastAsia"/>
        </w:rPr>
        <w:t xml:space="preserve">consumer buying </w:t>
      </w:r>
      <w:r w:rsidR="00B558EB">
        <w:rPr>
          <w:rFonts w:hint="eastAsia"/>
        </w:rPr>
        <w:t>Domino</w:t>
      </w:r>
      <w:r w:rsidR="00B558EB">
        <w:t>’</w:t>
      </w:r>
      <w:r w:rsidR="00B558EB">
        <w:rPr>
          <w:rFonts w:hint="eastAsia"/>
        </w:rPr>
        <w:t>s</w:t>
      </w:r>
      <w:r w:rsidRPr="003F5679">
        <w:rPr>
          <w:rFonts w:hint="eastAsia"/>
        </w:rPr>
        <w:t xml:space="preserve"> products </w:t>
      </w:r>
      <w:r w:rsidRPr="003F5679">
        <w:t>and the burden on average households' living expenses.</w:t>
      </w:r>
    </w:p>
    <w:p w14:paraId="7A292AD5" w14:textId="77777777" w:rsidR="004E05C9" w:rsidRPr="003F5679" w:rsidRDefault="004E05C9" w:rsidP="004E05C9">
      <w:pPr>
        <w:pStyle w:val="2"/>
      </w:pPr>
      <w:bookmarkStart w:id="6" w:name="_Toc193509725"/>
      <w:r w:rsidRPr="003F5679">
        <w:t>2.</w:t>
      </w:r>
      <w:r w:rsidRPr="003F5679">
        <w:rPr>
          <w:rFonts w:eastAsiaTheme="minorEastAsia"/>
        </w:rPr>
        <w:t>3</w:t>
      </w:r>
      <w:r w:rsidRPr="003F5679">
        <w:t xml:space="preserve"> Technological</w:t>
      </w:r>
      <w:bookmarkEnd w:id="6"/>
    </w:p>
    <w:p w14:paraId="185D2C16" w14:textId="77777777" w:rsidR="004E05C9" w:rsidRPr="003F5679" w:rsidRDefault="004E05C9" w:rsidP="004E05C9">
      <w:r w:rsidRPr="003F5679">
        <w:t xml:space="preserve">E-payment has become a widely used method due to rapid technological advancements (Darma and Noviana, 2020). </w:t>
      </w:r>
      <w:r w:rsidRPr="003F5679">
        <w:rPr>
          <w:rFonts w:hint="eastAsia"/>
        </w:rPr>
        <w:t>E</w:t>
      </w:r>
      <w:r w:rsidRPr="003F5679">
        <w:t xml:space="preserve">-payments are more </w:t>
      </w:r>
      <w:r w:rsidRPr="003F5679">
        <w:lastRenderedPageBreak/>
        <w:t xml:space="preserve">portable than traditional methods like cash and cards, saving time for customers and improving business efficiency (Najib </w:t>
      </w:r>
      <w:r w:rsidRPr="003F5679">
        <w:rPr>
          <w:i/>
          <w:iCs/>
        </w:rPr>
        <w:t>et al.</w:t>
      </w:r>
      <w:r w:rsidRPr="003F5679">
        <w:rPr>
          <w:rFonts w:hint="eastAsia"/>
          <w:i/>
          <w:iCs/>
        </w:rPr>
        <w:t xml:space="preserve">, </w:t>
      </w:r>
      <w:r w:rsidRPr="003F5679">
        <w:t>2021). Additionally, online food delivery platforms have driven industry growth, enabling customers to easily access products via mobile devices (Ghelani and Hua, 2022). Domino's must leverage technology to enhance its operations and adapt to market changes. Thus, the rise of e-payment technologies is pushing Domino's and the fast-food industry toward greater speed and convenience.</w:t>
      </w:r>
    </w:p>
    <w:p w14:paraId="49710176" w14:textId="77777777" w:rsidR="004E05C9" w:rsidRPr="003F5679" w:rsidRDefault="004E05C9" w:rsidP="004E05C9"/>
    <w:p w14:paraId="0F51F1EC" w14:textId="77777777" w:rsidR="004E05C9" w:rsidRPr="003F5679" w:rsidRDefault="004E05C9" w:rsidP="004E05C9">
      <w:r w:rsidRPr="003F5679">
        <w:t xml:space="preserve">Automated kitchens are increasingly relevant in the modern restaurant industry due to advancements in innovative technologies. </w:t>
      </w:r>
      <w:bookmarkStart w:id="7" w:name="OLE_LINK3"/>
      <w:r w:rsidRPr="003F5679">
        <w:t>Robotic kitchens</w:t>
      </w:r>
      <w:bookmarkEnd w:id="7"/>
      <w:r w:rsidRPr="003F5679">
        <w:t xml:space="preserve"> offer customers new experiences, engaging services, and enhanced comfort (Barakazi, 2022). The development of robotic technology in the catering sector can significantly boost business efficiency, as standardized product creation ensures consistent quality and minimal flavour variation across stores. But</w:t>
      </w:r>
      <w:r w:rsidRPr="003F5679">
        <w:rPr>
          <w:rFonts w:hint="eastAsia"/>
        </w:rPr>
        <w:t xml:space="preserve"> a</w:t>
      </w:r>
      <w:r w:rsidRPr="003F5679">
        <w:t xml:space="preserve"> major concern about using robots in kitchens is their lack of human emotion, which may reduce creativity (Cha</w:t>
      </w:r>
      <w:r w:rsidRPr="003F5679">
        <w:rPr>
          <w:i/>
          <w:iCs/>
        </w:rPr>
        <w:t xml:space="preserve"> et al.,</w:t>
      </w:r>
      <w:r w:rsidRPr="003F5679">
        <w:t xml:space="preserve"> 2015, p.319). The advent of automated kitchen technology could help Domino's increase the production of pizza products and improve service efficiency.</w:t>
      </w:r>
    </w:p>
    <w:p w14:paraId="55BAAD58" w14:textId="77777777" w:rsidR="004E05C9" w:rsidRPr="003F5679" w:rsidRDefault="004E05C9" w:rsidP="004E05C9"/>
    <w:p w14:paraId="7598F52A" w14:textId="77777777" w:rsidR="004E05C9" w:rsidRPr="003F5679" w:rsidRDefault="004E05C9" w:rsidP="004E05C9">
      <w:r w:rsidRPr="003F5679">
        <w:t xml:space="preserve">Additionally, emotional communication is essential for optimal customer </w:t>
      </w:r>
      <w:r w:rsidRPr="003F5679">
        <w:lastRenderedPageBreak/>
        <w:t>service, something robots cannot provide. While Domino's can use this technology to reduce labour costs and enhance food production, human oversight will always be necessary to mitigate potential risks during production.</w:t>
      </w:r>
    </w:p>
    <w:p w14:paraId="08023131" w14:textId="77777777" w:rsidR="004E05C9" w:rsidRPr="003F5679" w:rsidRDefault="004E05C9" w:rsidP="004E05C9"/>
    <w:p w14:paraId="5725CBB0" w14:textId="528AD272" w:rsidR="004E05C9" w:rsidRDefault="004E05C9" w:rsidP="004E05C9">
      <w:r w:rsidRPr="003F5679">
        <w:t>To sum up, the low political stability coefficient in recent years has a protective effect on the development of enterprises. But labour protection laws and minimum hourly wage policies can raise the cost of doing business. On the technical level, the development of electronic payment methods and automation technology can help enterprises improve service level and sales quality.</w:t>
      </w:r>
    </w:p>
    <w:p w14:paraId="45D737B3" w14:textId="77777777" w:rsidR="00262222" w:rsidRPr="003F5679" w:rsidRDefault="00262222" w:rsidP="004E05C9"/>
    <w:p w14:paraId="60040331" w14:textId="268037F7" w:rsidR="004E05C9" w:rsidRPr="003F5679" w:rsidRDefault="004E05C9" w:rsidP="004E05C9">
      <w:pPr>
        <w:pStyle w:val="1"/>
      </w:pPr>
      <w:bookmarkStart w:id="8" w:name="_Toc193509726"/>
      <w:r w:rsidRPr="003F5679">
        <w:t xml:space="preserve">3.0 Microenvironment </w:t>
      </w:r>
      <w:r w:rsidR="00262222">
        <w:rPr>
          <w:rFonts w:hint="eastAsia"/>
        </w:rPr>
        <w:t>A</w:t>
      </w:r>
      <w:r w:rsidRPr="003F5679">
        <w:t>nalysis</w:t>
      </w:r>
      <w:bookmarkEnd w:id="8"/>
    </w:p>
    <w:p w14:paraId="14FB49FE" w14:textId="22DED989" w:rsidR="004E05C9" w:rsidRPr="003F5679" w:rsidRDefault="004E05C9" w:rsidP="004E05C9">
      <w:pPr>
        <w:pStyle w:val="TOC1"/>
      </w:pPr>
      <w:r w:rsidRPr="003F5679">
        <w:t xml:space="preserve">Porter </w:t>
      </w:r>
      <w:r w:rsidR="00262222">
        <w:rPr>
          <w:rFonts w:hint="eastAsia"/>
        </w:rPr>
        <w:t>F</w:t>
      </w:r>
      <w:r w:rsidRPr="003F5679">
        <w:t xml:space="preserve">ive </w:t>
      </w:r>
      <w:r w:rsidR="00262222">
        <w:rPr>
          <w:rFonts w:hint="eastAsia"/>
        </w:rPr>
        <w:t>F</w:t>
      </w:r>
      <w:r w:rsidRPr="003F5679">
        <w:t>orce model is a theoretical model that helps enterprises analyse market competition conditions and establish competitive advantages (Goyal, 2020). When using this model, avoid making the analysis too subjective and skewing the results</w:t>
      </w:r>
      <w:r w:rsidRPr="003F5679">
        <w:rPr>
          <w:rFonts w:hint="eastAsia"/>
        </w:rPr>
        <w:t xml:space="preserve"> </w:t>
      </w:r>
      <w:r w:rsidRPr="003F5679">
        <w:t>(Pangarkar and Prabhudesai, 2024)</w:t>
      </w:r>
      <w:r w:rsidRPr="003F5679">
        <w:rPr>
          <w:rFonts w:hint="eastAsia"/>
        </w:rPr>
        <w:t xml:space="preserve">. </w:t>
      </w:r>
    </w:p>
    <w:p w14:paraId="07524AED" w14:textId="77777777" w:rsidR="004E05C9" w:rsidRPr="003F5679" w:rsidRDefault="004E05C9" w:rsidP="004E05C9">
      <w:pPr>
        <w:pStyle w:val="2"/>
      </w:pPr>
      <w:bookmarkStart w:id="9" w:name="_Toc193509727"/>
      <w:r w:rsidRPr="003F5679">
        <w:t>3.1 Threat of New Entrants</w:t>
      </w:r>
      <w:bookmarkEnd w:id="9"/>
    </w:p>
    <w:p w14:paraId="7B111BAB" w14:textId="7D61B609" w:rsidR="004E05C9" w:rsidRPr="003F5679" w:rsidRDefault="004E05C9" w:rsidP="004E05C9">
      <w:pPr>
        <w:rPr>
          <w:kern w:val="2"/>
        </w:rPr>
      </w:pPr>
      <w:r w:rsidRPr="003F5679">
        <w:rPr>
          <w:kern w:val="2"/>
        </w:rPr>
        <w:t>The pizza industry has higher barriers to entry, which means new entrants pose less of a threat to Domino's.</w:t>
      </w:r>
      <w:r w:rsidRPr="003F5679">
        <w:rPr>
          <w:rFonts w:hint="eastAsia"/>
          <w:kern w:val="2"/>
        </w:rPr>
        <w:t xml:space="preserve"> </w:t>
      </w:r>
      <w:r w:rsidRPr="003F5679">
        <w:rPr>
          <w:kern w:val="2"/>
        </w:rPr>
        <w:t xml:space="preserve">Statista (2023) notes the popularity of </w:t>
      </w:r>
      <w:r w:rsidRPr="003F5679">
        <w:rPr>
          <w:kern w:val="2"/>
        </w:rPr>
        <w:lastRenderedPageBreak/>
        <w:t xml:space="preserve">supermarket frozen pizza brands like Tesco, ASDA, and Sainsbury's, reflecting intense competition. </w:t>
      </w:r>
      <w:r w:rsidR="00B558EB">
        <w:rPr>
          <w:kern w:val="2"/>
        </w:rPr>
        <w:t>Domino’s</w:t>
      </w:r>
      <w:r w:rsidRPr="003F5679">
        <w:rPr>
          <w:kern w:val="2"/>
        </w:rPr>
        <w:t xml:space="preserve"> competes with both pizza manufacturers and supermarkets offering pizza as a byproduct, yet its strong brand has helped it outperform rivals like Pizza Hut (Shikarwar, 2023). Stakeholders have also praised Domino's supply chain management (SULE </w:t>
      </w:r>
      <w:r w:rsidRPr="003F5679">
        <w:rPr>
          <w:i/>
          <w:iCs/>
          <w:kern w:val="2"/>
        </w:rPr>
        <w:t>et al.,</w:t>
      </w:r>
      <w:r w:rsidRPr="003F5679">
        <w:rPr>
          <w:kern w:val="2"/>
        </w:rPr>
        <w:t xml:space="preserve"> 2020), further solidifying its market position. These strengths mitigate the risk of new competitors disrupting its operations.</w:t>
      </w:r>
    </w:p>
    <w:p w14:paraId="5A5F6A74" w14:textId="77777777" w:rsidR="004E05C9" w:rsidRPr="003F5679" w:rsidRDefault="004E05C9" w:rsidP="004E05C9">
      <w:pPr>
        <w:pStyle w:val="2"/>
      </w:pPr>
      <w:bookmarkStart w:id="10" w:name="_Toc193509728"/>
      <w:r w:rsidRPr="003F5679">
        <w:t>3.2 Bargaining Power of Suppliers</w:t>
      </w:r>
      <w:bookmarkEnd w:id="10"/>
    </w:p>
    <w:p w14:paraId="1983BD62" w14:textId="77777777" w:rsidR="004E05C9" w:rsidRPr="003F5679" w:rsidRDefault="004E05C9" w:rsidP="004E05C9">
      <w:pPr>
        <w:pStyle w:val="TOC1"/>
      </w:pPr>
      <w:r w:rsidRPr="003F5679">
        <w:t>Bhatt and Singhi (2020) state that suppliers have limited bargaining power because no other business can generate as much revenue as Domino's, making Domino's a critical client they cannot afford to lose. Additionally, Domino's implements specific procedures and tools to mitigate human rights risks in its supply chain and provides training to specialized business partners (Domino, 2025</w:t>
      </w:r>
      <w:r w:rsidRPr="003F5679">
        <w:rPr>
          <w:rFonts w:hint="eastAsia"/>
        </w:rPr>
        <w:t>b</w:t>
      </w:r>
      <w:r w:rsidRPr="003F5679">
        <w:t>), showcasing its efforts to strengthen supplier relationships. These collaborative strategies, combined with Domino's strong brand appeal, have effectively reduced supplier bargaining power.</w:t>
      </w:r>
    </w:p>
    <w:p w14:paraId="6E0518E3" w14:textId="77777777" w:rsidR="004E05C9" w:rsidRPr="003F5679" w:rsidRDefault="004E05C9" w:rsidP="004E05C9">
      <w:pPr>
        <w:pStyle w:val="2"/>
      </w:pPr>
      <w:bookmarkStart w:id="11" w:name="_Toc193509729"/>
      <w:r w:rsidRPr="003F5679">
        <w:t>3.3 Bargaining Power of Buyers</w:t>
      </w:r>
      <w:bookmarkEnd w:id="11"/>
    </w:p>
    <w:p w14:paraId="5498B6D2" w14:textId="77777777" w:rsidR="004E05C9" w:rsidRPr="003F5679" w:rsidRDefault="004E05C9" w:rsidP="004E05C9">
      <w:pPr>
        <w:rPr>
          <w:kern w:val="2"/>
        </w:rPr>
      </w:pPr>
      <w:r w:rsidRPr="003F5679">
        <w:rPr>
          <w:kern w:val="2"/>
        </w:rPr>
        <w:t xml:space="preserve">Domino's customers have relatively high bargaining power, because </w:t>
      </w:r>
      <w:r w:rsidRPr="003F5679">
        <w:rPr>
          <w:kern w:val="2"/>
        </w:rPr>
        <w:lastRenderedPageBreak/>
        <w:t>Domino's main consumer group is young people, and these consumers are more price sensitive.</w:t>
      </w:r>
      <w:r w:rsidRPr="003F5679">
        <w:rPr>
          <w:rFonts w:hint="eastAsia"/>
          <w:kern w:val="2"/>
        </w:rPr>
        <w:t xml:space="preserve"> </w:t>
      </w:r>
      <w:r w:rsidRPr="003F5679">
        <w:rPr>
          <w:kern w:val="2"/>
        </w:rPr>
        <w:t xml:space="preserve">Domino's primary customer base is younger individuals aged 15 to 40, drawn by the convenience of fast food and the brand's digital expertise (KeeganEdwards, 2024). Saxena, Masand, and Barath (2022) highlight that income and education influence fast food choices, with affordability and convenience being key motivators for younger consumers, who have limited bargaining power due to their price sensitivity. </w:t>
      </w:r>
    </w:p>
    <w:p w14:paraId="01AA87F6" w14:textId="77777777" w:rsidR="004E05C9" w:rsidRPr="003F5679" w:rsidRDefault="004E05C9" w:rsidP="004E05C9">
      <w:pPr>
        <w:pStyle w:val="2"/>
      </w:pPr>
      <w:bookmarkStart w:id="12" w:name="_Toc193509730"/>
      <w:r w:rsidRPr="003F5679">
        <w:t xml:space="preserve">3.4 </w:t>
      </w:r>
      <w:bookmarkStart w:id="13" w:name="OLE_LINK1"/>
      <w:r w:rsidRPr="003F5679">
        <w:t>Threat of Substitutes</w:t>
      </w:r>
      <w:bookmarkEnd w:id="12"/>
      <w:bookmarkEnd w:id="13"/>
    </w:p>
    <w:p w14:paraId="062E8A8A" w14:textId="77777777" w:rsidR="004E05C9" w:rsidRPr="003F5679" w:rsidRDefault="004E05C9" w:rsidP="004E05C9">
      <w:pPr>
        <w:rPr>
          <w:kern w:val="2"/>
        </w:rPr>
      </w:pPr>
      <w:r w:rsidRPr="003F5679">
        <w:rPr>
          <w:kern w:val="2"/>
        </w:rPr>
        <w:t>Domino's substitutes are more of a threat, because consumers' dietary attitudes have changed.</w:t>
      </w:r>
      <w:r w:rsidRPr="003F5679">
        <w:rPr>
          <w:rFonts w:hint="eastAsia"/>
          <w:kern w:val="2"/>
        </w:rPr>
        <w:t xml:space="preserve"> </w:t>
      </w:r>
      <w:r w:rsidRPr="003F5679">
        <w:rPr>
          <w:kern w:val="2"/>
        </w:rPr>
        <w:t xml:space="preserve">Pizza competes with other fast-food categories in the UK, with chocolate (37%), chips (32%), and takeout pizza (31%) being the most popular junk food items, while hamburgers (18%) and French fries (16%) are less favoured (YouGov, 2022). This suggests some UK consumers view pizza as just another junk food option, potentially threatening Domino's market share. Additionally, 70% of UK consumers prioritize vegetables and dairy in their daily diets, reflecting a shift toward healthier, organic foods (YouGov, 2022). </w:t>
      </w:r>
      <w:r w:rsidRPr="003F5679">
        <w:rPr>
          <w:rFonts w:hint="eastAsia"/>
          <w:kern w:val="2"/>
        </w:rPr>
        <w:t>Thus</w:t>
      </w:r>
      <w:r w:rsidRPr="003F5679">
        <w:rPr>
          <w:kern w:val="2"/>
        </w:rPr>
        <w:t>, Domino's must strengthen brand loyalty and adapt its offerings to align with changing consumer preferences to maintain its market position.</w:t>
      </w:r>
    </w:p>
    <w:p w14:paraId="42857D04" w14:textId="77777777" w:rsidR="004E05C9" w:rsidRPr="003F5679" w:rsidRDefault="004E05C9" w:rsidP="004E05C9">
      <w:pPr>
        <w:pStyle w:val="2"/>
      </w:pPr>
      <w:bookmarkStart w:id="14" w:name="_Toc193509731"/>
      <w:r w:rsidRPr="003F5679">
        <w:lastRenderedPageBreak/>
        <w:t>3.5 Competitor Rivalry</w:t>
      </w:r>
      <w:bookmarkEnd w:id="14"/>
    </w:p>
    <w:p w14:paraId="1619EBB9" w14:textId="77777777" w:rsidR="004E05C9" w:rsidRPr="003F5679" w:rsidRDefault="004E05C9" w:rsidP="004E05C9">
      <w:pPr>
        <w:widowControl/>
        <w:rPr>
          <w:kern w:val="2"/>
        </w:rPr>
      </w:pPr>
      <w:r w:rsidRPr="003F5679">
        <w:rPr>
          <w:kern w:val="2"/>
        </w:rPr>
        <w:t xml:space="preserve">Fierce competition in the UK fast food industry will impact Domino's revenues. The fast-food market </w:t>
      </w:r>
      <w:r w:rsidRPr="003F5679">
        <w:rPr>
          <w:rFonts w:hint="eastAsia"/>
          <w:kern w:val="2"/>
        </w:rPr>
        <w:t xml:space="preserve">was </w:t>
      </w:r>
      <w:r w:rsidRPr="003F5679">
        <w:rPr>
          <w:kern w:val="2"/>
        </w:rPr>
        <w:t>reach</w:t>
      </w:r>
      <w:r w:rsidRPr="003F5679">
        <w:rPr>
          <w:rFonts w:hint="eastAsia"/>
          <w:kern w:val="2"/>
        </w:rPr>
        <w:t>ed</w:t>
      </w:r>
      <w:r w:rsidRPr="003F5679">
        <w:rPr>
          <w:kern w:val="2"/>
        </w:rPr>
        <w:t xml:space="preserve"> £37.9 billion by 2024 (Mintel, 2024), attracting potential competitors. The market is already saturated with established players like KFC, McDonald's, and Subway (Whittleton, 2021), intensifying competition. To enhance market competitiveness, Domino's must expand its product line and diversify revenue streams.</w:t>
      </w:r>
    </w:p>
    <w:p w14:paraId="7B74C443" w14:textId="77777777" w:rsidR="004E05C9" w:rsidRPr="003F5679" w:rsidRDefault="004E05C9" w:rsidP="004E05C9">
      <w:pPr>
        <w:widowControl/>
        <w:rPr>
          <w:kern w:val="2"/>
        </w:rPr>
      </w:pPr>
    </w:p>
    <w:p w14:paraId="499A370D" w14:textId="77777777" w:rsidR="004E05C9" w:rsidRDefault="004E05C9" w:rsidP="004E05C9">
      <w:pPr>
        <w:widowControl/>
        <w:rPr>
          <w:kern w:val="2"/>
        </w:rPr>
      </w:pPr>
      <w:r w:rsidRPr="003F5679">
        <w:rPr>
          <w:kern w:val="2"/>
        </w:rPr>
        <w:t>To sum up, the threat of new competitors entering the market is less, and the bargaining power of suppliers is lower. However, the bargaining power of consumers, the threat of substitutes and the market competition are relatively high</w:t>
      </w:r>
    </w:p>
    <w:p w14:paraId="4F4E6AF8" w14:textId="77777777" w:rsidR="00262222" w:rsidRPr="003F5679" w:rsidRDefault="00262222" w:rsidP="004E05C9">
      <w:pPr>
        <w:widowControl/>
        <w:rPr>
          <w:kern w:val="2"/>
        </w:rPr>
      </w:pPr>
    </w:p>
    <w:p w14:paraId="3C3EB92D" w14:textId="28CBE60C" w:rsidR="004E05C9" w:rsidRPr="003F5679" w:rsidRDefault="004E05C9" w:rsidP="004E05C9">
      <w:pPr>
        <w:pStyle w:val="1"/>
      </w:pPr>
      <w:bookmarkStart w:id="15" w:name="_Toc193509732"/>
      <w:r w:rsidRPr="003F5679">
        <w:t xml:space="preserve">4.0 Internal </w:t>
      </w:r>
      <w:r w:rsidR="00262222">
        <w:rPr>
          <w:rFonts w:hint="eastAsia"/>
        </w:rPr>
        <w:t>A</w:t>
      </w:r>
      <w:r w:rsidRPr="003F5679">
        <w:t>nalysis</w:t>
      </w:r>
      <w:bookmarkEnd w:id="15"/>
    </w:p>
    <w:p w14:paraId="4D52C9D0" w14:textId="70056E3D" w:rsidR="004E05C9" w:rsidRPr="003F5679" w:rsidRDefault="004E05C9" w:rsidP="004E05C9">
      <w:r w:rsidRPr="003F5679">
        <w:t xml:space="preserve">Porter's Value Chain, introduced by Michael Porter in 1985, is a framework that identifies the primary and </w:t>
      </w:r>
      <w:r w:rsidRPr="003F5679">
        <w:rPr>
          <w:rFonts w:hint="eastAsia"/>
        </w:rPr>
        <w:t>secondary</w:t>
      </w:r>
      <w:r w:rsidRPr="003F5679">
        <w:t xml:space="preserve"> activities within a company that create value for customers (Dubey </w:t>
      </w:r>
      <w:r w:rsidRPr="003F5679">
        <w:rPr>
          <w:i/>
          <w:iCs/>
        </w:rPr>
        <w:t>et al.</w:t>
      </w:r>
      <w:r w:rsidRPr="003F5679">
        <w:t xml:space="preserve">, </w:t>
      </w:r>
      <w:r w:rsidRPr="003F5679">
        <w:rPr>
          <w:rFonts w:hint="eastAsia"/>
        </w:rPr>
        <w:t>2020</w:t>
      </w:r>
      <w:r w:rsidRPr="003F5679">
        <w:t>).</w:t>
      </w:r>
      <w:r w:rsidRPr="003F5679">
        <w:rPr>
          <w:rFonts w:hint="eastAsia"/>
        </w:rPr>
        <w:t xml:space="preserve"> </w:t>
      </w:r>
      <w:r w:rsidRPr="003F5679">
        <w:t xml:space="preserve">By </w:t>
      </w:r>
      <w:r w:rsidRPr="003F5679">
        <w:rPr>
          <w:rFonts w:hint="eastAsia"/>
        </w:rPr>
        <w:t>using</w:t>
      </w:r>
      <w:r w:rsidRPr="003F5679">
        <w:t xml:space="preserve"> the</w:t>
      </w:r>
      <w:r w:rsidRPr="003F5679">
        <w:rPr>
          <w:rFonts w:hint="eastAsia"/>
        </w:rPr>
        <w:t xml:space="preserve"> model</w:t>
      </w:r>
      <w:r w:rsidRPr="003F5679">
        <w:t xml:space="preserve">, </w:t>
      </w:r>
      <w:r w:rsidR="00B558EB">
        <w:rPr>
          <w:rFonts w:hint="eastAsia"/>
        </w:rPr>
        <w:t>Domino</w:t>
      </w:r>
      <w:r w:rsidR="00B558EB">
        <w:t>’</w:t>
      </w:r>
      <w:r w:rsidR="00B558EB">
        <w:rPr>
          <w:rFonts w:hint="eastAsia"/>
        </w:rPr>
        <w:t>s</w:t>
      </w:r>
      <w:r w:rsidRPr="003F5679">
        <w:t xml:space="preserve"> can identify areas where it can improve efficiency, reduce costs, and enhance value creation.</w:t>
      </w:r>
    </w:p>
    <w:p w14:paraId="7C1521ED" w14:textId="5D2AD69F" w:rsidR="004E05C9" w:rsidRPr="003F5679" w:rsidRDefault="004E05C9" w:rsidP="004E05C9">
      <w:pPr>
        <w:pStyle w:val="2"/>
      </w:pPr>
      <w:bookmarkStart w:id="16" w:name="_Toc193509733"/>
      <w:r w:rsidRPr="003F5679">
        <w:rPr>
          <w:rFonts w:hint="eastAsia"/>
        </w:rPr>
        <w:lastRenderedPageBreak/>
        <w:t xml:space="preserve">4.1Primary </w:t>
      </w:r>
      <w:r w:rsidR="00755CA9">
        <w:rPr>
          <w:rFonts w:hint="eastAsia"/>
        </w:rPr>
        <w:t>A</w:t>
      </w:r>
      <w:r w:rsidRPr="003F5679">
        <w:rPr>
          <w:rFonts w:hint="eastAsia"/>
        </w:rPr>
        <w:t>ctivities</w:t>
      </w:r>
      <w:bookmarkEnd w:id="16"/>
    </w:p>
    <w:p w14:paraId="51C37A7B" w14:textId="3A5D5371" w:rsidR="004E05C9" w:rsidRPr="003F5679" w:rsidRDefault="004E05C9" w:rsidP="004E05C9">
      <w:r w:rsidRPr="003F5679">
        <w:t xml:space="preserve">The effective pizza preparation and delivery procedure is the foundation of </w:t>
      </w:r>
      <w:r w:rsidR="00B558EB">
        <w:rPr>
          <w:rFonts w:hint="eastAsia"/>
        </w:rPr>
        <w:t>Domino</w:t>
      </w:r>
      <w:r w:rsidR="00B558EB">
        <w:t>’</w:t>
      </w:r>
      <w:r w:rsidR="00B558EB">
        <w:rPr>
          <w:rFonts w:hint="eastAsia"/>
        </w:rPr>
        <w:t>s</w:t>
      </w:r>
      <w:r w:rsidRPr="003F5679">
        <w:t xml:space="preserve"> business operations. To improve the customer experience, </w:t>
      </w:r>
      <w:r w:rsidR="00B558EB">
        <w:rPr>
          <w:rFonts w:hint="eastAsia"/>
        </w:rPr>
        <w:t>Domino</w:t>
      </w:r>
      <w:r w:rsidR="00B558EB">
        <w:t>’</w:t>
      </w:r>
      <w:r w:rsidR="00B558EB">
        <w:rPr>
          <w:rFonts w:hint="eastAsia"/>
        </w:rPr>
        <w:t>s</w:t>
      </w:r>
      <w:r w:rsidRPr="003F5679">
        <w:t xml:space="preserve"> has made significant investments in technology, launching tools like Pizza Tracker and the PULSE ordering system (Groysberg, Abbott, and Seligson, 2021). </w:t>
      </w:r>
      <w:r w:rsidR="00B558EB">
        <w:rPr>
          <w:rFonts w:hint="eastAsia"/>
        </w:rPr>
        <w:t>Domino</w:t>
      </w:r>
      <w:r w:rsidR="00B558EB">
        <w:t>’</w:t>
      </w:r>
      <w:r w:rsidR="00B558EB">
        <w:rPr>
          <w:rFonts w:hint="eastAsia"/>
        </w:rPr>
        <w:t>s</w:t>
      </w:r>
      <w:r w:rsidRPr="003F5679">
        <w:t xml:space="preserve"> operational efficiency, order processing speed, and customer experience are all greatly enhanced by the PULSE technology, which offers customers an integrated ordering system, effective delivery route planning, and management capabilities (People &amp; Global Business Association</w:t>
      </w:r>
      <w:r w:rsidRPr="003F5679">
        <w:rPr>
          <w:i/>
          <w:iCs/>
        </w:rPr>
        <w:t xml:space="preserve"> et al.</w:t>
      </w:r>
      <w:r w:rsidRPr="003F5679">
        <w:t xml:space="preserve">, 2022). </w:t>
      </w:r>
      <w:r w:rsidRPr="003F5679">
        <w:rPr>
          <w:rFonts w:hint="eastAsia"/>
        </w:rPr>
        <w:t>I</w:t>
      </w:r>
      <w:r w:rsidRPr="003F5679">
        <w:t xml:space="preserve">t demonstrates </w:t>
      </w:r>
      <w:r w:rsidR="00B558EB">
        <w:rPr>
          <w:rFonts w:hint="eastAsia"/>
        </w:rPr>
        <w:t>Domino</w:t>
      </w:r>
      <w:r w:rsidR="00B558EB">
        <w:t>’</w:t>
      </w:r>
      <w:r w:rsidR="00B558EB">
        <w:rPr>
          <w:rFonts w:hint="eastAsia"/>
        </w:rPr>
        <w:t>s</w:t>
      </w:r>
      <w:r w:rsidRPr="003F5679">
        <w:t xml:space="preserve"> keen market awareness in recognising and promptly addressing manual shortcomings through technology, which can turn significant labour expenses into research and development expenditures and boost the business's competitiveness in the UK market.</w:t>
      </w:r>
    </w:p>
    <w:p w14:paraId="533EA46A" w14:textId="77777777" w:rsidR="004E05C9" w:rsidRPr="003F5679" w:rsidRDefault="004E05C9" w:rsidP="004E05C9"/>
    <w:p w14:paraId="25364748" w14:textId="1E742685" w:rsidR="004E05C9" w:rsidRPr="003F5679" w:rsidRDefault="00B558EB" w:rsidP="004E05C9">
      <w:r>
        <w:rPr>
          <w:rFonts w:hint="eastAsia"/>
        </w:rPr>
        <w:t>Domino</w:t>
      </w:r>
      <w:r>
        <w:t>’</w:t>
      </w:r>
      <w:r>
        <w:rPr>
          <w:rFonts w:hint="eastAsia"/>
        </w:rPr>
        <w:t>s</w:t>
      </w:r>
      <w:r w:rsidR="004E05C9" w:rsidRPr="003F5679">
        <w:t xml:space="preserve"> employs</w:t>
      </w:r>
      <w:bookmarkStart w:id="17" w:name="OLE_LINK4"/>
      <w:r w:rsidR="004E05C9" w:rsidRPr="003F5679">
        <w:t xml:space="preserve"> experience marketing</w:t>
      </w:r>
      <w:bookmarkEnd w:id="17"/>
      <w:r w:rsidR="004E05C9" w:rsidRPr="003F5679">
        <w:t xml:space="preserve"> to expand its client base and strengthen customer loyalty by creating unique and memorable customer interactions</w:t>
      </w:r>
      <w:r w:rsidR="004E05C9" w:rsidRPr="003F5679">
        <w:fldChar w:fldCharType="begin"/>
      </w:r>
      <w:r w:rsidR="004E05C9" w:rsidRPr="003F5679">
        <w:instrText xml:space="preserve"> ADDIN ZOTERO_ITEM CSL_CITATION {"citationID":"tkIf11C2","properties":{"formattedCitation":"(Suganda and Oktavia, 2021)","plainCitation":"(Suganda and Oktavia, 2021)","noteIndex":0},"citationItems":[{"id":156,"uris":["http://zotero.org/users/local/IyRzUUWA/items/I3EWSIA4"],"itemData":{"id":156,"type":"article-journal","abstract":"The business world continues to grow and creates increasingly fierce competition, encouraging every company to improve the quality of their products and services. Competition in the culinary field in particular, namely pizza restaurants, causes entrepreneurs to have the best and most appropriate strategy to consider the conditions that exist within the company. Every company should be able to create products and services that evoke unforgettable experiences. Experiential marketing is a relatively new marketing approach, which was presented to the marketing world through the book Experiential Marketing: How to Get Customers to Sense, Feel, Think, Act, and Relate to Your Company and Brands, by Schmitt. Schmitt stated that the essence of the concept of experiential marketing is marketing and management driven by unique, positive, and memorable experiences to consumers. Domino's Pizza is a company that is trying to implement this concept. The tight competition in the culinary field in particular restaurants, encouraging entrepreneur must have the most appropriate strategies to support the success of the company. One of them is the company should be able to create products and services that evoke an unforgettable experience, that is applying the strategies in named experiential marketing. In addition to the need for experiential marketing, generally high standards of service quality will result in higher satisfaction and will create a purchase more, or commonly called customer loyalty. The purpose of this research is to know the influence of experiential marketing and service quality against customer loyalty. Type of this research is descriptive and verified. The method used survey with individual analysis unit that is customer Domino’s Pizza at Cirebon city. The research method uses explanatory, descriptive and verification research models. Multiple Linear Regression Hypothesis Test.","language":"en","source":"Zotero","title":"The Effect of Experiential Marketing and Service Quality on Customer Loyalty of Domino's Pizza in Cirebon City","author":[{"family":"Suganda","given":"Uce Karna"},{"family":"Oktavia","given":"Putri"}],"issued":{"date-parts":[["2021"]]}}}],"schema":"https://github.com/citation-style-language/schema/raw/master/csl-citation.json"} </w:instrText>
      </w:r>
      <w:r w:rsidR="004E05C9" w:rsidRPr="003F5679">
        <w:fldChar w:fldCharType="separate"/>
      </w:r>
      <w:r w:rsidR="004E05C9" w:rsidRPr="003F5679">
        <w:t>(Suganda and Oktavia, 2021)</w:t>
      </w:r>
      <w:r w:rsidR="004E05C9" w:rsidRPr="003F5679">
        <w:fldChar w:fldCharType="end"/>
      </w:r>
      <w:r w:rsidR="004E05C9" w:rsidRPr="003F5679">
        <w:t xml:space="preserve">. A key feature is its open kitchen design, which allows customers to smell the aroma of pizza upon entry, observe the food preparation process, and ensure food quality. This approach not only enhances transparency but also fosters better communication between the store and customers, demonstrating that the </w:t>
      </w:r>
      <w:r w:rsidR="004E05C9" w:rsidRPr="003F5679">
        <w:lastRenderedPageBreak/>
        <w:t xml:space="preserve">business values their feedback. By offering such distinctive and engaging experiences, </w:t>
      </w:r>
      <w:r>
        <w:rPr>
          <w:rFonts w:hint="eastAsia"/>
        </w:rPr>
        <w:t>Domino</w:t>
      </w:r>
      <w:r>
        <w:t>’</w:t>
      </w:r>
      <w:r>
        <w:rPr>
          <w:rFonts w:hint="eastAsia"/>
        </w:rPr>
        <w:t>s</w:t>
      </w:r>
      <w:r w:rsidR="004E05C9" w:rsidRPr="003F5679">
        <w:t xml:space="preserve"> differentiates itself in a competitive market and boosts brand loyalty among consumers.</w:t>
      </w:r>
    </w:p>
    <w:p w14:paraId="2E5967A7" w14:textId="5E792E6E" w:rsidR="004E05C9" w:rsidRPr="003F5679" w:rsidRDefault="004E05C9" w:rsidP="004E05C9">
      <w:pPr>
        <w:pStyle w:val="2"/>
      </w:pPr>
      <w:bookmarkStart w:id="18" w:name="_Toc193509734"/>
      <w:r w:rsidRPr="003F5679">
        <w:rPr>
          <w:rFonts w:hint="eastAsia"/>
        </w:rPr>
        <w:t xml:space="preserve">4.2 Secondary </w:t>
      </w:r>
      <w:r w:rsidR="00755CA9">
        <w:rPr>
          <w:rFonts w:hint="eastAsia"/>
        </w:rPr>
        <w:t>A</w:t>
      </w:r>
      <w:r w:rsidRPr="003F5679">
        <w:rPr>
          <w:rFonts w:hint="eastAsia"/>
        </w:rPr>
        <w:t>ctivities</w:t>
      </w:r>
      <w:bookmarkEnd w:id="18"/>
    </w:p>
    <w:p w14:paraId="36EA4AFC" w14:textId="198B8D31" w:rsidR="004E05C9" w:rsidRPr="003F5679" w:rsidRDefault="00B558EB" w:rsidP="004E05C9">
      <w:r>
        <w:rPr>
          <w:rFonts w:hint="eastAsia"/>
        </w:rPr>
        <w:t>Domino</w:t>
      </w:r>
      <w:r>
        <w:t>’</w:t>
      </w:r>
      <w:r>
        <w:rPr>
          <w:rFonts w:hint="eastAsia"/>
        </w:rPr>
        <w:t>s</w:t>
      </w:r>
      <w:r w:rsidR="004E05C9" w:rsidRPr="003F5679">
        <w:t xml:space="preserve"> can streamline its supply chain, reduce costs, increase product quality, and boost brand image with the support of its sourcing strategy in the UK market. First</w:t>
      </w:r>
      <w:r w:rsidR="004E05C9" w:rsidRPr="003F5679">
        <w:rPr>
          <w:rFonts w:hint="eastAsia"/>
        </w:rPr>
        <w:t>ly</w:t>
      </w:r>
      <w:r w:rsidR="004E05C9" w:rsidRPr="003F5679">
        <w:t xml:space="preserve">, coordinated purchasing and long-term partnerships with UK suppliers allow </w:t>
      </w:r>
      <w:r>
        <w:rPr>
          <w:rFonts w:hint="eastAsia"/>
        </w:rPr>
        <w:t>Domino</w:t>
      </w:r>
      <w:r>
        <w:t>’</w:t>
      </w:r>
      <w:r>
        <w:rPr>
          <w:rFonts w:hint="eastAsia"/>
        </w:rPr>
        <w:t>s</w:t>
      </w:r>
      <w:r w:rsidR="004E05C9" w:rsidRPr="003F5679">
        <w:t xml:space="preserve"> to achieve economies of scale and lower unit prices (Lashkaripour and Lugovskyy, 2023). </w:t>
      </w:r>
      <w:r>
        <w:rPr>
          <w:rFonts w:hint="eastAsia"/>
        </w:rPr>
        <w:t>Domino</w:t>
      </w:r>
      <w:r>
        <w:t>’</w:t>
      </w:r>
      <w:r>
        <w:rPr>
          <w:rFonts w:hint="eastAsia"/>
        </w:rPr>
        <w:t>s</w:t>
      </w:r>
      <w:r w:rsidR="004E05C9" w:rsidRPr="003F5679">
        <w:t xml:space="preserve"> can maintain price competitiveness and draw in more customers thanks to this cost advantage. Additionally, </w:t>
      </w:r>
      <w:r>
        <w:rPr>
          <w:rFonts w:hint="eastAsia"/>
        </w:rPr>
        <w:t>Domino</w:t>
      </w:r>
      <w:r>
        <w:t>’</w:t>
      </w:r>
      <w:r>
        <w:rPr>
          <w:rFonts w:hint="eastAsia"/>
        </w:rPr>
        <w:t>s</w:t>
      </w:r>
      <w:r w:rsidR="004E05C9" w:rsidRPr="003F5679">
        <w:t xml:space="preserve"> can guarantee the reliability of its supply chain and lower the risk of supply disruptions by collaborating closely with its suppliers ('Full year results for the year ended 29 December 2024', 2024). This partnership also helps </w:t>
      </w:r>
      <w:r>
        <w:rPr>
          <w:rFonts w:hint="eastAsia"/>
        </w:rPr>
        <w:t>Domino</w:t>
      </w:r>
      <w:r>
        <w:t>’</w:t>
      </w:r>
      <w:r>
        <w:rPr>
          <w:rFonts w:hint="eastAsia"/>
        </w:rPr>
        <w:t>s</w:t>
      </w:r>
      <w:r w:rsidR="004E05C9" w:rsidRPr="003F5679">
        <w:t xml:space="preserve"> to get priority supply in case of emergencies and ensure business continuity. </w:t>
      </w:r>
      <w:r w:rsidR="004E05C9" w:rsidRPr="003F5679">
        <w:rPr>
          <w:rFonts w:hint="eastAsia"/>
        </w:rPr>
        <w:t>Thus</w:t>
      </w:r>
      <w:r w:rsidR="004E05C9" w:rsidRPr="003F5679">
        <w:t xml:space="preserve">, this sourcing strategy has helped </w:t>
      </w:r>
      <w:r>
        <w:rPr>
          <w:rFonts w:hint="eastAsia"/>
        </w:rPr>
        <w:t>Domino</w:t>
      </w:r>
      <w:r>
        <w:t>’</w:t>
      </w:r>
      <w:r>
        <w:rPr>
          <w:rFonts w:hint="eastAsia"/>
        </w:rPr>
        <w:t>s</w:t>
      </w:r>
      <w:r w:rsidR="004E05C9" w:rsidRPr="003F5679">
        <w:t xml:space="preserve"> maintain strong competitiveness and sustained economic growth in the UK market.</w:t>
      </w:r>
    </w:p>
    <w:p w14:paraId="554B6CCD" w14:textId="77777777" w:rsidR="004E05C9" w:rsidRPr="003F5679" w:rsidRDefault="004E05C9" w:rsidP="004E05C9"/>
    <w:p w14:paraId="4999EAB6" w14:textId="367DA901" w:rsidR="004E05C9" w:rsidRDefault="004E05C9" w:rsidP="004E05C9">
      <w:r w:rsidRPr="003F5679">
        <w:rPr>
          <w:rFonts w:hint="eastAsia"/>
        </w:rPr>
        <w:t xml:space="preserve">To conclude, </w:t>
      </w:r>
      <w:r w:rsidR="00B558EB">
        <w:t>Domino’s</w:t>
      </w:r>
      <w:r w:rsidRPr="003F5679">
        <w:t xml:space="preserve"> remains strongly competitive in the UK market by improving operational efficiency and customer loyalty through </w:t>
      </w:r>
      <w:r w:rsidRPr="003F5679">
        <w:lastRenderedPageBreak/>
        <w:t>technological innovation and experiential marketing, and by working closely with suppliers to optimise the supply chain, reduce costs and ensure product quality.</w:t>
      </w:r>
    </w:p>
    <w:p w14:paraId="45E2265B" w14:textId="77777777" w:rsidR="00262222" w:rsidRPr="003F5679" w:rsidRDefault="00262222" w:rsidP="004E05C9"/>
    <w:p w14:paraId="30CE13B9" w14:textId="1152A58A" w:rsidR="004E05C9" w:rsidRPr="003F5679" w:rsidRDefault="004E05C9" w:rsidP="004E05C9">
      <w:pPr>
        <w:pStyle w:val="1"/>
      </w:pPr>
      <w:bookmarkStart w:id="19" w:name="_Toc193509735"/>
      <w:r w:rsidRPr="003F5679">
        <w:t xml:space="preserve">5.0 SWOT </w:t>
      </w:r>
      <w:r w:rsidR="00262222">
        <w:rPr>
          <w:rFonts w:hint="eastAsia"/>
        </w:rPr>
        <w:t>A</w:t>
      </w:r>
      <w:r w:rsidRPr="003F5679">
        <w:t>nalysis</w:t>
      </w:r>
      <w:bookmarkEnd w:id="19"/>
    </w:p>
    <w:p w14:paraId="77E2C395" w14:textId="5C36779F" w:rsidR="00755CA9" w:rsidRPr="003F5679" w:rsidRDefault="004E05C9" w:rsidP="004E05C9">
      <w:r w:rsidRPr="003F5679">
        <w:t xml:space="preserve">The SWOT model, encompassing Strengths, Weaknesses, Opportunities, and Threats, is a strategic tool for analysing a company's internal and external market environment to facilitate strategic adjustments (Puyt, Lie, and Wilderom, 2023). Combining qualitative and quantitative analysis with SWOT enhances strategic decision-making (Benzaghta </w:t>
      </w:r>
      <w:r w:rsidRPr="003F5679">
        <w:rPr>
          <w:i/>
          <w:iCs/>
        </w:rPr>
        <w:t>et al.,</w:t>
      </w:r>
      <w:r w:rsidRPr="003F5679">
        <w:t xml:space="preserve"> 2021). However, the model has limitations, particularly in failing to clearly distinguish the relative importance of each factor, potentially leading to uneven resource allocation during strategy implementation.</w:t>
      </w:r>
    </w:p>
    <w:tbl>
      <w:tblPr>
        <w:tblStyle w:val="a7"/>
        <w:tblW w:w="10632" w:type="dxa"/>
        <w:tblInd w:w="-1139" w:type="dxa"/>
        <w:tblLook w:val="04A0" w:firstRow="1" w:lastRow="0" w:firstColumn="1" w:lastColumn="0" w:noHBand="0" w:noVBand="1"/>
      </w:tblPr>
      <w:tblGrid>
        <w:gridCol w:w="5287"/>
        <w:gridCol w:w="5345"/>
      </w:tblGrid>
      <w:tr w:rsidR="004E05C9" w:rsidRPr="00755CA9" w14:paraId="2E0AA27B" w14:textId="77777777" w:rsidTr="00BA4F3A">
        <w:trPr>
          <w:trHeight w:val="578"/>
        </w:trPr>
        <w:tc>
          <w:tcPr>
            <w:tcW w:w="5287" w:type="dxa"/>
          </w:tcPr>
          <w:p w14:paraId="1D478003" w14:textId="77777777" w:rsidR="004E05C9" w:rsidRPr="00755CA9" w:rsidRDefault="004E05C9" w:rsidP="00BA4F3A">
            <w:pPr>
              <w:widowControl/>
              <w:jc w:val="center"/>
              <w:rPr>
                <w:b/>
                <w:bCs/>
              </w:rPr>
            </w:pPr>
            <w:r w:rsidRPr="00755CA9">
              <w:rPr>
                <w:b/>
                <w:bCs/>
              </w:rPr>
              <w:t>S</w:t>
            </w:r>
            <w:r w:rsidRPr="00755CA9">
              <w:rPr>
                <w:rFonts w:hint="eastAsia"/>
                <w:b/>
                <w:bCs/>
              </w:rPr>
              <w:t>trengths</w:t>
            </w:r>
          </w:p>
        </w:tc>
        <w:tc>
          <w:tcPr>
            <w:tcW w:w="5345" w:type="dxa"/>
          </w:tcPr>
          <w:p w14:paraId="5B06C6EF" w14:textId="77777777" w:rsidR="004E05C9" w:rsidRPr="00755CA9" w:rsidRDefault="004E05C9" w:rsidP="00BA4F3A">
            <w:pPr>
              <w:widowControl/>
              <w:jc w:val="center"/>
            </w:pPr>
            <w:r w:rsidRPr="00755CA9">
              <w:rPr>
                <w:b/>
                <w:bCs/>
              </w:rPr>
              <w:t>W</w:t>
            </w:r>
            <w:r w:rsidRPr="00755CA9">
              <w:rPr>
                <w:rFonts w:hint="eastAsia"/>
                <w:b/>
                <w:bCs/>
              </w:rPr>
              <w:t>eakness</w:t>
            </w:r>
          </w:p>
        </w:tc>
      </w:tr>
      <w:tr w:rsidR="004E05C9" w:rsidRPr="00755CA9" w14:paraId="7FD2117B" w14:textId="77777777" w:rsidTr="00BA4F3A">
        <w:tc>
          <w:tcPr>
            <w:tcW w:w="5287" w:type="dxa"/>
          </w:tcPr>
          <w:p w14:paraId="6908127C" w14:textId="05BA5E3C" w:rsidR="004E05C9" w:rsidRPr="00755CA9" w:rsidRDefault="004E05C9" w:rsidP="00BA4F3A">
            <w:pPr>
              <w:widowControl/>
              <w:rPr>
                <w:sz w:val="24"/>
                <w:szCs w:val="24"/>
              </w:rPr>
            </w:pPr>
            <w:r w:rsidRPr="00755CA9">
              <w:rPr>
                <w:sz w:val="24"/>
                <w:szCs w:val="24"/>
              </w:rPr>
              <w:t>1. Brand advantage: Domino has a strong brand influence and high consumer loyalty in the UK market.</w:t>
            </w:r>
            <w:r w:rsidRPr="00755CA9">
              <w:rPr>
                <w:sz w:val="24"/>
                <w:szCs w:val="24"/>
              </w:rPr>
              <w:br/>
              <w:t>2. Supply chain management: Efficient supply chain management and long-term cooperation with suppliers to ensure stable product supply and cost control.</w:t>
            </w:r>
            <w:r w:rsidRPr="00755CA9">
              <w:rPr>
                <w:sz w:val="24"/>
                <w:szCs w:val="24"/>
              </w:rPr>
              <w:br/>
              <w:t>3. Technological innovations: PULSE Ordering system and Pizza Tracker improve operational efficiency and customer experience.</w:t>
            </w:r>
            <w:r w:rsidRPr="00755CA9">
              <w:rPr>
                <w:sz w:val="24"/>
                <w:szCs w:val="24"/>
              </w:rPr>
              <w:br/>
              <w:t>4. Environmental awareness: The use of recyclable packaging materials, in line with environmental requirements, establish a good brand image.</w:t>
            </w:r>
            <w:r w:rsidRPr="00755CA9">
              <w:rPr>
                <w:sz w:val="24"/>
                <w:szCs w:val="24"/>
              </w:rPr>
              <w:br/>
              <w:t>5. Marketing strategy: Through experiential marketing and open kitchen design, the interaction with consumers is enhanced and brand loyalty</w:t>
            </w:r>
            <w:r w:rsidR="00755CA9">
              <w:rPr>
                <w:rFonts w:hint="eastAsia"/>
                <w:sz w:val="24"/>
                <w:szCs w:val="24"/>
              </w:rPr>
              <w:t>.</w:t>
            </w:r>
          </w:p>
        </w:tc>
        <w:tc>
          <w:tcPr>
            <w:tcW w:w="5345" w:type="dxa"/>
          </w:tcPr>
          <w:p w14:paraId="75BA1C06" w14:textId="77777777" w:rsidR="004E05C9" w:rsidRPr="00755CA9" w:rsidRDefault="004E05C9" w:rsidP="00BA4F3A">
            <w:pPr>
              <w:widowControl/>
              <w:rPr>
                <w:sz w:val="24"/>
                <w:szCs w:val="24"/>
              </w:rPr>
            </w:pPr>
            <w:r w:rsidRPr="00755CA9">
              <w:rPr>
                <w:sz w:val="24"/>
                <w:szCs w:val="24"/>
              </w:rPr>
              <w:t>1. Rising Labour costs: The annual rise in Labour costs in the UK has added to the pressure on business.</w:t>
            </w:r>
            <w:r w:rsidRPr="00755CA9">
              <w:rPr>
                <w:sz w:val="24"/>
                <w:szCs w:val="24"/>
              </w:rPr>
              <w:br/>
              <w:t>2. Insufficient product innovation: Product innovation may be insufficient in the face of changing consumer tastes.</w:t>
            </w:r>
            <w:r w:rsidRPr="00755CA9">
              <w:rPr>
                <w:sz w:val="24"/>
                <w:szCs w:val="24"/>
              </w:rPr>
              <w:br/>
              <w:t>3. Relying on young consumers: The main customer group is young people aged 15-40, and as the population ages, it may face the risk of losing consumers.</w:t>
            </w:r>
          </w:p>
        </w:tc>
      </w:tr>
      <w:tr w:rsidR="004E05C9" w:rsidRPr="00755CA9" w14:paraId="791FAED7" w14:textId="77777777" w:rsidTr="00BA4F3A">
        <w:tc>
          <w:tcPr>
            <w:tcW w:w="5287" w:type="dxa"/>
          </w:tcPr>
          <w:p w14:paraId="38F58CE7" w14:textId="77777777" w:rsidR="004E05C9" w:rsidRPr="00755CA9" w:rsidRDefault="004E05C9" w:rsidP="00BA4F3A">
            <w:pPr>
              <w:widowControl/>
              <w:jc w:val="center"/>
              <w:rPr>
                <w:b/>
                <w:bCs/>
              </w:rPr>
            </w:pPr>
            <w:r w:rsidRPr="00755CA9">
              <w:rPr>
                <w:b/>
                <w:bCs/>
              </w:rPr>
              <w:lastRenderedPageBreak/>
              <w:t>O</w:t>
            </w:r>
            <w:r w:rsidRPr="00755CA9">
              <w:rPr>
                <w:rFonts w:hint="eastAsia"/>
                <w:b/>
                <w:bCs/>
              </w:rPr>
              <w:t>pportunities</w:t>
            </w:r>
          </w:p>
        </w:tc>
        <w:tc>
          <w:tcPr>
            <w:tcW w:w="5345" w:type="dxa"/>
          </w:tcPr>
          <w:p w14:paraId="3F2B3F14" w14:textId="77777777" w:rsidR="004E05C9" w:rsidRPr="00755CA9" w:rsidRDefault="004E05C9" w:rsidP="00BA4F3A">
            <w:pPr>
              <w:widowControl/>
              <w:jc w:val="center"/>
            </w:pPr>
            <w:r w:rsidRPr="00755CA9">
              <w:rPr>
                <w:b/>
                <w:bCs/>
              </w:rPr>
              <w:t>T</w:t>
            </w:r>
            <w:r w:rsidRPr="00755CA9">
              <w:rPr>
                <w:rFonts w:hint="eastAsia"/>
                <w:b/>
                <w:bCs/>
              </w:rPr>
              <w:t>reats</w:t>
            </w:r>
          </w:p>
        </w:tc>
      </w:tr>
      <w:tr w:rsidR="004E05C9" w:rsidRPr="00755CA9" w14:paraId="39DD3F52" w14:textId="77777777" w:rsidTr="00BA4F3A">
        <w:tc>
          <w:tcPr>
            <w:tcW w:w="5287" w:type="dxa"/>
          </w:tcPr>
          <w:p w14:paraId="4F83605F" w14:textId="77777777" w:rsidR="004E05C9" w:rsidRPr="00755CA9" w:rsidRDefault="004E05C9" w:rsidP="00BA4F3A">
            <w:pPr>
              <w:widowControl/>
              <w:rPr>
                <w:sz w:val="24"/>
                <w:szCs w:val="24"/>
              </w:rPr>
            </w:pPr>
            <w:r w:rsidRPr="00755CA9">
              <w:rPr>
                <w:sz w:val="24"/>
                <w:szCs w:val="24"/>
              </w:rPr>
              <w:t>1. Electronic payment and online ordering systems: Enhance customer experience and operational efficiency through technology.</w:t>
            </w:r>
            <w:r w:rsidRPr="00755CA9">
              <w:rPr>
                <w:sz w:val="24"/>
                <w:szCs w:val="24"/>
              </w:rPr>
              <w:br/>
              <w:t>2. Automated kitchen technology: reduce labour costs, improve production efficiency.</w:t>
            </w:r>
          </w:p>
          <w:p w14:paraId="7E14F67F" w14:textId="77777777" w:rsidR="004E05C9" w:rsidRPr="00755CA9" w:rsidRDefault="004E05C9" w:rsidP="00BA4F3A">
            <w:pPr>
              <w:widowControl/>
              <w:rPr>
                <w:sz w:val="24"/>
                <w:szCs w:val="24"/>
              </w:rPr>
            </w:pPr>
            <w:r w:rsidRPr="00755CA9">
              <w:rPr>
                <w:sz w:val="24"/>
                <w:szCs w:val="24"/>
              </w:rPr>
              <w:t>3. Healthy food trends: Launch more healthy, organic products to attract more consumers.</w:t>
            </w:r>
            <w:r w:rsidRPr="00755CA9">
              <w:rPr>
                <w:sz w:val="24"/>
                <w:szCs w:val="24"/>
              </w:rPr>
              <w:br/>
              <w:t>4. Market expansion: Increase market share by expanding product lines and adding new products.</w:t>
            </w:r>
          </w:p>
        </w:tc>
        <w:tc>
          <w:tcPr>
            <w:tcW w:w="5345" w:type="dxa"/>
          </w:tcPr>
          <w:p w14:paraId="05416C1D" w14:textId="77777777" w:rsidR="004E05C9" w:rsidRPr="00755CA9" w:rsidRDefault="004E05C9" w:rsidP="00BA4F3A">
            <w:pPr>
              <w:widowControl/>
              <w:rPr>
                <w:sz w:val="24"/>
                <w:szCs w:val="24"/>
              </w:rPr>
            </w:pPr>
            <w:r w:rsidRPr="00755CA9">
              <w:rPr>
                <w:sz w:val="24"/>
                <w:szCs w:val="24"/>
              </w:rPr>
              <w:t>1. Inflation: High inflation rates increase raw material and operating costs, limiting consumers' purchasing power.</w:t>
            </w:r>
            <w:r w:rsidRPr="00755CA9">
              <w:rPr>
                <w:sz w:val="24"/>
                <w:szCs w:val="24"/>
              </w:rPr>
              <w:br/>
              <w:t>2. Fierce market competition: Facing the competitive pressure from other fast-food brands (such as KFC, McDonald's, etc.).</w:t>
            </w:r>
            <w:r w:rsidRPr="00755CA9">
              <w:rPr>
                <w:sz w:val="24"/>
                <w:szCs w:val="24"/>
              </w:rPr>
              <w:br/>
              <w:t>3. Substitution threat: Increased consumer preference for healthier foods could reduce demand for fast food items such as pizza.</w:t>
            </w:r>
            <w:r w:rsidRPr="00755CA9">
              <w:rPr>
                <w:sz w:val="24"/>
                <w:szCs w:val="24"/>
              </w:rPr>
              <w:br/>
              <w:t>4. Legal and regulatory constraints: Labor protection laws and environmental regulations can increase operating costs and legal risks.</w:t>
            </w:r>
          </w:p>
        </w:tc>
      </w:tr>
    </w:tbl>
    <w:p w14:paraId="77D2FBC3" w14:textId="77777777" w:rsidR="004E05C9" w:rsidRPr="003F5679" w:rsidRDefault="004E05C9" w:rsidP="004E05C9">
      <w:pPr>
        <w:widowControl/>
        <w:jc w:val="left"/>
        <w:rPr>
          <w:b/>
          <w:bCs/>
          <w:sz w:val="32"/>
          <w:szCs w:val="32"/>
        </w:rPr>
      </w:pPr>
      <w:r w:rsidRPr="003F5679">
        <w:br w:type="page"/>
      </w:r>
    </w:p>
    <w:p w14:paraId="741152E9" w14:textId="77777777" w:rsidR="004E05C9" w:rsidRPr="003F5679" w:rsidRDefault="004E05C9" w:rsidP="004E05C9">
      <w:pPr>
        <w:pStyle w:val="1"/>
      </w:pPr>
      <w:bookmarkStart w:id="20" w:name="_Toc193509736"/>
      <w:r w:rsidRPr="003F5679">
        <w:rPr>
          <w:rFonts w:hint="eastAsia"/>
        </w:rPr>
        <w:lastRenderedPageBreak/>
        <w:t>6.0 Conclusion</w:t>
      </w:r>
      <w:bookmarkEnd w:id="20"/>
    </w:p>
    <w:p w14:paraId="57A6A436" w14:textId="77777777" w:rsidR="004E05C9" w:rsidRPr="003F5679" w:rsidRDefault="004E05C9" w:rsidP="004E05C9">
      <w:r w:rsidRPr="003F5679">
        <w:t xml:space="preserve">This report provides a comprehensive marketing audit of Domino's in the UK market, analysing both macro and micro-environmental factors using PESTEL, Porter’s Five Forces, and SWOT frameworks. It highlights Domino's strong brand loyalty, efficient supply chain, and technological innovations like the PULSE ordering system as key strengths. </w:t>
      </w:r>
    </w:p>
    <w:p w14:paraId="2EF6974A" w14:textId="77777777" w:rsidR="004E05C9" w:rsidRPr="003F5679" w:rsidRDefault="004E05C9" w:rsidP="004E05C9"/>
    <w:p w14:paraId="4516CC65" w14:textId="77777777" w:rsidR="004E05C9" w:rsidRPr="003F5679" w:rsidRDefault="004E05C9" w:rsidP="004E05C9">
      <w:r w:rsidRPr="003F5679">
        <w:t>However, rising labour costs, inflation, and intense competition pose significant challenges. Opportunities lie in leveraging e-payment systems, automated kitchens, and healthier food trends, while threats include shifting consumer preferences and regulatory constraints. The report concludes that Domino's must innovate and adapt to maintain its competitive edge in the evolving fast-food industry.</w:t>
      </w:r>
    </w:p>
    <w:p w14:paraId="16AC28B8" w14:textId="77777777" w:rsidR="004E05C9" w:rsidRPr="003F5679" w:rsidRDefault="004E05C9" w:rsidP="004E05C9">
      <w:pPr>
        <w:pStyle w:val="1"/>
        <w:rPr>
          <w:b w:val="0"/>
          <w:bCs w:val="0"/>
        </w:rPr>
      </w:pPr>
      <w:r w:rsidRPr="003F5679">
        <w:br w:type="page"/>
      </w:r>
    </w:p>
    <w:p w14:paraId="65A2CF24" w14:textId="018D52CD" w:rsidR="004E05C9" w:rsidRPr="003F5679" w:rsidRDefault="004E05C9" w:rsidP="004E05C9">
      <w:pPr>
        <w:pStyle w:val="1"/>
        <w:jc w:val="center"/>
      </w:pPr>
      <w:bookmarkStart w:id="21" w:name="_Toc193509737"/>
      <w:r w:rsidRPr="003F5679">
        <w:rPr>
          <w:rFonts w:hint="eastAsia"/>
        </w:rPr>
        <w:lastRenderedPageBreak/>
        <w:t>Reference</w:t>
      </w:r>
      <w:r w:rsidR="00262222">
        <w:rPr>
          <w:rFonts w:hint="eastAsia"/>
        </w:rPr>
        <w:t>s</w:t>
      </w:r>
      <w:bookmarkEnd w:id="21"/>
    </w:p>
    <w:p w14:paraId="31F1900A"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Amores, A.F. </w:t>
      </w:r>
      <w:r w:rsidRPr="003F5679">
        <w:rPr>
          <w:rFonts w:cstheme="minorBidi"/>
          <w:i/>
          <w:iCs/>
          <w:kern w:val="2"/>
          <w:sz w:val="24"/>
          <w:szCs w:val="22"/>
        </w:rPr>
        <w:t>et al.</w:t>
      </w:r>
      <w:r w:rsidRPr="003F5679">
        <w:rPr>
          <w:rFonts w:cstheme="minorBidi"/>
          <w:kern w:val="2"/>
          <w:sz w:val="24"/>
          <w:szCs w:val="22"/>
        </w:rPr>
        <w:t xml:space="preserve"> (2025) ‘Inflation, Fiscal Policy, and Inequality: The Impact of the Post‐Pandemic Price Surge and Fiscal Measures on European Households’, </w:t>
      </w:r>
      <w:r w:rsidRPr="003F5679">
        <w:rPr>
          <w:rFonts w:cstheme="minorBidi"/>
          <w:i/>
          <w:iCs/>
          <w:kern w:val="2"/>
          <w:sz w:val="24"/>
          <w:szCs w:val="22"/>
        </w:rPr>
        <w:t>Review of Income and Wealth</w:t>
      </w:r>
      <w:r w:rsidRPr="003F5679">
        <w:rPr>
          <w:rFonts w:cstheme="minorBidi"/>
          <w:kern w:val="2"/>
          <w:sz w:val="24"/>
          <w:szCs w:val="22"/>
        </w:rPr>
        <w:t xml:space="preserve">, 71(1), p. e12713. Available at: </w:t>
      </w:r>
      <w:hyperlink r:id="rId12" w:history="1">
        <w:r w:rsidRPr="003F5679">
          <w:rPr>
            <w:rStyle w:val="a8"/>
            <w:rFonts w:cstheme="minorBidi"/>
            <w:kern w:val="2"/>
            <w:sz w:val="24"/>
            <w:szCs w:val="22"/>
          </w:rPr>
          <w:t>https://doi.org/10.1111/roiw.12713</w:t>
        </w:r>
      </w:hyperlink>
      <w:r w:rsidRPr="003F5679">
        <w:rPr>
          <w:rFonts w:cstheme="minorBidi"/>
          <w:kern w:val="2"/>
          <w:sz w:val="24"/>
          <w:szCs w:val="22"/>
        </w:rPr>
        <w:t>.</w:t>
      </w:r>
    </w:p>
    <w:p w14:paraId="1B2FA20E" w14:textId="77777777" w:rsidR="004E05C9" w:rsidRPr="003F5679" w:rsidRDefault="004E05C9" w:rsidP="004E05C9">
      <w:pPr>
        <w:widowControl/>
        <w:jc w:val="left"/>
        <w:rPr>
          <w:rFonts w:cstheme="minorBidi"/>
          <w:kern w:val="2"/>
          <w:sz w:val="24"/>
          <w:szCs w:val="22"/>
        </w:rPr>
      </w:pPr>
    </w:p>
    <w:p w14:paraId="0D68C56F" w14:textId="77777777" w:rsidR="004E05C9" w:rsidRPr="00262222" w:rsidRDefault="004E05C9" w:rsidP="004E05C9">
      <w:pPr>
        <w:widowControl/>
        <w:jc w:val="left"/>
        <w:rPr>
          <w:rFonts w:cstheme="minorBidi"/>
          <w:kern w:val="2"/>
          <w:sz w:val="24"/>
          <w:szCs w:val="22"/>
          <w:lang w:val="fr-FR"/>
        </w:rPr>
      </w:pPr>
      <w:r w:rsidRPr="003F5679">
        <w:rPr>
          <w:rFonts w:cstheme="minorBidi"/>
          <w:kern w:val="2"/>
          <w:sz w:val="24"/>
          <w:szCs w:val="22"/>
        </w:rPr>
        <w:t xml:space="preserve">Barakazı, M. (2022) ‘The use of Robotics in the Kitchens of the Future: The example of Moley Robotics’, </w:t>
      </w:r>
      <w:r w:rsidRPr="003F5679">
        <w:rPr>
          <w:rFonts w:cstheme="minorBidi"/>
          <w:i/>
          <w:iCs/>
          <w:kern w:val="2"/>
          <w:sz w:val="24"/>
          <w:szCs w:val="22"/>
        </w:rPr>
        <w:t>Journal of Tourism and Gastronomy Studies</w:t>
      </w:r>
      <w:r w:rsidRPr="003F5679">
        <w:rPr>
          <w:rFonts w:cstheme="minorBidi"/>
          <w:kern w:val="2"/>
          <w:sz w:val="24"/>
          <w:szCs w:val="22"/>
        </w:rPr>
        <w:t xml:space="preserve">, p. 10. </w:t>
      </w:r>
      <w:r w:rsidRPr="00262222">
        <w:rPr>
          <w:rFonts w:cstheme="minorBidi"/>
          <w:kern w:val="2"/>
          <w:sz w:val="24"/>
          <w:szCs w:val="22"/>
          <w:lang w:val="fr-FR"/>
        </w:rPr>
        <w:t xml:space="preserve">Available at: </w:t>
      </w:r>
      <w:hyperlink r:id="rId13" w:history="1">
        <w:r w:rsidRPr="00262222">
          <w:rPr>
            <w:rStyle w:val="a8"/>
            <w:rFonts w:cstheme="minorBidi"/>
            <w:kern w:val="2"/>
            <w:sz w:val="24"/>
            <w:szCs w:val="22"/>
            <w:lang w:val="fr-FR"/>
          </w:rPr>
          <w:t>https://doi.org/10.21325/jotags.2022.1021</w:t>
        </w:r>
      </w:hyperlink>
      <w:r w:rsidRPr="00262222">
        <w:rPr>
          <w:rFonts w:cstheme="minorBidi"/>
          <w:kern w:val="2"/>
          <w:sz w:val="24"/>
          <w:szCs w:val="22"/>
          <w:lang w:val="fr-FR"/>
        </w:rPr>
        <w:t>.</w:t>
      </w:r>
    </w:p>
    <w:p w14:paraId="076AFEB5" w14:textId="77777777" w:rsidR="004E05C9" w:rsidRPr="00262222" w:rsidRDefault="004E05C9" w:rsidP="004E05C9">
      <w:pPr>
        <w:widowControl/>
        <w:jc w:val="left"/>
        <w:rPr>
          <w:rFonts w:cstheme="minorBidi"/>
          <w:kern w:val="2"/>
          <w:sz w:val="24"/>
          <w:szCs w:val="22"/>
          <w:lang w:val="fr-FR"/>
        </w:rPr>
      </w:pPr>
    </w:p>
    <w:p w14:paraId="2EBA0EE4" w14:textId="77777777" w:rsidR="004E05C9" w:rsidRPr="003F5679" w:rsidRDefault="004E05C9" w:rsidP="004E05C9">
      <w:pPr>
        <w:widowControl/>
        <w:jc w:val="left"/>
        <w:rPr>
          <w:rFonts w:cstheme="minorBidi"/>
          <w:kern w:val="2"/>
          <w:sz w:val="24"/>
          <w:szCs w:val="22"/>
        </w:rPr>
      </w:pPr>
      <w:r w:rsidRPr="00262222">
        <w:rPr>
          <w:rFonts w:cstheme="minorBidi"/>
          <w:kern w:val="2"/>
          <w:sz w:val="24"/>
          <w:szCs w:val="22"/>
          <w:lang w:val="fr-FR"/>
        </w:rPr>
        <w:t xml:space="preserve">Belcourt, M. </w:t>
      </w:r>
      <w:r w:rsidRPr="00262222">
        <w:rPr>
          <w:rFonts w:cstheme="minorBidi"/>
          <w:i/>
          <w:iCs/>
          <w:kern w:val="2"/>
          <w:sz w:val="24"/>
          <w:szCs w:val="22"/>
          <w:lang w:val="fr-FR"/>
        </w:rPr>
        <w:t>et al.</w:t>
      </w:r>
      <w:r w:rsidRPr="00262222">
        <w:rPr>
          <w:rFonts w:cstheme="minorBidi"/>
          <w:kern w:val="2"/>
          <w:sz w:val="24"/>
          <w:szCs w:val="22"/>
          <w:lang w:val="fr-FR"/>
        </w:rPr>
        <w:t xml:space="preserve"> </w:t>
      </w:r>
      <w:r w:rsidRPr="003F5679">
        <w:rPr>
          <w:rFonts w:cstheme="minorBidi"/>
          <w:kern w:val="2"/>
          <w:sz w:val="24"/>
          <w:szCs w:val="22"/>
        </w:rPr>
        <w:t xml:space="preserve">(2022) </w:t>
      </w:r>
      <w:r w:rsidRPr="003F5679">
        <w:rPr>
          <w:rFonts w:cstheme="minorBidi"/>
          <w:i/>
          <w:iCs/>
          <w:kern w:val="2"/>
          <w:sz w:val="24"/>
          <w:szCs w:val="22"/>
        </w:rPr>
        <w:t>Managing Human Resources 10CE</w:t>
      </w:r>
      <w:r w:rsidRPr="003F5679">
        <w:rPr>
          <w:rFonts w:cstheme="minorBidi"/>
          <w:kern w:val="2"/>
          <w:sz w:val="24"/>
          <w:szCs w:val="22"/>
        </w:rPr>
        <w:t>. Cengage Canada.</w:t>
      </w:r>
    </w:p>
    <w:p w14:paraId="32DA0FF4" w14:textId="77777777" w:rsidR="004E05C9" w:rsidRPr="003F5679" w:rsidRDefault="004E05C9" w:rsidP="004E05C9">
      <w:pPr>
        <w:widowControl/>
        <w:jc w:val="left"/>
        <w:rPr>
          <w:rFonts w:cstheme="minorBidi"/>
          <w:kern w:val="2"/>
          <w:sz w:val="24"/>
          <w:szCs w:val="22"/>
        </w:rPr>
      </w:pPr>
    </w:p>
    <w:p w14:paraId="72A2D649"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Benzaghta, M.A. </w:t>
      </w:r>
      <w:r w:rsidRPr="003F5679">
        <w:rPr>
          <w:rFonts w:cstheme="minorBidi"/>
          <w:i/>
          <w:iCs/>
          <w:kern w:val="2"/>
          <w:sz w:val="24"/>
          <w:szCs w:val="22"/>
        </w:rPr>
        <w:t>et al.</w:t>
      </w:r>
      <w:r w:rsidRPr="003F5679">
        <w:rPr>
          <w:rFonts w:cstheme="minorBidi"/>
          <w:kern w:val="2"/>
          <w:sz w:val="24"/>
          <w:szCs w:val="22"/>
        </w:rPr>
        <w:t xml:space="preserve"> (2021) ‘SWOT analysis applications: An integrative literature review’, </w:t>
      </w:r>
      <w:r w:rsidRPr="003F5679">
        <w:rPr>
          <w:rFonts w:cstheme="minorBidi"/>
          <w:i/>
          <w:iCs/>
          <w:kern w:val="2"/>
          <w:sz w:val="24"/>
          <w:szCs w:val="22"/>
        </w:rPr>
        <w:t>Journal of Global Business Insights</w:t>
      </w:r>
      <w:r w:rsidRPr="003F5679">
        <w:rPr>
          <w:rFonts w:cstheme="minorBidi"/>
          <w:kern w:val="2"/>
          <w:sz w:val="24"/>
          <w:szCs w:val="22"/>
        </w:rPr>
        <w:t>, 6(1), pp. 54–72.</w:t>
      </w:r>
    </w:p>
    <w:p w14:paraId="6C0395C5" w14:textId="77777777" w:rsidR="004E05C9" w:rsidRPr="003F5679" w:rsidRDefault="004E05C9" w:rsidP="004E05C9">
      <w:pPr>
        <w:widowControl/>
        <w:jc w:val="left"/>
        <w:rPr>
          <w:rFonts w:cstheme="minorBidi"/>
          <w:kern w:val="2"/>
          <w:sz w:val="24"/>
          <w:szCs w:val="22"/>
        </w:rPr>
      </w:pPr>
    </w:p>
    <w:p w14:paraId="60958C18" w14:textId="77777777" w:rsidR="004E05C9" w:rsidRPr="00262222" w:rsidRDefault="004E05C9" w:rsidP="004E05C9">
      <w:pPr>
        <w:widowControl/>
        <w:jc w:val="left"/>
        <w:rPr>
          <w:rFonts w:cstheme="minorBidi"/>
          <w:kern w:val="2"/>
          <w:sz w:val="24"/>
          <w:szCs w:val="22"/>
          <w:lang w:val="fr-FR"/>
        </w:rPr>
      </w:pPr>
      <w:r w:rsidRPr="003F5679">
        <w:rPr>
          <w:rFonts w:cstheme="minorBidi"/>
          <w:kern w:val="2"/>
          <w:sz w:val="24"/>
          <w:szCs w:val="22"/>
        </w:rPr>
        <w:t xml:space="preserve">Bhatt, I. and Singhi, R. (2020) ‘A New Framework To Revive Industries With The Help Of Advanced Technology Used As Marketing Tool’, </w:t>
      </w:r>
      <w:r w:rsidRPr="003F5679">
        <w:rPr>
          <w:rFonts w:cstheme="minorBidi"/>
          <w:i/>
          <w:iCs/>
          <w:kern w:val="2"/>
          <w:sz w:val="24"/>
          <w:szCs w:val="22"/>
        </w:rPr>
        <w:t>International Journal of Engineering Technology and Management Sciences</w:t>
      </w:r>
      <w:r w:rsidRPr="003F5679">
        <w:rPr>
          <w:rFonts w:cstheme="minorBidi"/>
          <w:kern w:val="2"/>
          <w:sz w:val="24"/>
          <w:szCs w:val="22"/>
        </w:rPr>
        <w:t xml:space="preserve">, 4(4), pp. 1–11. </w:t>
      </w:r>
      <w:r w:rsidRPr="00262222">
        <w:rPr>
          <w:rFonts w:cstheme="minorBidi"/>
          <w:kern w:val="2"/>
          <w:sz w:val="24"/>
          <w:szCs w:val="22"/>
          <w:lang w:val="fr-FR"/>
        </w:rPr>
        <w:t xml:space="preserve">Available at: </w:t>
      </w:r>
      <w:hyperlink r:id="rId14" w:history="1">
        <w:r w:rsidRPr="00262222">
          <w:rPr>
            <w:rStyle w:val="a8"/>
            <w:rFonts w:cstheme="minorBidi"/>
            <w:kern w:val="2"/>
            <w:sz w:val="24"/>
            <w:szCs w:val="22"/>
            <w:lang w:val="fr-FR"/>
          </w:rPr>
          <w:t>https://doi.org/10.46647/ijetms.2020.v04i04.001</w:t>
        </w:r>
      </w:hyperlink>
      <w:r w:rsidRPr="00262222">
        <w:rPr>
          <w:rFonts w:cstheme="minorBidi"/>
          <w:kern w:val="2"/>
          <w:sz w:val="24"/>
          <w:szCs w:val="22"/>
          <w:lang w:val="fr-FR"/>
        </w:rPr>
        <w:t>.</w:t>
      </w:r>
    </w:p>
    <w:p w14:paraId="642C535A" w14:textId="77777777" w:rsidR="004E05C9" w:rsidRPr="00262222" w:rsidRDefault="004E05C9" w:rsidP="004E05C9">
      <w:pPr>
        <w:widowControl/>
        <w:jc w:val="left"/>
        <w:rPr>
          <w:rFonts w:cstheme="minorBidi"/>
          <w:kern w:val="2"/>
          <w:sz w:val="24"/>
          <w:szCs w:val="22"/>
          <w:lang w:val="fr-FR"/>
        </w:rPr>
      </w:pPr>
    </w:p>
    <w:p w14:paraId="13868D59" w14:textId="77777777" w:rsidR="004E05C9" w:rsidRPr="003F5679" w:rsidRDefault="004E05C9" w:rsidP="004E05C9">
      <w:pPr>
        <w:widowControl/>
        <w:jc w:val="left"/>
        <w:rPr>
          <w:rFonts w:cstheme="minorBidi"/>
          <w:kern w:val="2"/>
          <w:sz w:val="24"/>
          <w:szCs w:val="22"/>
        </w:rPr>
      </w:pPr>
      <w:r w:rsidRPr="00262222">
        <w:rPr>
          <w:rFonts w:cstheme="minorBidi"/>
          <w:kern w:val="2"/>
          <w:sz w:val="24"/>
          <w:szCs w:val="22"/>
          <w:lang w:val="fr-FR"/>
        </w:rPr>
        <w:t xml:space="preserve">Breinlich, H. </w:t>
      </w:r>
      <w:r w:rsidRPr="00262222">
        <w:rPr>
          <w:rFonts w:cstheme="minorBidi"/>
          <w:i/>
          <w:iCs/>
          <w:kern w:val="2"/>
          <w:sz w:val="24"/>
          <w:szCs w:val="22"/>
          <w:lang w:val="fr-FR"/>
        </w:rPr>
        <w:t>et al.</w:t>
      </w:r>
      <w:r w:rsidRPr="00262222">
        <w:rPr>
          <w:rFonts w:cstheme="minorBidi"/>
          <w:kern w:val="2"/>
          <w:sz w:val="24"/>
          <w:szCs w:val="22"/>
          <w:lang w:val="fr-FR"/>
        </w:rPr>
        <w:t xml:space="preserve"> </w:t>
      </w:r>
      <w:r w:rsidRPr="003F5679">
        <w:rPr>
          <w:rFonts w:cstheme="minorBidi"/>
          <w:kern w:val="2"/>
          <w:sz w:val="24"/>
          <w:szCs w:val="22"/>
        </w:rPr>
        <w:t xml:space="preserve">(2022) ‘THE BREXIT VOTE, INFLATION AND U.K. LIVING STANDARDS’, </w:t>
      </w:r>
      <w:r w:rsidRPr="003F5679">
        <w:rPr>
          <w:rFonts w:cstheme="minorBidi"/>
          <w:i/>
          <w:iCs/>
          <w:kern w:val="2"/>
          <w:sz w:val="24"/>
          <w:szCs w:val="22"/>
        </w:rPr>
        <w:t>International Economic Review</w:t>
      </w:r>
      <w:r w:rsidRPr="003F5679">
        <w:rPr>
          <w:rFonts w:cstheme="minorBidi"/>
          <w:kern w:val="2"/>
          <w:sz w:val="24"/>
          <w:szCs w:val="22"/>
        </w:rPr>
        <w:t xml:space="preserve">, 63(1), pp. 63–93. Available at: </w:t>
      </w:r>
      <w:hyperlink r:id="rId15" w:history="1">
        <w:r w:rsidRPr="003F5679">
          <w:rPr>
            <w:rStyle w:val="a8"/>
            <w:rFonts w:cstheme="minorBidi"/>
            <w:kern w:val="2"/>
            <w:sz w:val="24"/>
            <w:szCs w:val="22"/>
          </w:rPr>
          <w:t>https://doi.org/10.1111/iere.12541</w:t>
        </w:r>
      </w:hyperlink>
      <w:r w:rsidRPr="003F5679">
        <w:rPr>
          <w:rFonts w:cstheme="minorBidi"/>
          <w:kern w:val="2"/>
          <w:sz w:val="24"/>
          <w:szCs w:val="22"/>
        </w:rPr>
        <w:t>.</w:t>
      </w:r>
    </w:p>
    <w:p w14:paraId="2BE94728" w14:textId="77777777" w:rsidR="004E05C9" w:rsidRPr="003F5679" w:rsidRDefault="004E05C9" w:rsidP="004E05C9">
      <w:pPr>
        <w:widowControl/>
        <w:jc w:val="left"/>
        <w:rPr>
          <w:rFonts w:cstheme="minorBidi"/>
          <w:kern w:val="2"/>
          <w:sz w:val="24"/>
          <w:szCs w:val="22"/>
        </w:rPr>
      </w:pPr>
    </w:p>
    <w:p w14:paraId="2F5B895F"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Butzlaff, F. (2025) ‘Creating new participatory linkages? Political parties and democratisation in Germany, Austria, and the UK’, </w:t>
      </w:r>
      <w:r w:rsidRPr="003F5679">
        <w:rPr>
          <w:rFonts w:cstheme="minorBidi"/>
          <w:i/>
          <w:iCs/>
          <w:kern w:val="2"/>
          <w:sz w:val="24"/>
          <w:szCs w:val="22"/>
        </w:rPr>
        <w:t>Party Politics</w:t>
      </w:r>
      <w:r w:rsidRPr="003F5679">
        <w:rPr>
          <w:rFonts w:cstheme="minorBidi"/>
          <w:kern w:val="2"/>
          <w:sz w:val="24"/>
          <w:szCs w:val="22"/>
        </w:rPr>
        <w:t xml:space="preserve">, 31(2), pp. 217–227. Available at: </w:t>
      </w:r>
      <w:hyperlink r:id="rId16" w:history="1">
        <w:r w:rsidRPr="003F5679">
          <w:rPr>
            <w:rStyle w:val="a8"/>
            <w:rFonts w:cstheme="minorBidi"/>
            <w:kern w:val="2"/>
            <w:sz w:val="24"/>
            <w:szCs w:val="22"/>
          </w:rPr>
          <w:t>https://doi.org/10.1177/13540688241306727</w:t>
        </w:r>
      </w:hyperlink>
      <w:r w:rsidRPr="003F5679">
        <w:rPr>
          <w:rFonts w:cstheme="minorBidi"/>
          <w:kern w:val="2"/>
          <w:sz w:val="24"/>
          <w:szCs w:val="22"/>
        </w:rPr>
        <w:t>.</w:t>
      </w:r>
    </w:p>
    <w:p w14:paraId="65B1D20F" w14:textId="77777777" w:rsidR="004E05C9" w:rsidRPr="003F5679" w:rsidRDefault="004E05C9" w:rsidP="004E05C9">
      <w:pPr>
        <w:widowControl/>
        <w:jc w:val="left"/>
        <w:rPr>
          <w:rFonts w:cstheme="minorBidi"/>
          <w:kern w:val="2"/>
          <w:sz w:val="24"/>
          <w:szCs w:val="22"/>
        </w:rPr>
      </w:pPr>
    </w:p>
    <w:p w14:paraId="71D46D67"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Buye, R. (2021) ‘Critical examination of the PES℡ Analysis Model’, </w:t>
      </w:r>
      <w:r w:rsidRPr="003F5679">
        <w:rPr>
          <w:rFonts w:cstheme="minorBidi"/>
          <w:i/>
          <w:iCs/>
          <w:kern w:val="2"/>
          <w:sz w:val="24"/>
          <w:szCs w:val="22"/>
        </w:rPr>
        <w:t>Project: Action Research for Development</w:t>
      </w:r>
      <w:r w:rsidRPr="003F5679">
        <w:rPr>
          <w:rFonts w:cstheme="minorBidi"/>
          <w:kern w:val="2"/>
          <w:sz w:val="24"/>
          <w:szCs w:val="22"/>
        </w:rPr>
        <w:t xml:space="preserve"> [Preprint]. Available at: </w:t>
      </w:r>
      <w:hyperlink r:id="rId17" w:history="1">
        <w:r w:rsidRPr="003F5679">
          <w:rPr>
            <w:rStyle w:val="a8"/>
            <w:rFonts w:cstheme="minorBidi"/>
            <w:kern w:val="2"/>
            <w:sz w:val="24"/>
            <w:szCs w:val="22"/>
          </w:rPr>
          <w:t>https://www.researchgate.net/profile/Ronald-Buye/publication/349506325_Critical_examination_of_the_PESTEL_Analysis_Model/links/6093f3fd92851c490fbd6e7e/Critical-examination-of-the-PESTEL-Analysis-Model</w:t>
        </w:r>
      </w:hyperlink>
      <w:r w:rsidRPr="003F5679">
        <w:rPr>
          <w:rFonts w:cstheme="minorBidi"/>
          <w:kern w:val="2"/>
          <w:sz w:val="24"/>
          <w:szCs w:val="22"/>
        </w:rPr>
        <w:t xml:space="preserve"> (Accessed: 14 March 2025).</w:t>
      </w:r>
    </w:p>
    <w:p w14:paraId="7D75EE18" w14:textId="77777777" w:rsidR="004E05C9" w:rsidRPr="003F5679" w:rsidRDefault="004E05C9" w:rsidP="004E05C9">
      <w:pPr>
        <w:widowControl/>
        <w:jc w:val="left"/>
        <w:rPr>
          <w:rFonts w:cstheme="minorBidi"/>
          <w:kern w:val="2"/>
          <w:sz w:val="24"/>
          <w:szCs w:val="22"/>
        </w:rPr>
      </w:pPr>
    </w:p>
    <w:p w14:paraId="303BFB4B"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Cha, E., Forlizzi, J. and Srinivasa, S.S. (2015) ‘Robots in the Home: Qualitative and Quantitative Insights into Kitchen Organization’, in </w:t>
      </w:r>
      <w:r w:rsidRPr="003F5679">
        <w:rPr>
          <w:rFonts w:cstheme="minorBidi"/>
          <w:i/>
          <w:iCs/>
          <w:kern w:val="2"/>
          <w:sz w:val="24"/>
          <w:szCs w:val="22"/>
        </w:rPr>
        <w:t>Proceedings of the Tenth Annual ACM/IEEE International Conference on Human-Robot Interaction</w:t>
      </w:r>
      <w:r w:rsidRPr="003F5679">
        <w:rPr>
          <w:rFonts w:cstheme="minorBidi"/>
          <w:kern w:val="2"/>
          <w:sz w:val="24"/>
          <w:szCs w:val="22"/>
        </w:rPr>
        <w:t xml:space="preserve">. </w:t>
      </w:r>
      <w:r w:rsidRPr="003F5679">
        <w:rPr>
          <w:rFonts w:cstheme="minorBidi"/>
          <w:i/>
          <w:iCs/>
          <w:kern w:val="2"/>
          <w:sz w:val="24"/>
          <w:szCs w:val="22"/>
        </w:rPr>
        <w:t>HRI ’15: ACM/IEEE International Conference on Human-Robot Interaction</w:t>
      </w:r>
      <w:r w:rsidRPr="003F5679">
        <w:rPr>
          <w:rFonts w:cstheme="minorBidi"/>
          <w:kern w:val="2"/>
          <w:sz w:val="24"/>
          <w:szCs w:val="22"/>
        </w:rPr>
        <w:t xml:space="preserve">, Portland Oregon USA: ACM, pp. 319–326. Available at: </w:t>
      </w:r>
      <w:hyperlink r:id="rId18" w:history="1">
        <w:r w:rsidRPr="003F5679">
          <w:rPr>
            <w:rStyle w:val="a8"/>
            <w:rFonts w:cstheme="minorBidi"/>
            <w:kern w:val="2"/>
            <w:sz w:val="24"/>
            <w:szCs w:val="22"/>
          </w:rPr>
          <w:t>https://doi.org/10.1145/2696454.2696465</w:t>
        </w:r>
      </w:hyperlink>
      <w:r w:rsidRPr="003F5679">
        <w:rPr>
          <w:rFonts w:cstheme="minorBidi"/>
          <w:kern w:val="2"/>
          <w:sz w:val="24"/>
          <w:szCs w:val="22"/>
        </w:rPr>
        <w:t>.</w:t>
      </w:r>
    </w:p>
    <w:p w14:paraId="0824275E"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Domino’s (2025a) </w:t>
      </w:r>
      <w:r w:rsidRPr="003F5679">
        <w:rPr>
          <w:rFonts w:cstheme="minorBidi"/>
          <w:i/>
          <w:iCs/>
          <w:kern w:val="2"/>
          <w:sz w:val="24"/>
          <w:szCs w:val="22"/>
        </w:rPr>
        <w:t>Connecting Source to Slice</w:t>
      </w:r>
      <w:r w:rsidRPr="003F5679">
        <w:rPr>
          <w:rFonts w:cstheme="minorBidi"/>
          <w:kern w:val="2"/>
          <w:sz w:val="24"/>
          <w:szCs w:val="22"/>
        </w:rPr>
        <w:t xml:space="preserve">. Available at: </w:t>
      </w:r>
      <w:hyperlink r:id="rId19" w:history="1">
        <w:r w:rsidRPr="003F5679">
          <w:rPr>
            <w:rStyle w:val="a8"/>
            <w:rFonts w:cstheme="minorBidi"/>
            <w:kern w:val="2"/>
            <w:sz w:val="24"/>
            <w:szCs w:val="22"/>
          </w:rPr>
          <w:t>https://corporate.dominos.co.uk/sustainability/our-sourcing</w:t>
        </w:r>
      </w:hyperlink>
      <w:r w:rsidRPr="003F5679">
        <w:rPr>
          <w:rFonts w:cstheme="minorBidi"/>
          <w:kern w:val="2"/>
          <w:sz w:val="24"/>
          <w:szCs w:val="22"/>
        </w:rPr>
        <w:t xml:space="preserve"> (Accessed: 14 March 2025).</w:t>
      </w:r>
    </w:p>
    <w:p w14:paraId="6E0700AF" w14:textId="77777777" w:rsidR="004E05C9" w:rsidRPr="003F5679" w:rsidRDefault="004E05C9" w:rsidP="004E05C9">
      <w:pPr>
        <w:widowControl/>
        <w:jc w:val="left"/>
        <w:rPr>
          <w:rFonts w:cstheme="minorBidi"/>
          <w:kern w:val="2"/>
          <w:sz w:val="24"/>
          <w:szCs w:val="22"/>
        </w:rPr>
      </w:pPr>
    </w:p>
    <w:p w14:paraId="1DB23AFA"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lastRenderedPageBreak/>
        <w:t xml:space="preserve">Domino’s (2025b) </w:t>
      </w:r>
      <w:r w:rsidRPr="003F5679">
        <w:rPr>
          <w:rFonts w:cstheme="minorBidi"/>
          <w:i/>
          <w:iCs/>
          <w:kern w:val="2"/>
          <w:sz w:val="24"/>
          <w:szCs w:val="22"/>
        </w:rPr>
        <w:t>OUR STORY</w:t>
      </w:r>
      <w:r w:rsidRPr="003F5679">
        <w:rPr>
          <w:rFonts w:cstheme="minorBidi"/>
          <w:kern w:val="2"/>
          <w:sz w:val="24"/>
          <w:szCs w:val="22"/>
        </w:rPr>
        <w:t xml:space="preserve">. Available at: </w:t>
      </w:r>
      <w:hyperlink r:id="rId20" w:history="1">
        <w:r w:rsidRPr="003F5679">
          <w:rPr>
            <w:rStyle w:val="a8"/>
            <w:rFonts w:cstheme="minorBidi"/>
            <w:kern w:val="2"/>
            <w:sz w:val="24"/>
            <w:szCs w:val="22"/>
          </w:rPr>
          <w:t>https://corporate.dominos.co.uk/about-us/our-story</w:t>
        </w:r>
      </w:hyperlink>
      <w:r w:rsidRPr="003F5679">
        <w:rPr>
          <w:rFonts w:cstheme="minorBidi"/>
          <w:kern w:val="2"/>
          <w:sz w:val="24"/>
          <w:szCs w:val="22"/>
        </w:rPr>
        <w:t xml:space="preserve"> (Accessed: 14 March 2025).</w:t>
      </w:r>
    </w:p>
    <w:p w14:paraId="598D56F8" w14:textId="77777777" w:rsidR="004E05C9" w:rsidRPr="003F5679" w:rsidRDefault="004E05C9" w:rsidP="004E05C9">
      <w:pPr>
        <w:widowControl/>
        <w:jc w:val="left"/>
        <w:rPr>
          <w:rFonts w:cstheme="minorBidi"/>
          <w:kern w:val="2"/>
          <w:sz w:val="24"/>
          <w:szCs w:val="22"/>
        </w:rPr>
      </w:pPr>
    </w:p>
    <w:p w14:paraId="1E4E533E" w14:textId="77777777" w:rsidR="004E05C9" w:rsidRPr="003F5679" w:rsidRDefault="004E05C9" w:rsidP="004E05C9">
      <w:pPr>
        <w:widowControl/>
        <w:jc w:val="left"/>
        <w:rPr>
          <w:rFonts w:cstheme="minorBidi"/>
          <w:kern w:val="2"/>
          <w:sz w:val="24"/>
          <w:szCs w:val="22"/>
        </w:rPr>
      </w:pPr>
      <w:r w:rsidRPr="00262222">
        <w:rPr>
          <w:rFonts w:cstheme="minorBidi"/>
          <w:kern w:val="2"/>
          <w:sz w:val="24"/>
          <w:szCs w:val="22"/>
          <w:lang w:val="fr-FR"/>
        </w:rPr>
        <w:t xml:space="preserve">Dubey, S.K. </w:t>
      </w:r>
      <w:r w:rsidRPr="00262222">
        <w:rPr>
          <w:rFonts w:cstheme="minorBidi"/>
          <w:i/>
          <w:iCs/>
          <w:kern w:val="2"/>
          <w:sz w:val="24"/>
          <w:szCs w:val="22"/>
          <w:lang w:val="fr-FR"/>
        </w:rPr>
        <w:t>et al.</w:t>
      </w:r>
      <w:r w:rsidRPr="00262222">
        <w:rPr>
          <w:rFonts w:cstheme="minorBidi"/>
          <w:kern w:val="2"/>
          <w:sz w:val="24"/>
          <w:szCs w:val="22"/>
          <w:lang w:val="fr-FR"/>
        </w:rPr>
        <w:t xml:space="preserve"> </w:t>
      </w:r>
      <w:r w:rsidRPr="003F5679">
        <w:rPr>
          <w:rFonts w:cstheme="minorBidi"/>
          <w:kern w:val="2"/>
          <w:sz w:val="24"/>
          <w:szCs w:val="22"/>
        </w:rPr>
        <w:t>(2020) ‘A BRIEF STUDY OF VALUE CHAIN AND SUPPLY CHAIN’.</w:t>
      </w:r>
    </w:p>
    <w:p w14:paraId="3DDC419F" w14:textId="77777777" w:rsidR="004E05C9" w:rsidRPr="003F5679" w:rsidRDefault="004E05C9" w:rsidP="004E05C9">
      <w:pPr>
        <w:widowControl/>
        <w:jc w:val="left"/>
        <w:rPr>
          <w:rFonts w:cstheme="minorBidi"/>
          <w:kern w:val="2"/>
          <w:sz w:val="24"/>
          <w:szCs w:val="22"/>
        </w:rPr>
      </w:pPr>
    </w:p>
    <w:p w14:paraId="45CE5145"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‘Full year results for the year ended 29 December 2024’ (2024).</w:t>
      </w:r>
    </w:p>
    <w:p w14:paraId="17109C1C" w14:textId="77777777" w:rsidR="004E05C9" w:rsidRPr="003F5679" w:rsidRDefault="004E05C9" w:rsidP="004E05C9">
      <w:pPr>
        <w:widowControl/>
        <w:jc w:val="left"/>
        <w:rPr>
          <w:rFonts w:cstheme="minorBidi"/>
          <w:kern w:val="2"/>
          <w:sz w:val="24"/>
          <w:szCs w:val="22"/>
        </w:rPr>
      </w:pPr>
    </w:p>
    <w:p w14:paraId="7341A20E"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Ghelani, D. and Hua, T.K. (2022) ‘A Perspective Review on Online Food Shop Management System and Impacts on Business’, </w:t>
      </w:r>
      <w:r w:rsidRPr="003F5679">
        <w:rPr>
          <w:rFonts w:cstheme="minorBidi"/>
          <w:i/>
          <w:iCs/>
          <w:kern w:val="2"/>
          <w:sz w:val="24"/>
          <w:szCs w:val="22"/>
        </w:rPr>
        <w:t>Advances in Wireless Communications and Networks</w:t>
      </w:r>
      <w:r w:rsidRPr="003F5679">
        <w:rPr>
          <w:rFonts w:cstheme="minorBidi"/>
          <w:kern w:val="2"/>
          <w:sz w:val="24"/>
          <w:szCs w:val="22"/>
        </w:rPr>
        <w:t>, 8(1), pp. 7–14.</w:t>
      </w:r>
    </w:p>
    <w:p w14:paraId="37F2E2A8" w14:textId="77777777" w:rsidR="004E05C9" w:rsidRPr="003F5679" w:rsidRDefault="004E05C9" w:rsidP="004E05C9">
      <w:pPr>
        <w:widowControl/>
        <w:jc w:val="left"/>
        <w:rPr>
          <w:rFonts w:cstheme="minorBidi"/>
          <w:kern w:val="2"/>
          <w:sz w:val="24"/>
          <w:szCs w:val="22"/>
        </w:rPr>
      </w:pPr>
    </w:p>
    <w:p w14:paraId="7BEE0C56"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GOV.UK (2024a) </w:t>
      </w:r>
      <w:r w:rsidRPr="003F5679">
        <w:rPr>
          <w:rFonts w:cstheme="minorBidi"/>
          <w:i/>
          <w:iCs/>
          <w:kern w:val="2"/>
          <w:sz w:val="24"/>
          <w:szCs w:val="22"/>
        </w:rPr>
        <w:t>Employment status and rights: support for individuals</w:t>
      </w:r>
      <w:r w:rsidRPr="003F5679">
        <w:rPr>
          <w:rFonts w:cstheme="minorBidi"/>
          <w:kern w:val="2"/>
          <w:sz w:val="24"/>
          <w:szCs w:val="22"/>
        </w:rPr>
        <w:t xml:space="preserve">. Available at: </w:t>
      </w:r>
      <w:hyperlink r:id="rId21" w:history="1">
        <w:r w:rsidRPr="003F5679">
          <w:rPr>
            <w:rStyle w:val="a8"/>
            <w:rFonts w:cstheme="minorBidi"/>
            <w:kern w:val="2"/>
            <w:sz w:val="24"/>
            <w:szCs w:val="22"/>
          </w:rPr>
          <w:t>https://www.gov.uk/government/publications/employment-status-and-employment-rights/employment-status-and-rights-support-for-individuals</w:t>
        </w:r>
      </w:hyperlink>
      <w:r w:rsidRPr="003F5679">
        <w:rPr>
          <w:rFonts w:cstheme="minorBidi"/>
          <w:kern w:val="2"/>
          <w:sz w:val="24"/>
          <w:szCs w:val="22"/>
        </w:rPr>
        <w:t xml:space="preserve"> (Accessed: 14 March 2025).</w:t>
      </w:r>
    </w:p>
    <w:p w14:paraId="765C401E" w14:textId="77777777" w:rsidR="004E05C9" w:rsidRPr="003F5679" w:rsidRDefault="004E05C9" w:rsidP="004E05C9">
      <w:pPr>
        <w:widowControl/>
        <w:jc w:val="left"/>
        <w:rPr>
          <w:rFonts w:cstheme="minorBidi"/>
          <w:kern w:val="2"/>
          <w:sz w:val="24"/>
          <w:szCs w:val="22"/>
        </w:rPr>
      </w:pPr>
    </w:p>
    <w:p w14:paraId="4C14A8EC"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GOV.UK (2024b) </w:t>
      </w:r>
      <w:r w:rsidRPr="003F5679">
        <w:rPr>
          <w:rFonts w:cstheme="minorBidi"/>
          <w:i/>
          <w:iCs/>
          <w:kern w:val="2"/>
          <w:sz w:val="24"/>
          <w:szCs w:val="22"/>
        </w:rPr>
        <w:t>Single-use plastics bans and restrictions</w:t>
      </w:r>
      <w:r w:rsidRPr="003F5679">
        <w:rPr>
          <w:rFonts w:cstheme="minorBidi"/>
          <w:kern w:val="2"/>
          <w:sz w:val="24"/>
          <w:szCs w:val="22"/>
        </w:rPr>
        <w:t xml:space="preserve">. Available at: </w:t>
      </w:r>
      <w:hyperlink r:id="rId22" w:history="1">
        <w:r w:rsidRPr="003F5679">
          <w:rPr>
            <w:rStyle w:val="a8"/>
            <w:rFonts w:cstheme="minorBidi"/>
            <w:kern w:val="2"/>
            <w:sz w:val="24"/>
            <w:szCs w:val="22"/>
          </w:rPr>
          <w:t>https://www.gov.uk/guidance/single-use-plastics-bans-and-restrictions</w:t>
        </w:r>
      </w:hyperlink>
      <w:r w:rsidRPr="003F5679">
        <w:rPr>
          <w:rFonts w:cstheme="minorBidi"/>
          <w:kern w:val="2"/>
          <w:sz w:val="24"/>
          <w:szCs w:val="22"/>
        </w:rPr>
        <w:t xml:space="preserve"> (Accessed: 14 March 2025).</w:t>
      </w:r>
    </w:p>
    <w:p w14:paraId="4FA14079" w14:textId="77777777" w:rsidR="004E05C9" w:rsidRPr="003F5679" w:rsidRDefault="004E05C9" w:rsidP="004E05C9">
      <w:pPr>
        <w:widowControl/>
        <w:jc w:val="left"/>
        <w:rPr>
          <w:rFonts w:cstheme="minorBidi"/>
          <w:kern w:val="2"/>
          <w:sz w:val="24"/>
          <w:szCs w:val="22"/>
        </w:rPr>
      </w:pPr>
    </w:p>
    <w:p w14:paraId="78333A85"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Goyal, A. (2020) ‘A Critical Analysis of Porter’s 5 Forces Model of Competitive Advantage’, 7, pp. 149–152. Available at: </w:t>
      </w:r>
      <w:hyperlink r:id="rId23" w:history="1">
        <w:r w:rsidRPr="003F5679">
          <w:rPr>
            <w:rStyle w:val="a8"/>
            <w:rFonts w:cstheme="minorBidi"/>
            <w:kern w:val="2"/>
            <w:sz w:val="24"/>
            <w:szCs w:val="22"/>
          </w:rPr>
          <w:t>https://doi.org/10.1729/Journal.25126</w:t>
        </w:r>
      </w:hyperlink>
      <w:r w:rsidRPr="003F5679">
        <w:rPr>
          <w:rFonts w:cstheme="minorBidi"/>
          <w:kern w:val="2"/>
          <w:sz w:val="24"/>
          <w:szCs w:val="22"/>
        </w:rPr>
        <w:t>.</w:t>
      </w:r>
    </w:p>
    <w:p w14:paraId="6058F4FA"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Groysberg, B., Abbott, S.L. and Seligson, S. (2021) ‘Tech with a Side of Pizza: How Dominos Rose to the Top’.</w:t>
      </w:r>
    </w:p>
    <w:p w14:paraId="4FBB13FB" w14:textId="77777777" w:rsidR="004E05C9" w:rsidRPr="003F5679" w:rsidRDefault="004E05C9" w:rsidP="004E05C9">
      <w:pPr>
        <w:widowControl/>
        <w:jc w:val="left"/>
        <w:rPr>
          <w:rFonts w:cstheme="minorBidi"/>
          <w:kern w:val="2"/>
          <w:sz w:val="24"/>
          <w:szCs w:val="22"/>
        </w:rPr>
      </w:pPr>
    </w:p>
    <w:p w14:paraId="56FA5302"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Groznykh, R. </w:t>
      </w:r>
      <w:r w:rsidRPr="003F5679">
        <w:rPr>
          <w:rFonts w:cstheme="minorBidi"/>
          <w:i/>
          <w:iCs/>
          <w:kern w:val="2"/>
          <w:sz w:val="24"/>
          <w:szCs w:val="22"/>
        </w:rPr>
        <w:t>et al.</w:t>
      </w:r>
      <w:r w:rsidRPr="003F5679">
        <w:rPr>
          <w:rFonts w:cstheme="minorBidi"/>
          <w:kern w:val="2"/>
          <w:sz w:val="24"/>
          <w:szCs w:val="22"/>
        </w:rPr>
        <w:t xml:space="preserve"> (2020) ‘The role of political stability in foreign direct investment attraction: Cross-country analysis’, </w:t>
      </w:r>
      <w:r w:rsidRPr="003F5679">
        <w:rPr>
          <w:rFonts w:cstheme="minorBidi"/>
          <w:i/>
          <w:iCs/>
          <w:kern w:val="2"/>
          <w:sz w:val="24"/>
          <w:szCs w:val="22"/>
        </w:rPr>
        <w:t>Proceedings of CBU in Economics and Business</w:t>
      </w:r>
      <w:r w:rsidRPr="003F5679">
        <w:rPr>
          <w:rFonts w:cstheme="minorBidi"/>
          <w:kern w:val="2"/>
          <w:sz w:val="24"/>
          <w:szCs w:val="22"/>
        </w:rPr>
        <w:t>, 1, pp. 76–83.</w:t>
      </w:r>
    </w:p>
    <w:p w14:paraId="5C4F50DC" w14:textId="77777777" w:rsidR="004E05C9" w:rsidRPr="003F5679" w:rsidRDefault="004E05C9" w:rsidP="004E05C9">
      <w:pPr>
        <w:widowControl/>
        <w:jc w:val="left"/>
        <w:rPr>
          <w:rFonts w:cstheme="minorBidi"/>
          <w:kern w:val="2"/>
          <w:sz w:val="24"/>
          <w:szCs w:val="22"/>
        </w:rPr>
      </w:pPr>
    </w:p>
    <w:p w14:paraId="69DDFFA8"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Gunawan, I. (2022) ‘CUSTOMER LOYALTY: The Effect Customer Satisfaction, Experiential Marketing and Product Quality’, 1(1).</w:t>
      </w:r>
    </w:p>
    <w:p w14:paraId="04A5B3EA" w14:textId="77777777" w:rsidR="004E05C9" w:rsidRPr="003F5679" w:rsidRDefault="004E05C9" w:rsidP="004E05C9">
      <w:pPr>
        <w:widowControl/>
        <w:jc w:val="left"/>
        <w:rPr>
          <w:rFonts w:cstheme="minorBidi"/>
          <w:kern w:val="2"/>
          <w:sz w:val="24"/>
          <w:szCs w:val="22"/>
        </w:rPr>
      </w:pPr>
    </w:p>
    <w:p w14:paraId="63F3D05A"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Inflationtool (2025) </w:t>
      </w:r>
      <w:r w:rsidRPr="003F5679">
        <w:rPr>
          <w:rFonts w:cstheme="minorBidi"/>
          <w:i/>
          <w:iCs/>
          <w:kern w:val="2"/>
          <w:sz w:val="24"/>
          <w:szCs w:val="22"/>
        </w:rPr>
        <w:t>United Kingdom Inflation Rate - 2025</w:t>
      </w:r>
      <w:r w:rsidRPr="003F5679">
        <w:rPr>
          <w:rFonts w:cstheme="minorBidi"/>
          <w:kern w:val="2"/>
          <w:sz w:val="24"/>
          <w:szCs w:val="22"/>
        </w:rPr>
        <w:t xml:space="preserve">. Available at: </w:t>
      </w:r>
      <w:hyperlink r:id="rId24" w:history="1">
        <w:r w:rsidRPr="003F5679">
          <w:rPr>
            <w:rStyle w:val="a8"/>
            <w:rFonts w:cstheme="minorBidi"/>
            <w:kern w:val="2"/>
            <w:sz w:val="24"/>
            <w:szCs w:val="22"/>
          </w:rPr>
          <w:t>https://www.inflationtool.com/rates/uk</w:t>
        </w:r>
      </w:hyperlink>
      <w:r w:rsidRPr="003F5679">
        <w:rPr>
          <w:rFonts w:cstheme="minorBidi"/>
          <w:kern w:val="2"/>
          <w:sz w:val="24"/>
          <w:szCs w:val="22"/>
        </w:rPr>
        <w:t xml:space="preserve"> (Accessed: 14 March 2025).</w:t>
      </w:r>
    </w:p>
    <w:p w14:paraId="1B8CFD51" w14:textId="77777777" w:rsidR="004E05C9" w:rsidRPr="003F5679" w:rsidRDefault="004E05C9" w:rsidP="004E05C9">
      <w:pPr>
        <w:widowControl/>
        <w:jc w:val="left"/>
        <w:rPr>
          <w:rFonts w:cstheme="minorBidi"/>
          <w:kern w:val="2"/>
          <w:sz w:val="24"/>
          <w:szCs w:val="22"/>
        </w:rPr>
      </w:pPr>
    </w:p>
    <w:p w14:paraId="0ADEC021"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International Monetary Fund (2025) </w:t>
      </w:r>
      <w:r w:rsidRPr="003F5679">
        <w:rPr>
          <w:rFonts w:cstheme="minorBidi"/>
          <w:i/>
          <w:iCs/>
          <w:kern w:val="2"/>
          <w:sz w:val="24"/>
          <w:szCs w:val="22"/>
        </w:rPr>
        <w:t>World Economic Outlook Update, January 2025: Global Growth: Divergent and Uncertain</w:t>
      </w:r>
      <w:r w:rsidRPr="003F5679">
        <w:rPr>
          <w:rFonts w:cstheme="minorBidi"/>
          <w:kern w:val="2"/>
          <w:sz w:val="24"/>
          <w:szCs w:val="22"/>
        </w:rPr>
        <w:t xml:space="preserve">. Available at: </w:t>
      </w:r>
      <w:hyperlink r:id="rId25" w:history="1">
        <w:r w:rsidRPr="003F5679">
          <w:rPr>
            <w:rStyle w:val="a8"/>
            <w:rFonts w:cstheme="minorBidi"/>
            <w:kern w:val="2"/>
            <w:sz w:val="24"/>
            <w:szCs w:val="22"/>
          </w:rPr>
          <w:t>https://www.imf.org/en/Publications/WEO/Issues/2025/01/17/world-economic-outlook-update-january-2025</w:t>
        </w:r>
      </w:hyperlink>
      <w:r w:rsidRPr="003F5679">
        <w:rPr>
          <w:rFonts w:cstheme="minorBidi"/>
          <w:kern w:val="2"/>
          <w:sz w:val="24"/>
          <w:szCs w:val="22"/>
        </w:rPr>
        <w:t xml:space="preserve"> (Accessed: 14 March 2025).</w:t>
      </w:r>
    </w:p>
    <w:p w14:paraId="1E7D7234" w14:textId="77777777" w:rsidR="004E05C9" w:rsidRPr="003F5679" w:rsidRDefault="004E05C9" w:rsidP="004E05C9">
      <w:pPr>
        <w:widowControl/>
        <w:jc w:val="left"/>
        <w:rPr>
          <w:rFonts w:cstheme="minorBidi"/>
          <w:kern w:val="2"/>
          <w:sz w:val="24"/>
          <w:szCs w:val="22"/>
        </w:rPr>
      </w:pPr>
    </w:p>
    <w:p w14:paraId="4D9301EB"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Keegan Edwards (2024) </w:t>
      </w:r>
      <w:r w:rsidRPr="003F5679">
        <w:rPr>
          <w:rFonts w:cstheme="minorBidi"/>
          <w:i/>
          <w:iCs/>
          <w:kern w:val="2"/>
          <w:sz w:val="24"/>
          <w:szCs w:val="22"/>
        </w:rPr>
        <w:t>Understanding Domino’s Target Market: Demographics and Preferences - Keegan Edwards</w:t>
      </w:r>
      <w:r w:rsidRPr="003F5679">
        <w:rPr>
          <w:rFonts w:cstheme="minorBidi"/>
          <w:kern w:val="2"/>
          <w:sz w:val="24"/>
          <w:szCs w:val="22"/>
        </w:rPr>
        <w:t xml:space="preserve">. Available at: </w:t>
      </w:r>
      <w:hyperlink r:id="rId26" w:history="1">
        <w:r w:rsidRPr="003F5679">
          <w:rPr>
            <w:rStyle w:val="a8"/>
            <w:rFonts w:cstheme="minorBidi"/>
            <w:kern w:val="2"/>
            <w:sz w:val="24"/>
            <w:szCs w:val="22"/>
          </w:rPr>
          <w:t>https://keeganedwards.com/understanding-dominos-target-market-demographics-and-preferences/</w:t>
        </w:r>
      </w:hyperlink>
      <w:r w:rsidRPr="003F5679">
        <w:rPr>
          <w:rFonts w:cstheme="minorBidi"/>
          <w:kern w:val="2"/>
          <w:sz w:val="24"/>
          <w:szCs w:val="22"/>
        </w:rPr>
        <w:t xml:space="preserve"> (Accessed: 14 March 2025).</w:t>
      </w:r>
    </w:p>
    <w:p w14:paraId="1BBD63B9" w14:textId="77777777" w:rsidR="004E05C9" w:rsidRPr="003F5679" w:rsidRDefault="004E05C9" w:rsidP="004E05C9">
      <w:pPr>
        <w:widowControl/>
        <w:jc w:val="left"/>
        <w:rPr>
          <w:rFonts w:cstheme="minorBidi"/>
          <w:kern w:val="2"/>
          <w:sz w:val="24"/>
          <w:szCs w:val="22"/>
        </w:rPr>
      </w:pPr>
    </w:p>
    <w:p w14:paraId="4BA77165"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Lashkaripour, A. and Lugovskyy, V. (2023) ‘Profits, Scale Economies, and the Gains from Trade and Industrial Policy’, </w:t>
      </w:r>
      <w:r w:rsidRPr="003F5679">
        <w:rPr>
          <w:rFonts w:cstheme="minorBidi"/>
          <w:i/>
          <w:iCs/>
          <w:kern w:val="2"/>
          <w:sz w:val="24"/>
          <w:szCs w:val="22"/>
        </w:rPr>
        <w:t>American Economic Review</w:t>
      </w:r>
      <w:r w:rsidRPr="003F5679">
        <w:rPr>
          <w:rFonts w:cstheme="minorBidi"/>
          <w:kern w:val="2"/>
          <w:sz w:val="24"/>
          <w:szCs w:val="22"/>
        </w:rPr>
        <w:t xml:space="preserve">, 113(10), pp. 2759–2808. Available at: </w:t>
      </w:r>
      <w:hyperlink r:id="rId27" w:history="1">
        <w:r w:rsidRPr="003F5679">
          <w:rPr>
            <w:rStyle w:val="a8"/>
            <w:rFonts w:cstheme="minorBidi"/>
            <w:kern w:val="2"/>
            <w:sz w:val="24"/>
            <w:szCs w:val="22"/>
          </w:rPr>
          <w:t>https://doi.org/10.1257/aer.20210419</w:t>
        </w:r>
      </w:hyperlink>
      <w:r w:rsidRPr="003F5679">
        <w:rPr>
          <w:rFonts w:cstheme="minorBidi"/>
          <w:kern w:val="2"/>
          <w:sz w:val="24"/>
          <w:szCs w:val="22"/>
        </w:rPr>
        <w:t>.</w:t>
      </w:r>
    </w:p>
    <w:p w14:paraId="71B60A94" w14:textId="77777777" w:rsidR="004E05C9" w:rsidRPr="003F5679" w:rsidRDefault="004E05C9" w:rsidP="004E05C9">
      <w:pPr>
        <w:widowControl/>
        <w:jc w:val="left"/>
        <w:rPr>
          <w:rFonts w:cstheme="minorBidi"/>
          <w:kern w:val="2"/>
          <w:sz w:val="24"/>
          <w:szCs w:val="22"/>
        </w:rPr>
      </w:pPr>
    </w:p>
    <w:p w14:paraId="6FC0B644"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Mahmut Barakazı (2022) </w:t>
      </w:r>
      <w:r w:rsidRPr="003F5679">
        <w:rPr>
          <w:rFonts w:cstheme="minorBidi"/>
          <w:i/>
          <w:iCs/>
          <w:kern w:val="2"/>
          <w:sz w:val="24"/>
          <w:szCs w:val="22"/>
        </w:rPr>
        <w:t>(PDF) The use of Robotics in the Kitchens of the Future: The example of Moley Robotics</w:t>
      </w:r>
      <w:r w:rsidRPr="003F5679">
        <w:rPr>
          <w:rFonts w:cstheme="minorBidi"/>
          <w:kern w:val="2"/>
          <w:sz w:val="24"/>
          <w:szCs w:val="22"/>
        </w:rPr>
        <w:t xml:space="preserve">. Available at: </w:t>
      </w:r>
      <w:hyperlink r:id="rId28" w:history="1">
        <w:r w:rsidRPr="003F5679">
          <w:rPr>
            <w:rStyle w:val="a8"/>
            <w:rFonts w:cstheme="minorBidi"/>
            <w:kern w:val="2"/>
            <w:sz w:val="24"/>
            <w:szCs w:val="22"/>
          </w:rPr>
          <w:t>https://www.researchgate.net/publication/361723447_The_use_of_Robotics_in_the_Kitchens_of_the_Future_The_example_of_Moley_Robotics</w:t>
        </w:r>
      </w:hyperlink>
      <w:r w:rsidRPr="003F5679">
        <w:rPr>
          <w:rFonts w:cstheme="minorBidi"/>
          <w:kern w:val="2"/>
          <w:sz w:val="24"/>
          <w:szCs w:val="22"/>
        </w:rPr>
        <w:t xml:space="preserve"> (Accessed: 18 March 2025).</w:t>
      </w:r>
    </w:p>
    <w:p w14:paraId="4F1D3B20" w14:textId="77777777" w:rsidR="004E05C9" w:rsidRPr="003F5679" w:rsidRDefault="004E05C9" w:rsidP="004E05C9">
      <w:pPr>
        <w:widowControl/>
        <w:jc w:val="left"/>
        <w:rPr>
          <w:rFonts w:cstheme="minorBidi"/>
          <w:kern w:val="2"/>
          <w:sz w:val="24"/>
          <w:szCs w:val="22"/>
        </w:rPr>
      </w:pPr>
    </w:p>
    <w:p w14:paraId="2F720E2C"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Mbah, R.E. and Wasum, D.F. (2022) ‘Russian-Ukraine 2022 War: A review of the economic impact of Russian-Ukraine crisis on the USA, UK, Canada, and Europe’, </w:t>
      </w:r>
      <w:r w:rsidRPr="003F5679">
        <w:rPr>
          <w:rFonts w:cstheme="minorBidi"/>
          <w:i/>
          <w:iCs/>
          <w:kern w:val="2"/>
          <w:sz w:val="24"/>
          <w:szCs w:val="22"/>
        </w:rPr>
        <w:t>Advances in Social Sciences Research Journal</w:t>
      </w:r>
      <w:r w:rsidRPr="003F5679">
        <w:rPr>
          <w:rFonts w:cstheme="minorBidi"/>
          <w:kern w:val="2"/>
          <w:sz w:val="24"/>
          <w:szCs w:val="22"/>
        </w:rPr>
        <w:t>, 9(3), pp. 144–153.</w:t>
      </w:r>
    </w:p>
    <w:p w14:paraId="459675C4" w14:textId="77777777" w:rsidR="004E05C9" w:rsidRPr="003F5679" w:rsidRDefault="004E05C9" w:rsidP="004E05C9">
      <w:pPr>
        <w:widowControl/>
        <w:jc w:val="left"/>
        <w:rPr>
          <w:rFonts w:cstheme="minorBidi"/>
          <w:kern w:val="2"/>
          <w:sz w:val="24"/>
          <w:szCs w:val="22"/>
        </w:rPr>
      </w:pPr>
    </w:p>
    <w:p w14:paraId="3830BA7E"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Mintel (2024) </w:t>
      </w:r>
      <w:r w:rsidRPr="003F5679">
        <w:rPr>
          <w:rFonts w:cstheme="minorBidi"/>
          <w:i/>
          <w:iCs/>
          <w:kern w:val="2"/>
          <w:sz w:val="24"/>
          <w:szCs w:val="22"/>
        </w:rPr>
        <w:t>UK Fast Food Restaurants Market Report 2024</w:t>
      </w:r>
      <w:r w:rsidRPr="003F5679">
        <w:rPr>
          <w:rFonts w:cstheme="minorBidi"/>
          <w:kern w:val="2"/>
          <w:sz w:val="24"/>
          <w:szCs w:val="22"/>
        </w:rPr>
        <w:t xml:space="preserve">. Available at: </w:t>
      </w:r>
      <w:hyperlink r:id="rId29" w:history="1">
        <w:r w:rsidRPr="003F5679">
          <w:rPr>
            <w:rStyle w:val="a8"/>
            <w:rFonts w:cstheme="minorBidi"/>
            <w:kern w:val="2"/>
            <w:sz w:val="24"/>
            <w:szCs w:val="22"/>
          </w:rPr>
          <w:t>https://store.mintel.com/report/uk-fast-food-restaurants-market-report</w:t>
        </w:r>
      </w:hyperlink>
      <w:r w:rsidRPr="003F5679">
        <w:rPr>
          <w:rFonts w:cstheme="minorBidi"/>
          <w:kern w:val="2"/>
          <w:sz w:val="24"/>
          <w:szCs w:val="22"/>
        </w:rPr>
        <w:t xml:space="preserve"> (Accessed: 15 March 2025).</w:t>
      </w:r>
    </w:p>
    <w:p w14:paraId="406F48E4" w14:textId="77777777" w:rsidR="004E05C9" w:rsidRPr="003F5679" w:rsidRDefault="004E05C9" w:rsidP="004E05C9">
      <w:pPr>
        <w:widowControl/>
        <w:jc w:val="left"/>
        <w:rPr>
          <w:rFonts w:cstheme="minorBidi"/>
          <w:kern w:val="2"/>
          <w:sz w:val="24"/>
          <w:szCs w:val="22"/>
        </w:rPr>
      </w:pPr>
    </w:p>
    <w:p w14:paraId="084C39DC"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Najeemudeen, K.P. and Panchanatham, N. (2016) ‘Buyer Behaviour towards Fast Food with Special Reference to Chicking Restaurants’, </w:t>
      </w:r>
      <w:r w:rsidRPr="003F5679">
        <w:rPr>
          <w:rFonts w:cstheme="minorBidi"/>
          <w:i/>
          <w:iCs/>
          <w:kern w:val="2"/>
          <w:sz w:val="24"/>
          <w:szCs w:val="22"/>
        </w:rPr>
        <w:t>Ushus Journal of Business Management</w:t>
      </w:r>
      <w:r w:rsidRPr="003F5679">
        <w:rPr>
          <w:rFonts w:cstheme="minorBidi"/>
          <w:kern w:val="2"/>
          <w:sz w:val="24"/>
          <w:szCs w:val="22"/>
        </w:rPr>
        <w:t>, 15(4), pp. 21–36.</w:t>
      </w:r>
    </w:p>
    <w:p w14:paraId="6F545707" w14:textId="77777777" w:rsidR="004E05C9" w:rsidRPr="003F5679" w:rsidRDefault="004E05C9" w:rsidP="004E05C9">
      <w:pPr>
        <w:widowControl/>
        <w:jc w:val="left"/>
        <w:rPr>
          <w:rFonts w:cstheme="minorBidi"/>
          <w:kern w:val="2"/>
          <w:sz w:val="24"/>
          <w:szCs w:val="22"/>
        </w:rPr>
      </w:pPr>
    </w:p>
    <w:p w14:paraId="119BAAE5"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Najib, M. </w:t>
      </w:r>
      <w:r w:rsidRPr="003F5679">
        <w:rPr>
          <w:rFonts w:cstheme="minorBidi"/>
          <w:i/>
          <w:iCs/>
          <w:kern w:val="2"/>
          <w:sz w:val="24"/>
          <w:szCs w:val="22"/>
        </w:rPr>
        <w:t>et al.</w:t>
      </w:r>
      <w:r w:rsidRPr="003F5679">
        <w:rPr>
          <w:rFonts w:cstheme="minorBidi"/>
          <w:kern w:val="2"/>
          <w:sz w:val="24"/>
          <w:szCs w:val="22"/>
        </w:rPr>
        <w:t xml:space="preserve"> (2021) ‘Fintech in the small food business and its relation with open innovation’, </w:t>
      </w:r>
      <w:r w:rsidRPr="003F5679">
        <w:rPr>
          <w:rFonts w:cstheme="minorBidi"/>
          <w:i/>
          <w:iCs/>
          <w:kern w:val="2"/>
          <w:sz w:val="24"/>
          <w:szCs w:val="22"/>
        </w:rPr>
        <w:t>Journal of Open Innovation: Technology, Market, and Complexity</w:t>
      </w:r>
      <w:r w:rsidRPr="003F5679">
        <w:rPr>
          <w:rFonts w:cstheme="minorBidi"/>
          <w:kern w:val="2"/>
          <w:sz w:val="24"/>
          <w:szCs w:val="22"/>
        </w:rPr>
        <w:t>, 7(1), p. 88.</w:t>
      </w:r>
    </w:p>
    <w:p w14:paraId="1BF7D6B4" w14:textId="77777777" w:rsidR="004E05C9" w:rsidRPr="003F5679" w:rsidRDefault="004E05C9" w:rsidP="004E05C9">
      <w:pPr>
        <w:widowControl/>
        <w:jc w:val="left"/>
        <w:rPr>
          <w:rFonts w:cstheme="minorBidi"/>
          <w:kern w:val="2"/>
          <w:sz w:val="24"/>
          <w:szCs w:val="22"/>
        </w:rPr>
      </w:pPr>
    </w:p>
    <w:p w14:paraId="0DF4841F"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NGUYEN, D.T. and TRUONG, D.C. (2021) ‘The Impact of Psychological and Environmental Factors on Consumers’ Purchase Intention toward Organic Food: Evidence from Vietnam’, </w:t>
      </w:r>
      <w:r w:rsidRPr="003F5679">
        <w:rPr>
          <w:rFonts w:cstheme="minorBidi"/>
          <w:i/>
          <w:iCs/>
          <w:kern w:val="2"/>
          <w:sz w:val="24"/>
          <w:szCs w:val="22"/>
        </w:rPr>
        <w:t>The Journal of Asian Finance, Economics and Business</w:t>
      </w:r>
      <w:r w:rsidRPr="003F5679">
        <w:rPr>
          <w:rFonts w:cstheme="minorBidi"/>
          <w:kern w:val="2"/>
          <w:sz w:val="24"/>
          <w:szCs w:val="22"/>
        </w:rPr>
        <w:t xml:space="preserve">, 8(1), pp. 915–925. Available at: </w:t>
      </w:r>
      <w:hyperlink r:id="rId30" w:history="1">
        <w:r w:rsidRPr="003F5679">
          <w:rPr>
            <w:rStyle w:val="a8"/>
            <w:rFonts w:cstheme="minorBidi"/>
            <w:kern w:val="2"/>
            <w:sz w:val="24"/>
            <w:szCs w:val="22"/>
          </w:rPr>
          <w:t>https://doi.org/10.13106/JAFEB.2021.VOL8.NO1.915</w:t>
        </w:r>
      </w:hyperlink>
      <w:r w:rsidRPr="003F5679">
        <w:rPr>
          <w:rFonts w:cstheme="minorBidi"/>
          <w:kern w:val="2"/>
          <w:sz w:val="24"/>
          <w:szCs w:val="22"/>
        </w:rPr>
        <w:t>.</w:t>
      </w:r>
    </w:p>
    <w:p w14:paraId="787D4CBC" w14:textId="77777777" w:rsidR="004E05C9" w:rsidRPr="003F5679" w:rsidRDefault="004E05C9" w:rsidP="004E05C9">
      <w:pPr>
        <w:widowControl/>
        <w:jc w:val="left"/>
        <w:rPr>
          <w:rFonts w:cstheme="minorBidi"/>
          <w:kern w:val="2"/>
          <w:sz w:val="24"/>
          <w:szCs w:val="22"/>
        </w:rPr>
      </w:pPr>
    </w:p>
    <w:p w14:paraId="79F5C054"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Noviana, I.P.T. and Darma, G.S. (2020) ‘Exploring digital marketing strategies during the new normal era in enhancing the use of digital payment’, </w:t>
      </w:r>
      <w:r w:rsidRPr="003F5679">
        <w:rPr>
          <w:rFonts w:cstheme="minorBidi"/>
          <w:i/>
          <w:iCs/>
          <w:kern w:val="2"/>
          <w:sz w:val="24"/>
          <w:szCs w:val="22"/>
        </w:rPr>
        <w:t>Jurnal Mantik</w:t>
      </w:r>
      <w:r w:rsidRPr="003F5679">
        <w:rPr>
          <w:rFonts w:cstheme="minorBidi"/>
          <w:kern w:val="2"/>
          <w:sz w:val="24"/>
          <w:szCs w:val="22"/>
        </w:rPr>
        <w:t>, 4(3), pp. 2257–2262.</w:t>
      </w:r>
    </w:p>
    <w:p w14:paraId="63E0566B" w14:textId="77777777" w:rsidR="004E05C9" w:rsidRPr="003F5679" w:rsidRDefault="004E05C9" w:rsidP="004E05C9">
      <w:pPr>
        <w:widowControl/>
        <w:jc w:val="left"/>
        <w:rPr>
          <w:rFonts w:cstheme="minorBidi"/>
          <w:kern w:val="2"/>
          <w:sz w:val="24"/>
          <w:szCs w:val="22"/>
        </w:rPr>
      </w:pPr>
    </w:p>
    <w:p w14:paraId="3060231C"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Office for National Statistics (2025) </w:t>
      </w:r>
      <w:r w:rsidRPr="003F5679">
        <w:rPr>
          <w:rFonts w:cstheme="minorBidi"/>
          <w:i/>
          <w:iCs/>
          <w:kern w:val="2"/>
          <w:sz w:val="24"/>
          <w:szCs w:val="22"/>
        </w:rPr>
        <w:t>Labour costs and labour income, UK - Office for National Statistics</w:t>
      </w:r>
      <w:r w:rsidRPr="003F5679">
        <w:rPr>
          <w:rFonts w:cstheme="minorBidi"/>
          <w:kern w:val="2"/>
          <w:sz w:val="24"/>
          <w:szCs w:val="22"/>
        </w:rPr>
        <w:t xml:space="preserve">. Available at: </w:t>
      </w:r>
      <w:hyperlink r:id="rId31" w:history="1">
        <w:r w:rsidRPr="003F5679">
          <w:rPr>
            <w:rStyle w:val="a8"/>
            <w:rFonts w:cstheme="minorBidi"/>
            <w:kern w:val="2"/>
            <w:sz w:val="24"/>
            <w:szCs w:val="22"/>
          </w:rPr>
          <w:t>https://www.ons.gov.uk/economy/economicoutputandproductivity/productivitymeasures/datasets/labourcostsandlabourshare/current</w:t>
        </w:r>
      </w:hyperlink>
      <w:r w:rsidRPr="003F5679">
        <w:rPr>
          <w:rFonts w:cstheme="minorBidi"/>
          <w:kern w:val="2"/>
          <w:sz w:val="24"/>
          <w:szCs w:val="22"/>
        </w:rPr>
        <w:t xml:space="preserve"> (Accessed: 14 March 2025).</w:t>
      </w:r>
    </w:p>
    <w:p w14:paraId="732FB3A6" w14:textId="77777777" w:rsidR="004E05C9" w:rsidRPr="003F5679" w:rsidRDefault="004E05C9" w:rsidP="004E05C9">
      <w:pPr>
        <w:widowControl/>
        <w:jc w:val="left"/>
        <w:rPr>
          <w:rFonts w:cstheme="minorBidi"/>
          <w:kern w:val="2"/>
          <w:sz w:val="24"/>
          <w:szCs w:val="22"/>
        </w:rPr>
      </w:pPr>
    </w:p>
    <w:p w14:paraId="080BD647"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lastRenderedPageBreak/>
        <w:t xml:space="preserve">Pangarkar, N. and Prabhudesai, R. (2024) ‘Using Porter’s Five Forces analysis to drive strategy’, </w:t>
      </w:r>
      <w:r w:rsidRPr="003F5679">
        <w:rPr>
          <w:rFonts w:cstheme="minorBidi"/>
          <w:i/>
          <w:iCs/>
          <w:kern w:val="2"/>
          <w:sz w:val="24"/>
          <w:szCs w:val="22"/>
        </w:rPr>
        <w:t>Global Business and Organizational Excellence</w:t>
      </w:r>
      <w:r w:rsidRPr="003F5679">
        <w:rPr>
          <w:rFonts w:cstheme="minorBidi"/>
          <w:kern w:val="2"/>
          <w:sz w:val="24"/>
          <w:szCs w:val="22"/>
        </w:rPr>
        <w:t xml:space="preserve">, 43(5), pp. 24–34. Available at: </w:t>
      </w:r>
      <w:hyperlink r:id="rId32" w:history="1">
        <w:r w:rsidRPr="003F5679">
          <w:rPr>
            <w:rStyle w:val="a8"/>
            <w:rFonts w:cstheme="minorBidi"/>
            <w:kern w:val="2"/>
            <w:sz w:val="24"/>
            <w:szCs w:val="22"/>
          </w:rPr>
          <w:t>https://doi.org/10.1002/joe.22250</w:t>
        </w:r>
      </w:hyperlink>
      <w:r w:rsidRPr="003F5679">
        <w:rPr>
          <w:rFonts w:cstheme="minorBidi"/>
          <w:kern w:val="2"/>
          <w:sz w:val="24"/>
          <w:szCs w:val="22"/>
        </w:rPr>
        <w:t>.</w:t>
      </w:r>
    </w:p>
    <w:p w14:paraId="492815B8" w14:textId="77777777" w:rsidR="004E05C9" w:rsidRPr="003F5679" w:rsidRDefault="004E05C9" w:rsidP="004E05C9">
      <w:pPr>
        <w:widowControl/>
        <w:jc w:val="left"/>
        <w:rPr>
          <w:rFonts w:cstheme="minorBidi"/>
          <w:kern w:val="2"/>
          <w:sz w:val="24"/>
          <w:szCs w:val="22"/>
        </w:rPr>
      </w:pPr>
    </w:p>
    <w:p w14:paraId="21D608F7"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People&amp;Global Business Association </w:t>
      </w:r>
      <w:r w:rsidRPr="003F5679">
        <w:rPr>
          <w:rFonts w:cstheme="minorBidi"/>
          <w:i/>
          <w:iCs/>
          <w:kern w:val="2"/>
          <w:sz w:val="24"/>
          <w:szCs w:val="22"/>
        </w:rPr>
        <w:t>et al.</w:t>
      </w:r>
      <w:r w:rsidRPr="003F5679">
        <w:rPr>
          <w:rFonts w:cstheme="minorBidi"/>
          <w:kern w:val="2"/>
          <w:sz w:val="24"/>
          <w:szCs w:val="22"/>
        </w:rPr>
        <w:t xml:space="preserve"> (2022) ‘Integrating Digital Transformation and Servitization into Digital Servitization: A Case Study on Domino’s’, </w:t>
      </w:r>
      <w:r w:rsidRPr="003F5679">
        <w:rPr>
          <w:rFonts w:cstheme="minorBidi"/>
          <w:i/>
          <w:iCs/>
          <w:kern w:val="2"/>
          <w:sz w:val="24"/>
          <w:szCs w:val="22"/>
        </w:rPr>
        <w:t>GLOBAL BUSINESS FINANCE REVIEW</w:t>
      </w:r>
      <w:r w:rsidRPr="003F5679">
        <w:rPr>
          <w:rFonts w:cstheme="minorBidi"/>
          <w:kern w:val="2"/>
          <w:sz w:val="24"/>
          <w:szCs w:val="22"/>
        </w:rPr>
        <w:t xml:space="preserve">, 27(5), pp. 1–16. Available at: </w:t>
      </w:r>
      <w:hyperlink r:id="rId33" w:history="1">
        <w:r w:rsidRPr="003F5679">
          <w:rPr>
            <w:rStyle w:val="a8"/>
            <w:rFonts w:cstheme="minorBidi"/>
            <w:kern w:val="2"/>
            <w:sz w:val="24"/>
            <w:szCs w:val="22"/>
          </w:rPr>
          <w:t>https://doi.org/10.17549/gbfr.2022.27.5.1</w:t>
        </w:r>
      </w:hyperlink>
      <w:r w:rsidRPr="003F5679">
        <w:rPr>
          <w:rFonts w:cstheme="minorBidi"/>
          <w:kern w:val="2"/>
          <w:sz w:val="24"/>
          <w:szCs w:val="22"/>
        </w:rPr>
        <w:t>.</w:t>
      </w:r>
    </w:p>
    <w:p w14:paraId="2B22AC65" w14:textId="77777777" w:rsidR="004E05C9" w:rsidRPr="003F5679" w:rsidRDefault="004E05C9" w:rsidP="004E05C9">
      <w:pPr>
        <w:widowControl/>
        <w:jc w:val="left"/>
        <w:rPr>
          <w:rFonts w:cstheme="minorBidi"/>
          <w:kern w:val="2"/>
          <w:sz w:val="24"/>
          <w:szCs w:val="22"/>
        </w:rPr>
      </w:pPr>
    </w:p>
    <w:p w14:paraId="6C3C6F29"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Puyt, R.W., Lie, F.B. and Wilderom, C.P. (2023) ‘The origins of SWOT analysis’, </w:t>
      </w:r>
      <w:r w:rsidRPr="003F5679">
        <w:rPr>
          <w:rFonts w:cstheme="minorBidi"/>
          <w:i/>
          <w:iCs/>
          <w:kern w:val="2"/>
          <w:sz w:val="24"/>
          <w:szCs w:val="22"/>
        </w:rPr>
        <w:t>Long range planning</w:t>
      </w:r>
      <w:r w:rsidRPr="003F5679">
        <w:rPr>
          <w:rFonts w:cstheme="minorBidi"/>
          <w:kern w:val="2"/>
          <w:sz w:val="24"/>
          <w:szCs w:val="22"/>
        </w:rPr>
        <w:t>, 56(3), p. 102304.</w:t>
      </w:r>
    </w:p>
    <w:p w14:paraId="65817B3E" w14:textId="77777777" w:rsidR="004E05C9" w:rsidRPr="003F5679" w:rsidRDefault="004E05C9" w:rsidP="004E05C9">
      <w:pPr>
        <w:widowControl/>
        <w:jc w:val="left"/>
        <w:rPr>
          <w:rFonts w:cstheme="minorBidi"/>
          <w:kern w:val="2"/>
          <w:sz w:val="24"/>
          <w:szCs w:val="22"/>
        </w:rPr>
      </w:pPr>
    </w:p>
    <w:p w14:paraId="3361E366"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Rees, T. (2025) ‘UK Taxes on Minimum Wage Work Nearly Double in a Decade.’, </w:t>
      </w:r>
      <w:r w:rsidRPr="003F5679">
        <w:rPr>
          <w:rFonts w:cstheme="minorBidi"/>
          <w:i/>
          <w:iCs/>
          <w:kern w:val="2"/>
          <w:sz w:val="24"/>
          <w:szCs w:val="22"/>
        </w:rPr>
        <w:t>Bloomberg.com</w:t>
      </w:r>
      <w:r w:rsidRPr="003F5679">
        <w:rPr>
          <w:rFonts w:cstheme="minorBidi"/>
          <w:kern w:val="2"/>
          <w:sz w:val="24"/>
          <w:szCs w:val="22"/>
        </w:rPr>
        <w:t>, p. N.PAG-N.PAG.</w:t>
      </w:r>
    </w:p>
    <w:p w14:paraId="4D5D8CC8" w14:textId="77777777" w:rsidR="004E05C9" w:rsidRPr="003F5679" w:rsidRDefault="004E05C9" w:rsidP="004E05C9">
      <w:pPr>
        <w:widowControl/>
        <w:jc w:val="left"/>
        <w:rPr>
          <w:rFonts w:cstheme="minorBidi"/>
          <w:kern w:val="2"/>
          <w:sz w:val="24"/>
          <w:szCs w:val="22"/>
        </w:rPr>
      </w:pPr>
    </w:p>
    <w:p w14:paraId="18EEAE7F"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Review42 (2022) ‘Top 10 Best Pizza Chains UK [Good Value for Money]’. Available at: </w:t>
      </w:r>
      <w:hyperlink r:id="rId34" w:history="1">
        <w:r w:rsidRPr="003F5679">
          <w:rPr>
            <w:rStyle w:val="a8"/>
            <w:rFonts w:cstheme="minorBidi"/>
            <w:kern w:val="2"/>
            <w:sz w:val="24"/>
            <w:szCs w:val="22"/>
          </w:rPr>
          <w:t>https://review42.com/uk/resources/best-pizza-chains-uk/</w:t>
        </w:r>
      </w:hyperlink>
      <w:r w:rsidRPr="003F5679">
        <w:rPr>
          <w:rFonts w:cstheme="minorBidi"/>
          <w:kern w:val="2"/>
          <w:sz w:val="24"/>
          <w:szCs w:val="22"/>
        </w:rPr>
        <w:t xml:space="preserve"> (Accessed: 14 March 2025).</w:t>
      </w:r>
    </w:p>
    <w:p w14:paraId="17A90FD0" w14:textId="77777777" w:rsidR="004E05C9" w:rsidRPr="003F5679" w:rsidRDefault="004E05C9" w:rsidP="004E05C9">
      <w:pPr>
        <w:widowControl/>
        <w:jc w:val="left"/>
        <w:rPr>
          <w:rFonts w:cstheme="minorBidi"/>
          <w:kern w:val="2"/>
          <w:sz w:val="24"/>
          <w:szCs w:val="22"/>
        </w:rPr>
      </w:pPr>
    </w:p>
    <w:p w14:paraId="4BD05197"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Saxena, M.S., Masand, M.S. and Barath, M.S.S. (2022) ‘Papa John’s: A Strategic Marketing Case Analysis in the Pizza Industry’, </w:t>
      </w:r>
      <w:r w:rsidRPr="003F5679">
        <w:rPr>
          <w:rFonts w:cstheme="minorBidi"/>
          <w:i/>
          <w:iCs/>
          <w:kern w:val="2"/>
          <w:sz w:val="24"/>
          <w:szCs w:val="22"/>
        </w:rPr>
        <w:t>Journal of Survey in Fisheries Sciences</w:t>
      </w:r>
      <w:r w:rsidRPr="003F5679">
        <w:rPr>
          <w:rFonts w:cstheme="minorBidi"/>
          <w:kern w:val="2"/>
          <w:sz w:val="24"/>
          <w:szCs w:val="22"/>
        </w:rPr>
        <w:t>, pp. 520–526.</w:t>
      </w:r>
    </w:p>
    <w:p w14:paraId="11D6DC15" w14:textId="77777777" w:rsidR="004E05C9" w:rsidRPr="003F5679" w:rsidRDefault="004E05C9" w:rsidP="004E05C9">
      <w:pPr>
        <w:widowControl/>
        <w:jc w:val="left"/>
        <w:rPr>
          <w:rFonts w:cstheme="minorBidi"/>
          <w:kern w:val="2"/>
          <w:sz w:val="24"/>
          <w:szCs w:val="22"/>
        </w:rPr>
      </w:pPr>
    </w:p>
    <w:p w14:paraId="7AC5DD61"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ScrapeHero (2025) </w:t>
      </w:r>
      <w:r w:rsidRPr="003F5679">
        <w:rPr>
          <w:rFonts w:cstheme="minorBidi"/>
          <w:i/>
          <w:iCs/>
          <w:kern w:val="2"/>
          <w:sz w:val="24"/>
          <w:szCs w:val="22"/>
        </w:rPr>
        <w:t>Number of Dominos locations in the UK in 2025</w:t>
      </w:r>
      <w:r w:rsidRPr="003F5679">
        <w:rPr>
          <w:rFonts w:cstheme="minorBidi"/>
          <w:kern w:val="2"/>
          <w:sz w:val="24"/>
          <w:szCs w:val="22"/>
        </w:rPr>
        <w:t xml:space="preserve">. Available at: </w:t>
      </w:r>
      <w:hyperlink r:id="rId35" w:history="1">
        <w:r w:rsidRPr="003F5679">
          <w:rPr>
            <w:rStyle w:val="a8"/>
            <w:rFonts w:cstheme="minorBidi"/>
            <w:kern w:val="2"/>
            <w:sz w:val="24"/>
            <w:szCs w:val="22"/>
          </w:rPr>
          <w:t>https://www.scrapehero.com/location-reports/Dominos-UK/</w:t>
        </w:r>
      </w:hyperlink>
      <w:r w:rsidRPr="003F5679">
        <w:rPr>
          <w:rFonts w:cstheme="minorBidi"/>
          <w:kern w:val="2"/>
          <w:sz w:val="24"/>
          <w:szCs w:val="22"/>
        </w:rPr>
        <w:t xml:space="preserve"> (Accessed: 14 March 2025).</w:t>
      </w:r>
    </w:p>
    <w:p w14:paraId="13CAC495" w14:textId="77777777" w:rsidR="004E05C9" w:rsidRPr="003F5679" w:rsidRDefault="004E05C9" w:rsidP="004E05C9">
      <w:pPr>
        <w:widowControl/>
        <w:jc w:val="left"/>
        <w:rPr>
          <w:rFonts w:cstheme="minorBidi"/>
          <w:kern w:val="2"/>
          <w:sz w:val="24"/>
          <w:szCs w:val="22"/>
        </w:rPr>
      </w:pPr>
    </w:p>
    <w:p w14:paraId="64E442CC"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Shebl, S., Abd Elhady, D. and Refaat, A. (2021) ‘Economic and social factors affecting the purchasing power of customers in fast food restaurants (Applied in Marsa Matrouh City)’, </w:t>
      </w:r>
      <w:r w:rsidRPr="003F5679">
        <w:rPr>
          <w:rFonts w:cstheme="minorBidi"/>
          <w:i/>
          <w:iCs/>
          <w:kern w:val="2"/>
          <w:sz w:val="24"/>
          <w:szCs w:val="22"/>
        </w:rPr>
        <w:t>Journal of Tourism, Hotels and Heritage</w:t>
      </w:r>
      <w:r w:rsidRPr="003F5679">
        <w:rPr>
          <w:rFonts w:cstheme="minorBidi"/>
          <w:kern w:val="2"/>
          <w:sz w:val="24"/>
          <w:szCs w:val="22"/>
        </w:rPr>
        <w:t>, 2(1), pp. 1–14.</w:t>
      </w:r>
    </w:p>
    <w:p w14:paraId="23E36E91" w14:textId="77777777" w:rsidR="004E05C9" w:rsidRPr="003F5679" w:rsidRDefault="004E05C9" w:rsidP="004E05C9">
      <w:pPr>
        <w:widowControl/>
        <w:jc w:val="left"/>
        <w:rPr>
          <w:rFonts w:cstheme="minorBidi"/>
          <w:kern w:val="2"/>
          <w:sz w:val="24"/>
          <w:szCs w:val="22"/>
        </w:rPr>
      </w:pPr>
    </w:p>
    <w:p w14:paraId="67157E13"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Statista (2023) </w:t>
      </w:r>
      <w:r w:rsidRPr="003F5679">
        <w:rPr>
          <w:rFonts w:cstheme="minorBidi"/>
          <w:i/>
          <w:iCs/>
          <w:kern w:val="2"/>
          <w:sz w:val="24"/>
          <w:szCs w:val="22"/>
        </w:rPr>
        <w:t>Frozen pizza brand awareness KPI ranking UK 2023 | Statista</w:t>
      </w:r>
      <w:r w:rsidRPr="003F5679">
        <w:rPr>
          <w:rFonts w:cstheme="minorBidi"/>
          <w:kern w:val="2"/>
          <w:sz w:val="24"/>
          <w:szCs w:val="22"/>
        </w:rPr>
        <w:t xml:space="preserve">. Available at: </w:t>
      </w:r>
      <w:hyperlink r:id="rId36" w:history="1">
        <w:r w:rsidRPr="003F5679">
          <w:rPr>
            <w:rStyle w:val="a8"/>
            <w:rFonts w:cstheme="minorBidi"/>
            <w:kern w:val="2"/>
            <w:sz w:val="24"/>
            <w:szCs w:val="22"/>
          </w:rPr>
          <w:t>https://www.statista.com/statistics/1345530/most-well-known-frozen-pizza-brands-in-the-uk/</w:t>
        </w:r>
      </w:hyperlink>
      <w:r w:rsidRPr="003F5679">
        <w:rPr>
          <w:rFonts w:cstheme="minorBidi"/>
          <w:kern w:val="2"/>
          <w:sz w:val="24"/>
          <w:szCs w:val="22"/>
        </w:rPr>
        <w:t xml:space="preserve"> (Accessed: 14 March 2025).</w:t>
      </w:r>
    </w:p>
    <w:p w14:paraId="3E929118" w14:textId="77777777" w:rsidR="004E05C9" w:rsidRPr="003F5679" w:rsidRDefault="004E05C9" w:rsidP="004E05C9">
      <w:pPr>
        <w:widowControl/>
        <w:jc w:val="left"/>
        <w:rPr>
          <w:rFonts w:cstheme="minorBidi"/>
          <w:kern w:val="2"/>
          <w:sz w:val="24"/>
          <w:szCs w:val="22"/>
        </w:rPr>
      </w:pPr>
    </w:p>
    <w:p w14:paraId="17D518AB"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Suganda, U.K. and Oktavia, P. (2021) ‘The Effect of Experiential Marketing and Service Quality on Customer Loyalty of Domino’s Pizza in Cirebon City’.</w:t>
      </w:r>
    </w:p>
    <w:p w14:paraId="65200E84" w14:textId="77777777" w:rsidR="004E05C9" w:rsidRPr="003F5679" w:rsidRDefault="004E05C9" w:rsidP="004E05C9">
      <w:pPr>
        <w:widowControl/>
        <w:jc w:val="left"/>
        <w:rPr>
          <w:rFonts w:cstheme="minorBidi"/>
          <w:kern w:val="2"/>
          <w:sz w:val="24"/>
          <w:szCs w:val="22"/>
        </w:rPr>
      </w:pPr>
    </w:p>
    <w:p w14:paraId="409AA473" w14:textId="77777777" w:rsidR="00755CA9" w:rsidRPr="00755CA9" w:rsidRDefault="00755CA9" w:rsidP="00755CA9">
      <w:pPr>
        <w:widowControl/>
        <w:jc w:val="left"/>
        <w:rPr>
          <w:rFonts w:cstheme="minorBidi"/>
          <w:kern w:val="2"/>
          <w:sz w:val="24"/>
          <w:szCs w:val="22"/>
          <w:lang w:val="en-US"/>
        </w:rPr>
      </w:pPr>
      <w:r w:rsidRPr="00755CA9">
        <w:rPr>
          <w:rFonts w:cstheme="minorBidi"/>
          <w:kern w:val="2"/>
          <w:sz w:val="24"/>
          <w:szCs w:val="22"/>
          <w:lang w:val="en-US"/>
        </w:rPr>
        <w:t xml:space="preserve">Wajid, M.A. and Zafar, A. (2021) ‘Pestel analysis to identify key barriers to smart cities development in India’, </w:t>
      </w:r>
      <w:r w:rsidRPr="00755CA9">
        <w:rPr>
          <w:rFonts w:cstheme="minorBidi"/>
          <w:i/>
          <w:iCs/>
          <w:kern w:val="2"/>
          <w:sz w:val="24"/>
          <w:szCs w:val="22"/>
          <w:lang w:val="en-US"/>
        </w:rPr>
        <w:t>Neutrosophic Sets and Systems, Vol. 42, 2021</w:t>
      </w:r>
      <w:r w:rsidRPr="00755CA9">
        <w:rPr>
          <w:rFonts w:cstheme="minorBidi"/>
          <w:kern w:val="2"/>
          <w:sz w:val="24"/>
          <w:szCs w:val="22"/>
          <w:lang w:val="en-US"/>
        </w:rPr>
        <w:t>, p. 39.</w:t>
      </w:r>
    </w:p>
    <w:p w14:paraId="556EBEBD" w14:textId="77777777" w:rsidR="004E05C9" w:rsidRPr="00755CA9" w:rsidRDefault="004E05C9" w:rsidP="004E05C9">
      <w:pPr>
        <w:widowControl/>
        <w:jc w:val="left"/>
        <w:rPr>
          <w:rFonts w:cstheme="minorBidi"/>
          <w:kern w:val="2"/>
          <w:sz w:val="24"/>
          <w:szCs w:val="22"/>
          <w:lang w:val="en-US"/>
        </w:rPr>
      </w:pPr>
    </w:p>
    <w:p w14:paraId="14983580"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lastRenderedPageBreak/>
        <w:t xml:space="preserve">Wang, H. (2024) </w:t>
      </w:r>
      <w:r w:rsidRPr="003F5679">
        <w:rPr>
          <w:rFonts w:cstheme="minorBidi"/>
          <w:i/>
          <w:iCs/>
          <w:kern w:val="2"/>
          <w:sz w:val="24"/>
          <w:szCs w:val="22"/>
        </w:rPr>
        <w:t>UK economic growth and inequality from 1870</w:t>
      </w:r>
      <w:r w:rsidRPr="003F5679">
        <w:rPr>
          <w:rFonts w:cstheme="minorBidi"/>
          <w:kern w:val="2"/>
          <w:sz w:val="24"/>
          <w:szCs w:val="22"/>
        </w:rPr>
        <w:t xml:space="preserve">. PhD Thesis. Cardiff University. Available at: </w:t>
      </w:r>
      <w:hyperlink r:id="rId37" w:history="1">
        <w:r w:rsidRPr="003F5679">
          <w:rPr>
            <w:rStyle w:val="a8"/>
            <w:rFonts w:cstheme="minorBidi"/>
            <w:kern w:val="2"/>
            <w:sz w:val="24"/>
            <w:szCs w:val="22"/>
          </w:rPr>
          <w:t>https://orca.cardiff.ac.uk/id/eprint/176363/</w:t>
        </w:r>
      </w:hyperlink>
      <w:r w:rsidRPr="003F5679">
        <w:rPr>
          <w:rFonts w:cstheme="minorBidi"/>
          <w:kern w:val="2"/>
          <w:sz w:val="24"/>
          <w:szCs w:val="22"/>
        </w:rPr>
        <w:t xml:space="preserve"> (Accessed: 18 March 2025).</w:t>
      </w:r>
    </w:p>
    <w:p w14:paraId="2E492500" w14:textId="77777777" w:rsidR="004E05C9" w:rsidRPr="003F5679" w:rsidRDefault="004E05C9" w:rsidP="004E05C9">
      <w:pPr>
        <w:widowControl/>
        <w:jc w:val="left"/>
        <w:rPr>
          <w:rFonts w:cstheme="minorBidi"/>
          <w:kern w:val="2"/>
          <w:sz w:val="24"/>
          <w:szCs w:val="22"/>
        </w:rPr>
      </w:pPr>
    </w:p>
    <w:p w14:paraId="471D3F00"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World Bank Group (2025) </w:t>
      </w:r>
      <w:r w:rsidRPr="003F5679">
        <w:rPr>
          <w:rFonts w:cstheme="minorBidi"/>
          <w:i/>
          <w:iCs/>
          <w:kern w:val="2"/>
          <w:sz w:val="24"/>
          <w:szCs w:val="22"/>
        </w:rPr>
        <w:t>Political Stability and Absence of Violence/Terrorism: Percentile Rank | Indicator Profile | Prosperity Data360</w:t>
      </w:r>
      <w:r w:rsidRPr="003F5679">
        <w:rPr>
          <w:rFonts w:cstheme="minorBidi"/>
          <w:kern w:val="2"/>
          <w:sz w:val="24"/>
          <w:szCs w:val="22"/>
        </w:rPr>
        <w:t xml:space="preserve">. Available at: </w:t>
      </w:r>
      <w:hyperlink r:id="rId38" w:history="1">
        <w:r w:rsidRPr="003F5679">
          <w:rPr>
            <w:rStyle w:val="a8"/>
            <w:rFonts w:cstheme="minorBidi"/>
            <w:kern w:val="2"/>
            <w:sz w:val="24"/>
            <w:szCs w:val="22"/>
          </w:rPr>
          <w:t>https://prosperitydata360.worldbank.org/en/indicator/WB+WWGI+PV+PER+RNK</w:t>
        </w:r>
      </w:hyperlink>
      <w:r w:rsidRPr="003F5679">
        <w:rPr>
          <w:rFonts w:cstheme="minorBidi"/>
          <w:kern w:val="2"/>
          <w:sz w:val="24"/>
          <w:szCs w:val="22"/>
        </w:rPr>
        <w:t xml:space="preserve"> (Accessed: 16 March 2025).</w:t>
      </w:r>
    </w:p>
    <w:p w14:paraId="4806C036" w14:textId="77777777" w:rsidR="004E05C9" w:rsidRPr="003F5679" w:rsidRDefault="004E05C9" w:rsidP="004E05C9">
      <w:pPr>
        <w:widowControl/>
        <w:jc w:val="left"/>
        <w:rPr>
          <w:rFonts w:cstheme="minorBidi"/>
          <w:kern w:val="2"/>
          <w:sz w:val="24"/>
          <w:szCs w:val="22"/>
        </w:rPr>
      </w:pPr>
    </w:p>
    <w:p w14:paraId="4608AFF5"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YouGov (2022a) </w:t>
      </w:r>
      <w:r w:rsidRPr="003F5679">
        <w:rPr>
          <w:rFonts w:cstheme="minorBidi"/>
          <w:i/>
          <w:iCs/>
          <w:kern w:val="2"/>
          <w:sz w:val="24"/>
          <w:szCs w:val="22"/>
        </w:rPr>
        <w:t>Part Three: Favourite cuisines and junk food | YouGov</w:t>
      </w:r>
      <w:r w:rsidRPr="003F5679">
        <w:rPr>
          <w:rFonts w:cstheme="minorBidi"/>
          <w:kern w:val="2"/>
          <w:sz w:val="24"/>
          <w:szCs w:val="22"/>
        </w:rPr>
        <w:t xml:space="preserve">. Available at: </w:t>
      </w:r>
      <w:hyperlink r:id="rId39" w:history="1">
        <w:r w:rsidRPr="003F5679">
          <w:rPr>
            <w:rStyle w:val="a8"/>
            <w:rFonts w:cstheme="minorBidi"/>
            <w:kern w:val="2"/>
            <w:sz w:val="24"/>
            <w:szCs w:val="22"/>
          </w:rPr>
          <w:t>https://yougov.co.uk/society/articles/41659-part-three-favourite-cuisines-and-junk-food</w:t>
        </w:r>
      </w:hyperlink>
      <w:r w:rsidRPr="003F5679">
        <w:rPr>
          <w:rFonts w:cstheme="minorBidi"/>
          <w:kern w:val="2"/>
          <w:sz w:val="24"/>
          <w:szCs w:val="22"/>
        </w:rPr>
        <w:t xml:space="preserve"> (Accessed: 14 March 2025).</w:t>
      </w:r>
    </w:p>
    <w:p w14:paraId="565329C3" w14:textId="77777777" w:rsidR="004E05C9" w:rsidRPr="003F5679" w:rsidRDefault="004E05C9" w:rsidP="004E05C9">
      <w:pPr>
        <w:widowControl/>
        <w:jc w:val="left"/>
        <w:rPr>
          <w:rFonts w:cstheme="minorBidi"/>
          <w:kern w:val="2"/>
          <w:sz w:val="24"/>
          <w:szCs w:val="22"/>
        </w:rPr>
      </w:pPr>
    </w:p>
    <w:p w14:paraId="4F75FCEC" w14:textId="77777777" w:rsidR="004E05C9" w:rsidRPr="003F5679" w:rsidRDefault="004E05C9" w:rsidP="004E05C9">
      <w:pPr>
        <w:widowControl/>
        <w:jc w:val="left"/>
        <w:rPr>
          <w:rFonts w:cstheme="minorBidi"/>
          <w:kern w:val="2"/>
          <w:sz w:val="24"/>
          <w:szCs w:val="22"/>
        </w:rPr>
      </w:pPr>
      <w:r w:rsidRPr="003F5679">
        <w:rPr>
          <w:rFonts w:cstheme="minorBidi"/>
          <w:kern w:val="2"/>
          <w:sz w:val="24"/>
          <w:szCs w:val="22"/>
        </w:rPr>
        <w:t xml:space="preserve">YouGov (2022b) </w:t>
      </w:r>
      <w:r w:rsidRPr="003F5679">
        <w:rPr>
          <w:rFonts w:cstheme="minorBidi"/>
          <w:i/>
          <w:iCs/>
          <w:kern w:val="2"/>
          <w:sz w:val="24"/>
          <w:szCs w:val="22"/>
        </w:rPr>
        <w:t>Part Two: What kind of food do Britons eat regularly? | YouGov</w:t>
      </w:r>
      <w:r w:rsidRPr="003F5679">
        <w:rPr>
          <w:rFonts w:cstheme="minorBidi"/>
          <w:kern w:val="2"/>
          <w:sz w:val="24"/>
          <w:szCs w:val="22"/>
        </w:rPr>
        <w:t xml:space="preserve">. Available at: </w:t>
      </w:r>
      <w:hyperlink r:id="rId40" w:history="1">
        <w:r w:rsidRPr="003F5679">
          <w:rPr>
            <w:rStyle w:val="a8"/>
            <w:rFonts w:cstheme="minorBidi"/>
            <w:kern w:val="2"/>
            <w:sz w:val="24"/>
            <w:szCs w:val="22"/>
          </w:rPr>
          <w:t>https://yougov.co.uk/society/articles/41667-part-two-what-kind-food-do-britons-eat-regularly</w:t>
        </w:r>
      </w:hyperlink>
      <w:r w:rsidRPr="003F5679">
        <w:rPr>
          <w:rFonts w:cstheme="minorBidi"/>
          <w:kern w:val="2"/>
          <w:sz w:val="24"/>
          <w:szCs w:val="22"/>
        </w:rPr>
        <w:t xml:space="preserve"> (Accessed: 14 March 2025).</w:t>
      </w:r>
    </w:p>
    <w:p w14:paraId="7C74D6D4" w14:textId="77777777" w:rsidR="004E05C9" w:rsidRPr="003F5679" w:rsidRDefault="004E05C9" w:rsidP="004E05C9">
      <w:pPr>
        <w:widowControl/>
        <w:jc w:val="left"/>
        <w:rPr>
          <w:b/>
          <w:bCs/>
          <w:sz w:val="32"/>
          <w:szCs w:val="32"/>
        </w:rPr>
      </w:pPr>
      <w:r w:rsidRPr="003F5679">
        <w:br w:type="page"/>
      </w:r>
    </w:p>
    <w:p w14:paraId="29626ED7" w14:textId="77777777" w:rsidR="004E05C9" w:rsidRPr="003F5679" w:rsidRDefault="004E05C9" w:rsidP="004E05C9">
      <w:pPr>
        <w:pStyle w:val="1"/>
        <w:jc w:val="center"/>
      </w:pPr>
      <w:bookmarkStart w:id="22" w:name="_Toc193509738"/>
      <w:r w:rsidRPr="003F5679">
        <w:rPr>
          <w:rFonts w:hint="eastAsia"/>
        </w:rPr>
        <w:lastRenderedPageBreak/>
        <w:t>Appendices</w:t>
      </w:r>
      <w:bookmarkEnd w:id="22"/>
    </w:p>
    <w:p w14:paraId="4042F044" w14:textId="77777777" w:rsidR="004E05C9" w:rsidRPr="003F5679" w:rsidRDefault="004E05C9" w:rsidP="004E05C9">
      <w:pPr>
        <w:pStyle w:val="2"/>
        <w:jc w:val="center"/>
      </w:pPr>
      <w:bookmarkStart w:id="23" w:name="_Toc193509739"/>
      <w:r w:rsidRPr="003F5679">
        <w:t>A</w:t>
      </w:r>
      <w:r w:rsidRPr="003F5679">
        <w:rPr>
          <w:rFonts w:hint="eastAsia"/>
        </w:rPr>
        <w:t xml:space="preserve">ppendix 1. </w:t>
      </w:r>
      <w:r w:rsidRPr="003F5679">
        <w:t>World economic development forecast</w:t>
      </w:r>
      <w:bookmarkEnd w:id="23"/>
    </w:p>
    <w:p w14:paraId="63084973" w14:textId="77777777" w:rsidR="004E05C9" w:rsidRPr="003F5679" w:rsidRDefault="004E05C9" w:rsidP="004E05C9">
      <w:pPr>
        <w:jc w:val="center"/>
      </w:pPr>
      <w:r w:rsidRPr="003F5679">
        <w:rPr>
          <w:noProof/>
        </w:rPr>
        <w:drawing>
          <wp:inline distT="0" distB="0" distL="0" distR="0" wp14:anchorId="50502B49" wp14:editId="2E9963BE">
            <wp:extent cx="5673463" cy="4421275"/>
            <wp:effectExtent l="0" t="0" r="3810" b="0"/>
            <wp:docPr id="202930749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307498" name="图片 1" descr="表格&#10;&#10;描述已自动生成"/>
                    <pic:cNvPicPr/>
                  </pic:nvPicPr>
                  <pic:blipFill>
                    <a:blip r:embed="rId41"/>
                    <a:stretch>
                      <a:fillRect/>
                    </a:stretch>
                  </pic:blipFill>
                  <pic:spPr>
                    <a:xfrm>
                      <a:off x="0" y="0"/>
                      <a:ext cx="5723772" cy="4460481"/>
                    </a:xfrm>
                    <a:prstGeom prst="rect">
                      <a:avLst/>
                    </a:prstGeom>
                  </pic:spPr>
                </pic:pic>
              </a:graphicData>
            </a:graphic>
          </wp:inline>
        </w:drawing>
      </w:r>
    </w:p>
    <w:p w14:paraId="4FF6BE6E" w14:textId="77777777" w:rsidR="004E05C9" w:rsidRPr="003F5679" w:rsidRDefault="004E05C9" w:rsidP="004E05C9">
      <w:pPr>
        <w:jc w:val="center"/>
      </w:pPr>
      <w:r w:rsidRPr="003F5679">
        <w:t>Source</w:t>
      </w:r>
      <w:r w:rsidRPr="003F5679">
        <w:t>：</w:t>
      </w:r>
      <w:r w:rsidRPr="003F5679">
        <w:t xml:space="preserve">IMF, </w:t>
      </w:r>
      <w:r w:rsidRPr="003F5679">
        <w:rPr>
          <w:i/>
          <w:iCs/>
        </w:rPr>
        <w:t>World Economic Outlook Update</w:t>
      </w:r>
      <w:r w:rsidRPr="003F5679">
        <w:t>, January 2025</w:t>
      </w:r>
    </w:p>
    <w:p w14:paraId="47F47341" w14:textId="77777777" w:rsidR="004E05C9" w:rsidRPr="003F5679" w:rsidRDefault="004E05C9" w:rsidP="004E05C9">
      <w:pPr>
        <w:widowControl/>
        <w:jc w:val="left"/>
      </w:pPr>
      <w:r w:rsidRPr="003F5679">
        <w:br w:type="page"/>
      </w:r>
    </w:p>
    <w:p w14:paraId="07F650AB" w14:textId="77777777" w:rsidR="004E05C9" w:rsidRPr="003F5679" w:rsidRDefault="004E05C9" w:rsidP="004E05C9">
      <w:pPr>
        <w:pStyle w:val="2"/>
        <w:jc w:val="center"/>
      </w:pPr>
      <w:bookmarkStart w:id="24" w:name="_Toc193509740"/>
      <w:r w:rsidRPr="003F5679">
        <w:lastRenderedPageBreak/>
        <w:t>A</w:t>
      </w:r>
      <w:r w:rsidRPr="003F5679">
        <w:rPr>
          <w:rFonts w:hint="eastAsia"/>
        </w:rPr>
        <w:t xml:space="preserve">ppendix 2. </w:t>
      </w:r>
      <w:r w:rsidRPr="003F5679">
        <w:t>Domino's food packaging</w:t>
      </w:r>
      <w:bookmarkEnd w:id="24"/>
    </w:p>
    <w:p w14:paraId="0F81719D" w14:textId="77777777" w:rsidR="004E05C9" w:rsidRPr="003F5679" w:rsidRDefault="004E05C9" w:rsidP="004E05C9">
      <w:pPr>
        <w:jc w:val="center"/>
      </w:pPr>
      <w:r w:rsidRPr="003F5679">
        <w:rPr>
          <w:rFonts w:hint="eastAsia"/>
          <w:noProof/>
        </w:rPr>
        <w:drawing>
          <wp:inline distT="0" distB="0" distL="0" distR="0" wp14:anchorId="4D9429CB" wp14:editId="48142C4F">
            <wp:extent cx="4340881" cy="5617028"/>
            <wp:effectExtent l="0" t="0" r="2540" b="3175"/>
            <wp:docPr id="1106579786" name="图片 1" descr="Dominos Logo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inos Logo 202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342451" cy="5619059"/>
                    </a:xfrm>
                    <a:prstGeom prst="rect">
                      <a:avLst/>
                    </a:prstGeom>
                    <a:noFill/>
                    <a:ln>
                      <a:noFill/>
                    </a:ln>
                  </pic:spPr>
                </pic:pic>
              </a:graphicData>
            </a:graphic>
          </wp:inline>
        </w:drawing>
      </w:r>
    </w:p>
    <w:p w14:paraId="0C667509" w14:textId="02EAE6EB" w:rsidR="000D7418" w:rsidRPr="004E05C9" w:rsidRDefault="004E05C9" w:rsidP="004E05C9">
      <w:pPr>
        <w:jc w:val="center"/>
      </w:pPr>
      <w:r w:rsidRPr="003F5679">
        <w:t>Domino us</w:t>
      </w:r>
      <w:r w:rsidRPr="003F5679">
        <w:rPr>
          <w:rFonts w:hint="eastAsia"/>
        </w:rPr>
        <w:t>ing</w:t>
      </w:r>
      <w:r w:rsidRPr="003F5679">
        <w:t xml:space="preserve"> recyclable packaging</w:t>
      </w:r>
    </w:p>
    <w:sectPr w:rsidR="000D7418" w:rsidRPr="004E05C9">
      <w:footerReference w:type="default" r:id="rId43"/>
      <w:pgSz w:w="11906" w:h="16838"/>
      <w:pgMar w:top="1440" w:right="1800" w:bottom="1440" w:left="1800" w:header="851" w:footer="992" w:gutter="0"/>
      <w:pgNumType w:start="1"/>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7531D" w14:textId="77777777" w:rsidR="00BC796E" w:rsidRPr="003F5679" w:rsidRDefault="00BC796E">
      <w:r w:rsidRPr="003F5679">
        <w:separator/>
      </w:r>
    </w:p>
  </w:endnote>
  <w:endnote w:type="continuationSeparator" w:id="0">
    <w:p w14:paraId="28B8040C" w14:textId="77777777" w:rsidR="00BC796E" w:rsidRPr="003F5679" w:rsidRDefault="00BC796E">
      <w:r w:rsidRPr="003F567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楷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7549499"/>
      <w:docPartObj>
        <w:docPartGallery w:val="Page Numbers (Bottom of Page)"/>
        <w:docPartUnique/>
      </w:docPartObj>
    </w:sdtPr>
    <w:sdtContent>
      <w:p w14:paraId="4B639B37" w14:textId="1F01E707" w:rsidR="00B558EB" w:rsidRDefault="00B558EB">
        <w:pPr>
          <w:pStyle w:val="a3"/>
          <w:jc w:val="center"/>
        </w:pPr>
        <w:r>
          <w:fldChar w:fldCharType="begin"/>
        </w:r>
        <w:r>
          <w:instrText>PAGE   \* MERGEFORMAT</w:instrText>
        </w:r>
        <w:r>
          <w:fldChar w:fldCharType="separate"/>
        </w:r>
        <w:r>
          <w:rPr>
            <w:lang w:val="zh-CN"/>
          </w:rPr>
          <w:t>2</w:t>
        </w:r>
        <w:r>
          <w:fldChar w:fldCharType="end"/>
        </w:r>
      </w:p>
    </w:sdtContent>
  </w:sdt>
  <w:p w14:paraId="1B13B0E2" w14:textId="443549F8" w:rsidR="00461813" w:rsidRPr="003F5679" w:rsidRDefault="0046181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59171" w14:textId="77777777" w:rsidR="00BC796E" w:rsidRPr="003F5679" w:rsidRDefault="00BC796E">
      <w:r w:rsidRPr="003F5679">
        <w:separator/>
      </w:r>
    </w:p>
  </w:footnote>
  <w:footnote w:type="continuationSeparator" w:id="0">
    <w:p w14:paraId="574FDFE6" w14:textId="77777777" w:rsidR="00BC796E" w:rsidRPr="003F5679" w:rsidRDefault="00BC796E">
      <w:r w:rsidRPr="003F567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DB4D70D"/>
    <w:multiLevelType w:val="singleLevel"/>
    <w:tmpl w:val="CDB4D70D"/>
    <w:lvl w:ilvl="0">
      <w:start w:val="1"/>
      <w:numFmt w:val="bullet"/>
      <w:lvlText w:val=""/>
      <w:lvlJc w:val="left"/>
      <w:pPr>
        <w:ind w:left="420" w:hanging="420"/>
      </w:pPr>
      <w:rPr>
        <w:rFonts w:ascii="Wingdings" w:hAnsi="Wingdings" w:hint="default"/>
      </w:rPr>
    </w:lvl>
  </w:abstractNum>
  <w:abstractNum w:abstractNumId="1" w15:restartNumberingAfterBreak="0">
    <w:nsid w:val="DAA3684B"/>
    <w:multiLevelType w:val="singleLevel"/>
    <w:tmpl w:val="DAA3684B"/>
    <w:lvl w:ilvl="0">
      <w:start w:val="1"/>
      <w:numFmt w:val="decimal"/>
      <w:suff w:val="space"/>
      <w:lvlText w:val="%1."/>
      <w:lvlJc w:val="left"/>
    </w:lvl>
  </w:abstractNum>
  <w:abstractNum w:abstractNumId="2" w15:restartNumberingAfterBreak="0">
    <w:nsid w:val="0AE76F89"/>
    <w:multiLevelType w:val="hybridMultilevel"/>
    <w:tmpl w:val="69CA0CA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A89285F"/>
    <w:multiLevelType w:val="hybridMultilevel"/>
    <w:tmpl w:val="1748A9B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029383B"/>
    <w:multiLevelType w:val="hybridMultilevel"/>
    <w:tmpl w:val="5C826E1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413286D6"/>
    <w:multiLevelType w:val="singleLevel"/>
    <w:tmpl w:val="413286D6"/>
    <w:lvl w:ilvl="0">
      <w:start w:val="1"/>
      <w:numFmt w:val="bullet"/>
      <w:lvlText w:val=""/>
      <w:lvlJc w:val="left"/>
      <w:pPr>
        <w:ind w:left="420" w:hanging="420"/>
      </w:pPr>
      <w:rPr>
        <w:rFonts w:ascii="Wingdings" w:hAnsi="Wingdings" w:hint="default"/>
      </w:rPr>
    </w:lvl>
  </w:abstractNum>
  <w:abstractNum w:abstractNumId="6" w15:restartNumberingAfterBreak="0">
    <w:nsid w:val="7A7125D5"/>
    <w:multiLevelType w:val="singleLevel"/>
    <w:tmpl w:val="7A7125D5"/>
    <w:lvl w:ilvl="0">
      <w:start w:val="1"/>
      <w:numFmt w:val="bullet"/>
      <w:lvlText w:val=""/>
      <w:lvlJc w:val="left"/>
      <w:pPr>
        <w:ind w:left="420" w:hanging="420"/>
      </w:pPr>
      <w:rPr>
        <w:rFonts w:ascii="Wingdings" w:hAnsi="Wingdings" w:hint="default"/>
      </w:rPr>
    </w:lvl>
  </w:abstractNum>
  <w:num w:numId="1" w16cid:durableId="1909073640">
    <w:abstractNumId w:val="5"/>
  </w:num>
  <w:num w:numId="2" w16cid:durableId="256796002">
    <w:abstractNumId w:val="1"/>
  </w:num>
  <w:num w:numId="3" w16cid:durableId="404841654">
    <w:abstractNumId w:val="0"/>
  </w:num>
  <w:num w:numId="4" w16cid:durableId="1442261015">
    <w:abstractNumId w:val="6"/>
  </w:num>
  <w:num w:numId="5" w16cid:durableId="273054385">
    <w:abstractNumId w:val="3"/>
  </w:num>
  <w:num w:numId="6" w16cid:durableId="873277156">
    <w:abstractNumId w:val="4"/>
  </w:num>
  <w:num w:numId="7" w16cid:durableId="2113553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1813"/>
    <w:rsid w:val="00074D61"/>
    <w:rsid w:val="00090868"/>
    <w:rsid w:val="000D7418"/>
    <w:rsid w:val="00131504"/>
    <w:rsid w:val="00134F05"/>
    <w:rsid w:val="001A4717"/>
    <w:rsid w:val="001F4315"/>
    <w:rsid w:val="001F64EB"/>
    <w:rsid w:val="002212E6"/>
    <w:rsid w:val="0023077E"/>
    <w:rsid w:val="00262222"/>
    <w:rsid w:val="00294BC9"/>
    <w:rsid w:val="002D7E8D"/>
    <w:rsid w:val="002E1BFA"/>
    <w:rsid w:val="00360D7F"/>
    <w:rsid w:val="003F5679"/>
    <w:rsid w:val="00455D58"/>
    <w:rsid w:val="00461813"/>
    <w:rsid w:val="00472B88"/>
    <w:rsid w:val="0048387D"/>
    <w:rsid w:val="004C0E45"/>
    <w:rsid w:val="004E05C9"/>
    <w:rsid w:val="004F0369"/>
    <w:rsid w:val="00503AC9"/>
    <w:rsid w:val="005127E7"/>
    <w:rsid w:val="00534201"/>
    <w:rsid w:val="00545930"/>
    <w:rsid w:val="0057675B"/>
    <w:rsid w:val="005911D8"/>
    <w:rsid w:val="005A05BB"/>
    <w:rsid w:val="005E498E"/>
    <w:rsid w:val="005F5F90"/>
    <w:rsid w:val="00600753"/>
    <w:rsid w:val="00607A20"/>
    <w:rsid w:val="006417CB"/>
    <w:rsid w:val="0067594E"/>
    <w:rsid w:val="006F62ED"/>
    <w:rsid w:val="007358C7"/>
    <w:rsid w:val="00755CA9"/>
    <w:rsid w:val="007B6802"/>
    <w:rsid w:val="007C0879"/>
    <w:rsid w:val="007C5214"/>
    <w:rsid w:val="007C7537"/>
    <w:rsid w:val="007D551D"/>
    <w:rsid w:val="007E71EB"/>
    <w:rsid w:val="007F5717"/>
    <w:rsid w:val="00803FA9"/>
    <w:rsid w:val="00831BED"/>
    <w:rsid w:val="00832A57"/>
    <w:rsid w:val="00862DC4"/>
    <w:rsid w:val="0087178F"/>
    <w:rsid w:val="008C25C4"/>
    <w:rsid w:val="008D46AF"/>
    <w:rsid w:val="009B32A7"/>
    <w:rsid w:val="009B5EEA"/>
    <w:rsid w:val="00A1133D"/>
    <w:rsid w:val="00AA2109"/>
    <w:rsid w:val="00AA3721"/>
    <w:rsid w:val="00B2126B"/>
    <w:rsid w:val="00B40B36"/>
    <w:rsid w:val="00B558EB"/>
    <w:rsid w:val="00BC2544"/>
    <w:rsid w:val="00BC796E"/>
    <w:rsid w:val="00BF33EC"/>
    <w:rsid w:val="00C86A3A"/>
    <w:rsid w:val="00D52A8B"/>
    <w:rsid w:val="00D8736D"/>
    <w:rsid w:val="00DC2454"/>
    <w:rsid w:val="00E80873"/>
    <w:rsid w:val="00EB401F"/>
    <w:rsid w:val="00EB6277"/>
    <w:rsid w:val="00EC32DB"/>
    <w:rsid w:val="00F17EAE"/>
    <w:rsid w:val="00F26485"/>
    <w:rsid w:val="00F326E0"/>
    <w:rsid w:val="00F413A9"/>
    <w:rsid w:val="00F865A9"/>
    <w:rsid w:val="01053D4B"/>
    <w:rsid w:val="126660CC"/>
    <w:rsid w:val="17A056D1"/>
    <w:rsid w:val="19A8535B"/>
    <w:rsid w:val="237464B5"/>
    <w:rsid w:val="2A5071DC"/>
    <w:rsid w:val="3D1D6D77"/>
    <w:rsid w:val="3E741203"/>
    <w:rsid w:val="3F8D6285"/>
    <w:rsid w:val="418B58D5"/>
    <w:rsid w:val="5715646F"/>
    <w:rsid w:val="5A86312A"/>
    <w:rsid w:val="5F7858AF"/>
    <w:rsid w:val="63647537"/>
    <w:rsid w:val="7B06790C"/>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B50E5A"/>
  <w15:docId w15:val="{572F56E1-12B7-42DD-A025-FA4075A8F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header" w:qFormat="1"/>
    <w:lsdException w:name="footer" w:uiPriority="99" w:qFormat="1"/>
    <w:lsdException w:name="caption" w:semiHidden="1" w:uiPriority="35"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34" w:unhideWhenUsed="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imes New Roman" w:eastAsia="楷体" w:hAnsi="Times New Roman" w:cs="Times New Roman"/>
      <w:kern w:val="21"/>
      <w:sz w:val="28"/>
      <w:szCs w:val="28"/>
      <w:u w:color="FF0000"/>
      <w:lang w:val="en-GB"/>
    </w:rPr>
  </w:style>
  <w:style w:type="paragraph" w:styleId="1">
    <w:name w:val="heading 1"/>
    <w:basedOn w:val="a"/>
    <w:next w:val="a"/>
    <w:qFormat/>
    <w:pPr>
      <w:outlineLvl w:val="0"/>
    </w:pPr>
    <w:rPr>
      <w:b/>
      <w:bCs/>
    </w:rPr>
  </w:style>
  <w:style w:type="paragraph" w:styleId="2">
    <w:name w:val="heading 2"/>
    <w:basedOn w:val="a"/>
    <w:next w:val="a"/>
    <w:unhideWhenUsed/>
    <w:qFormat/>
    <w:rsid w:val="00F413A9"/>
    <w:pPr>
      <w:keepNext/>
      <w:keepLines/>
      <w:spacing w:before="260" w:after="260" w:line="413" w:lineRule="auto"/>
      <w:outlineLvl w:val="1"/>
    </w:pPr>
    <w:rPr>
      <w:b/>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qFormat/>
    <w:pPr>
      <w:tabs>
        <w:tab w:val="center" w:pos="4153"/>
        <w:tab w:val="right" w:pos="8306"/>
      </w:tabs>
      <w:snapToGrid w:val="0"/>
      <w:jc w:val="left"/>
    </w:pPr>
    <w:rPr>
      <w:sz w:val="18"/>
    </w:rPr>
  </w:style>
  <w:style w:type="paragraph" w:styleId="a5">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qFormat/>
  </w:style>
  <w:style w:type="paragraph" w:styleId="a6">
    <w:name w:val="List Paragraph"/>
    <w:basedOn w:val="a"/>
    <w:uiPriority w:val="34"/>
    <w:unhideWhenUsed/>
    <w:qFormat/>
    <w:rsid w:val="00EB6277"/>
    <w:pPr>
      <w:ind w:firstLineChars="200" w:firstLine="420"/>
    </w:pPr>
  </w:style>
  <w:style w:type="table" w:styleId="a7">
    <w:name w:val="Table Grid"/>
    <w:basedOn w:val="a1"/>
    <w:uiPriority w:val="39"/>
    <w:rsid w:val="004E05C9"/>
    <w:rPr>
      <w:rFonts w:ascii="Times New Roman" w:eastAsia="楷体" w:hAnsi="Times New Roman"/>
      <w:kern w:val="2"/>
      <w:sz w:val="24"/>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a"/>
    <w:next w:val="a"/>
    <w:autoRedefine/>
    <w:uiPriority w:val="39"/>
    <w:unhideWhenUsed/>
    <w:rsid w:val="004E05C9"/>
    <w:pPr>
      <w:ind w:leftChars="200" w:left="420"/>
    </w:pPr>
  </w:style>
  <w:style w:type="character" w:styleId="a8">
    <w:name w:val="Hyperlink"/>
    <w:basedOn w:val="a0"/>
    <w:uiPriority w:val="99"/>
    <w:unhideWhenUsed/>
    <w:rsid w:val="004E05C9"/>
    <w:rPr>
      <w:color w:val="0026E5" w:themeColor="hyperlink"/>
      <w:u w:val="single"/>
    </w:rPr>
  </w:style>
  <w:style w:type="paragraph" w:styleId="a9">
    <w:name w:val="caption"/>
    <w:basedOn w:val="a"/>
    <w:next w:val="a"/>
    <w:uiPriority w:val="35"/>
    <w:semiHidden/>
    <w:unhideWhenUsed/>
    <w:qFormat/>
    <w:rsid w:val="004E05C9"/>
    <w:rPr>
      <w:rFonts w:asciiTheme="majorHAnsi" w:eastAsia="黑体" w:hAnsiTheme="majorHAnsi" w:cstheme="majorBidi"/>
      <w:sz w:val="20"/>
      <w:szCs w:val="20"/>
    </w:rPr>
  </w:style>
  <w:style w:type="character" w:customStyle="1" w:styleId="a4">
    <w:name w:val="页脚 字符"/>
    <w:basedOn w:val="a0"/>
    <w:link w:val="a3"/>
    <w:uiPriority w:val="99"/>
    <w:rsid w:val="00B558EB"/>
    <w:rPr>
      <w:rFonts w:ascii="Times New Roman" w:eastAsia="楷体" w:hAnsi="Times New Roman" w:cs="Times New Roman"/>
      <w:kern w:val="21"/>
      <w:sz w:val="18"/>
      <w:szCs w:val="28"/>
      <w:u w:color="FF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76607">
      <w:bodyDiv w:val="1"/>
      <w:marLeft w:val="0"/>
      <w:marRight w:val="0"/>
      <w:marTop w:val="0"/>
      <w:marBottom w:val="0"/>
      <w:divBdr>
        <w:top w:val="none" w:sz="0" w:space="0" w:color="auto"/>
        <w:left w:val="none" w:sz="0" w:space="0" w:color="auto"/>
        <w:bottom w:val="none" w:sz="0" w:space="0" w:color="auto"/>
        <w:right w:val="none" w:sz="0" w:space="0" w:color="auto"/>
      </w:divBdr>
    </w:div>
    <w:div w:id="41295774">
      <w:bodyDiv w:val="1"/>
      <w:marLeft w:val="0"/>
      <w:marRight w:val="0"/>
      <w:marTop w:val="0"/>
      <w:marBottom w:val="0"/>
      <w:divBdr>
        <w:top w:val="none" w:sz="0" w:space="0" w:color="auto"/>
        <w:left w:val="none" w:sz="0" w:space="0" w:color="auto"/>
        <w:bottom w:val="none" w:sz="0" w:space="0" w:color="auto"/>
        <w:right w:val="none" w:sz="0" w:space="0" w:color="auto"/>
      </w:divBdr>
    </w:div>
    <w:div w:id="45186983">
      <w:bodyDiv w:val="1"/>
      <w:marLeft w:val="0"/>
      <w:marRight w:val="0"/>
      <w:marTop w:val="0"/>
      <w:marBottom w:val="0"/>
      <w:divBdr>
        <w:top w:val="none" w:sz="0" w:space="0" w:color="auto"/>
        <w:left w:val="none" w:sz="0" w:space="0" w:color="auto"/>
        <w:bottom w:val="none" w:sz="0" w:space="0" w:color="auto"/>
        <w:right w:val="none" w:sz="0" w:space="0" w:color="auto"/>
      </w:divBdr>
    </w:div>
    <w:div w:id="58406604">
      <w:bodyDiv w:val="1"/>
      <w:marLeft w:val="0"/>
      <w:marRight w:val="0"/>
      <w:marTop w:val="0"/>
      <w:marBottom w:val="0"/>
      <w:divBdr>
        <w:top w:val="none" w:sz="0" w:space="0" w:color="auto"/>
        <w:left w:val="none" w:sz="0" w:space="0" w:color="auto"/>
        <w:bottom w:val="none" w:sz="0" w:space="0" w:color="auto"/>
        <w:right w:val="none" w:sz="0" w:space="0" w:color="auto"/>
      </w:divBdr>
    </w:div>
    <w:div w:id="60181003">
      <w:bodyDiv w:val="1"/>
      <w:marLeft w:val="0"/>
      <w:marRight w:val="0"/>
      <w:marTop w:val="0"/>
      <w:marBottom w:val="0"/>
      <w:divBdr>
        <w:top w:val="none" w:sz="0" w:space="0" w:color="auto"/>
        <w:left w:val="none" w:sz="0" w:space="0" w:color="auto"/>
        <w:bottom w:val="none" w:sz="0" w:space="0" w:color="auto"/>
        <w:right w:val="none" w:sz="0" w:space="0" w:color="auto"/>
      </w:divBdr>
    </w:div>
    <w:div w:id="81689298">
      <w:bodyDiv w:val="1"/>
      <w:marLeft w:val="0"/>
      <w:marRight w:val="0"/>
      <w:marTop w:val="0"/>
      <w:marBottom w:val="0"/>
      <w:divBdr>
        <w:top w:val="none" w:sz="0" w:space="0" w:color="auto"/>
        <w:left w:val="none" w:sz="0" w:space="0" w:color="auto"/>
        <w:bottom w:val="none" w:sz="0" w:space="0" w:color="auto"/>
        <w:right w:val="none" w:sz="0" w:space="0" w:color="auto"/>
      </w:divBdr>
    </w:div>
    <w:div w:id="205338426">
      <w:bodyDiv w:val="1"/>
      <w:marLeft w:val="0"/>
      <w:marRight w:val="0"/>
      <w:marTop w:val="0"/>
      <w:marBottom w:val="0"/>
      <w:divBdr>
        <w:top w:val="none" w:sz="0" w:space="0" w:color="auto"/>
        <w:left w:val="none" w:sz="0" w:space="0" w:color="auto"/>
        <w:bottom w:val="none" w:sz="0" w:space="0" w:color="auto"/>
        <w:right w:val="none" w:sz="0" w:space="0" w:color="auto"/>
      </w:divBdr>
    </w:div>
    <w:div w:id="209466810">
      <w:bodyDiv w:val="1"/>
      <w:marLeft w:val="0"/>
      <w:marRight w:val="0"/>
      <w:marTop w:val="0"/>
      <w:marBottom w:val="0"/>
      <w:divBdr>
        <w:top w:val="none" w:sz="0" w:space="0" w:color="auto"/>
        <w:left w:val="none" w:sz="0" w:space="0" w:color="auto"/>
        <w:bottom w:val="none" w:sz="0" w:space="0" w:color="auto"/>
        <w:right w:val="none" w:sz="0" w:space="0" w:color="auto"/>
      </w:divBdr>
    </w:div>
    <w:div w:id="226230720">
      <w:bodyDiv w:val="1"/>
      <w:marLeft w:val="0"/>
      <w:marRight w:val="0"/>
      <w:marTop w:val="0"/>
      <w:marBottom w:val="0"/>
      <w:divBdr>
        <w:top w:val="none" w:sz="0" w:space="0" w:color="auto"/>
        <w:left w:val="none" w:sz="0" w:space="0" w:color="auto"/>
        <w:bottom w:val="none" w:sz="0" w:space="0" w:color="auto"/>
        <w:right w:val="none" w:sz="0" w:space="0" w:color="auto"/>
      </w:divBdr>
    </w:div>
    <w:div w:id="242449974">
      <w:bodyDiv w:val="1"/>
      <w:marLeft w:val="0"/>
      <w:marRight w:val="0"/>
      <w:marTop w:val="0"/>
      <w:marBottom w:val="0"/>
      <w:divBdr>
        <w:top w:val="none" w:sz="0" w:space="0" w:color="auto"/>
        <w:left w:val="none" w:sz="0" w:space="0" w:color="auto"/>
        <w:bottom w:val="none" w:sz="0" w:space="0" w:color="auto"/>
        <w:right w:val="none" w:sz="0" w:space="0" w:color="auto"/>
      </w:divBdr>
    </w:div>
    <w:div w:id="275214949">
      <w:bodyDiv w:val="1"/>
      <w:marLeft w:val="0"/>
      <w:marRight w:val="0"/>
      <w:marTop w:val="0"/>
      <w:marBottom w:val="0"/>
      <w:divBdr>
        <w:top w:val="none" w:sz="0" w:space="0" w:color="auto"/>
        <w:left w:val="none" w:sz="0" w:space="0" w:color="auto"/>
        <w:bottom w:val="none" w:sz="0" w:space="0" w:color="auto"/>
        <w:right w:val="none" w:sz="0" w:space="0" w:color="auto"/>
      </w:divBdr>
    </w:div>
    <w:div w:id="392194264">
      <w:bodyDiv w:val="1"/>
      <w:marLeft w:val="0"/>
      <w:marRight w:val="0"/>
      <w:marTop w:val="0"/>
      <w:marBottom w:val="0"/>
      <w:divBdr>
        <w:top w:val="none" w:sz="0" w:space="0" w:color="auto"/>
        <w:left w:val="none" w:sz="0" w:space="0" w:color="auto"/>
        <w:bottom w:val="none" w:sz="0" w:space="0" w:color="auto"/>
        <w:right w:val="none" w:sz="0" w:space="0" w:color="auto"/>
      </w:divBdr>
    </w:div>
    <w:div w:id="394744489">
      <w:bodyDiv w:val="1"/>
      <w:marLeft w:val="0"/>
      <w:marRight w:val="0"/>
      <w:marTop w:val="0"/>
      <w:marBottom w:val="0"/>
      <w:divBdr>
        <w:top w:val="none" w:sz="0" w:space="0" w:color="auto"/>
        <w:left w:val="none" w:sz="0" w:space="0" w:color="auto"/>
        <w:bottom w:val="none" w:sz="0" w:space="0" w:color="auto"/>
        <w:right w:val="none" w:sz="0" w:space="0" w:color="auto"/>
      </w:divBdr>
    </w:div>
    <w:div w:id="398788728">
      <w:bodyDiv w:val="1"/>
      <w:marLeft w:val="0"/>
      <w:marRight w:val="0"/>
      <w:marTop w:val="0"/>
      <w:marBottom w:val="0"/>
      <w:divBdr>
        <w:top w:val="none" w:sz="0" w:space="0" w:color="auto"/>
        <w:left w:val="none" w:sz="0" w:space="0" w:color="auto"/>
        <w:bottom w:val="none" w:sz="0" w:space="0" w:color="auto"/>
        <w:right w:val="none" w:sz="0" w:space="0" w:color="auto"/>
      </w:divBdr>
    </w:div>
    <w:div w:id="415518143">
      <w:bodyDiv w:val="1"/>
      <w:marLeft w:val="0"/>
      <w:marRight w:val="0"/>
      <w:marTop w:val="0"/>
      <w:marBottom w:val="0"/>
      <w:divBdr>
        <w:top w:val="none" w:sz="0" w:space="0" w:color="auto"/>
        <w:left w:val="none" w:sz="0" w:space="0" w:color="auto"/>
        <w:bottom w:val="none" w:sz="0" w:space="0" w:color="auto"/>
        <w:right w:val="none" w:sz="0" w:space="0" w:color="auto"/>
      </w:divBdr>
    </w:div>
    <w:div w:id="423452253">
      <w:bodyDiv w:val="1"/>
      <w:marLeft w:val="0"/>
      <w:marRight w:val="0"/>
      <w:marTop w:val="0"/>
      <w:marBottom w:val="0"/>
      <w:divBdr>
        <w:top w:val="none" w:sz="0" w:space="0" w:color="auto"/>
        <w:left w:val="none" w:sz="0" w:space="0" w:color="auto"/>
        <w:bottom w:val="none" w:sz="0" w:space="0" w:color="auto"/>
        <w:right w:val="none" w:sz="0" w:space="0" w:color="auto"/>
      </w:divBdr>
    </w:div>
    <w:div w:id="571937647">
      <w:bodyDiv w:val="1"/>
      <w:marLeft w:val="0"/>
      <w:marRight w:val="0"/>
      <w:marTop w:val="0"/>
      <w:marBottom w:val="0"/>
      <w:divBdr>
        <w:top w:val="none" w:sz="0" w:space="0" w:color="auto"/>
        <w:left w:val="none" w:sz="0" w:space="0" w:color="auto"/>
        <w:bottom w:val="none" w:sz="0" w:space="0" w:color="auto"/>
        <w:right w:val="none" w:sz="0" w:space="0" w:color="auto"/>
      </w:divBdr>
    </w:div>
    <w:div w:id="628827876">
      <w:bodyDiv w:val="1"/>
      <w:marLeft w:val="0"/>
      <w:marRight w:val="0"/>
      <w:marTop w:val="0"/>
      <w:marBottom w:val="0"/>
      <w:divBdr>
        <w:top w:val="none" w:sz="0" w:space="0" w:color="auto"/>
        <w:left w:val="none" w:sz="0" w:space="0" w:color="auto"/>
        <w:bottom w:val="none" w:sz="0" w:space="0" w:color="auto"/>
        <w:right w:val="none" w:sz="0" w:space="0" w:color="auto"/>
      </w:divBdr>
    </w:div>
    <w:div w:id="693381723">
      <w:bodyDiv w:val="1"/>
      <w:marLeft w:val="0"/>
      <w:marRight w:val="0"/>
      <w:marTop w:val="0"/>
      <w:marBottom w:val="0"/>
      <w:divBdr>
        <w:top w:val="none" w:sz="0" w:space="0" w:color="auto"/>
        <w:left w:val="none" w:sz="0" w:space="0" w:color="auto"/>
        <w:bottom w:val="none" w:sz="0" w:space="0" w:color="auto"/>
        <w:right w:val="none" w:sz="0" w:space="0" w:color="auto"/>
      </w:divBdr>
    </w:div>
    <w:div w:id="715544199">
      <w:bodyDiv w:val="1"/>
      <w:marLeft w:val="0"/>
      <w:marRight w:val="0"/>
      <w:marTop w:val="0"/>
      <w:marBottom w:val="0"/>
      <w:divBdr>
        <w:top w:val="none" w:sz="0" w:space="0" w:color="auto"/>
        <w:left w:val="none" w:sz="0" w:space="0" w:color="auto"/>
        <w:bottom w:val="none" w:sz="0" w:space="0" w:color="auto"/>
        <w:right w:val="none" w:sz="0" w:space="0" w:color="auto"/>
      </w:divBdr>
    </w:div>
    <w:div w:id="725372233">
      <w:bodyDiv w:val="1"/>
      <w:marLeft w:val="0"/>
      <w:marRight w:val="0"/>
      <w:marTop w:val="0"/>
      <w:marBottom w:val="0"/>
      <w:divBdr>
        <w:top w:val="none" w:sz="0" w:space="0" w:color="auto"/>
        <w:left w:val="none" w:sz="0" w:space="0" w:color="auto"/>
        <w:bottom w:val="none" w:sz="0" w:space="0" w:color="auto"/>
        <w:right w:val="none" w:sz="0" w:space="0" w:color="auto"/>
      </w:divBdr>
    </w:div>
    <w:div w:id="778716496">
      <w:bodyDiv w:val="1"/>
      <w:marLeft w:val="0"/>
      <w:marRight w:val="0"/>
      <w:marTop w:val="0"/>
      <w:marBottom w:val="0"/>
      <w:divBdr>
        <w:top w:val="none" w:sz="0" w:space="0" w:color="auto"/>
        <w:left w:val="none" w:sz="0" w:space="0" w:color="auto"/>
        <w:bottom w:val="none" w:sz="0" w:space="0" w:color="auto"/>
        <w:right w:val="none" w:sz="0" w:space="0" w:color="auto"/>
      </w:divBdr>
    </w:div>
    <w:div w:id="840510164">
      <w:bodyDiv w:val="1"/>
      <w:marLeft w:val="0"/>
      <w:marRight w:val="0"/>
      <w:marTop w:val="0"/>
      <w:marBottom w:val="0"/>
      <w:divBdr>
        <w:top w:val="none" w:sz="0" w:space="0" w:color="auto"/>
        <w:left w:val="none" w:sz="0" w:space="0" w:color="auto"/>
        <w:bottom w:val="none" w:sz="0" w:space="0" w:color="auto"/>
        <w:right w:val="none" w:sz="0" w:space="0" w:color="auto"/>
      </w:divBdr>
    </w:div>
    <w:div w:id="895773713">
      <w:bodyDiv w:val="1"/>
      <w:marLeft w:val="0"/>
      <w:marRight w:val="0"/>
      <w:marTop w:val="0"/>
      <w:marBottom w:val="0"/>
      <w:divBdr>
        <w:top w:val="none" w:sz="0" w:space="0" w:color="auto"/>
        <w:left w:val="none" w:sz="0" w:space="0" w:color="auto"/>
        <w:bottom w:val="none" w:sz="0" w:space="0" w:color="auto"/>
        <w:right w:val="none" w:sz="0" w:space="0" w:color="auto"/>
      </w:divBdr>
    </w:div>
    <w:div w:id="920022361">
      <w:bodyDiv w:val="1"/>
      <w:marLeft w:val="0"/>
      <w:marRight w:val="0"/>
      <w:marTop w:val="0"/>
      <w:marBottom w:val="0"/>
      <w:divBdr>
        <w:top w:val="none" w:sz="0" w:space="0" w:color="auto"/>
        <w:left w:val="none" w:sz="0" w:space="0" w:color="auto"/>
        <w:bottom w:val="none" w:sz="0" w:space="0" w:color="auto"/>
        <w:right w:val="none" w:sz="0" w:space="0" w:color="auto"/>
      </w:divBdr>
      <w:divsChild>
        <w:div w:id="469130872">
          <w:marLeft w:val="0"/>
          <w:marRight w:val="0"/>
          <w:marTop w:val="0"/>
          <w:marBottom w:val="0"/>
          <w:divBdr>
            <w:top w:val="none" w:sz="0" w:space="0" w:color="auto"/>
            <w:left w:val="none" w:sz="0" w:space="0" w:color="auto"/>
            <w:bottom w:val="none" w:sz="0" w:space="0" w:color="auto"/>
            <w:right w:val="none" w:sz="0" w:space="0" w:color="auto"/>
          </w:divBdr>
          <w:divsChild>
            <w:div w:id="204297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78280">
      <w:bodyDiv w:val="1"/>
      <w:marLeft w:val="0"/>
      <w:marRight w:val="0"/>
      <w:marTop w:val="0"/>
      <w:marBottom w:val="0"/>
      <w:divBdr>
        <w:top w:val="none" w:sz="0" w:space="0" w:color="auto"/>
        <w:left w:val="none" w:sz="0" w:space="0" w:color="auto"/>
        <w:bottom w:val="none" w:sz="0" w:space="0" w:color="auto"/>
        <w:right w:val="none" w:sz="0" w:space="0" w:color="auto"/>
      </w:divBdr>
    </w:div>
    <w:div w:id="993416382">
      <w:bodyDiv w:val="1"/>
      <w:marLeft w:val="0"/>
      <w:marRight w:val="0"/>
      <w:marTop w:val="0"/>
      <w:marBottom w:val="0"/>
      <w:divBdr>
        <w:top w:val="none" w:sz="0" w:space="0" w:color="auto"/>
        <w:left w:val="none" w:sz="0" w:space="0" w:color="auto"/>
        <w:bottom w:val="none" w:sz="0" w:space="0" w:color="auto"/>
        <w:right w:val="none" w:sz="0" w:space="0" w:color="auto"/>
      </w:divBdr>
    </w:div>
    <w:div w:id="1023825971">
      <w:bodyDiv w:val="1"/>
      <w:marLeft w:val="0"/>
      <w:marRight w:val="0"/>
      <w:marTop w:val="0"/>
      <w:marBottom w:val="0"/>
      <w:divBdr>
        <w:top w:val="none" w:sz="0" w:space="0" w:color="auto"/>
        <w:left w:val="none" w:sz="0" w:space="0" w:color="auto"/>
        <w:bottom w:val="none" w:sz="0" w:space="0" w:color="auto"/>
        <w:right w:val="none" w:sz="0" w:space="0" w:color="auto"/>
      </w:divBdr>
      <w:divsChild>
        <w:div w:id="727538265">
          <w:marLeft w:val="0"/>
          <w:marRight w:val="0"/>
          <w:marTop w:val="0"/>
          <w:marBottom w:val="0"/>
          <w:divBdr>
            <w:top w:val="none" w:sz="0" w:space="0" w:color="auto"/>
            <w:left w:val="none" w:sz="0" w:space="0" w:color="auto"/>
            <w:bottom w:val="none" w:sz="0" w:space="0" w:color="auto"/>
            <w:right w:val="none" w:sz="0" w:space="0" w:color="auto"/>
          </w:divBdr>
          <w:divsChild>
            <w:div w:id="178010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791076">
      <w:bodyDiv w:val="1"/>
      <w:marLeft w:val="0"/>
      <w:marRight w:val="0"/>
      <w:marTop w:val="0"/>
      <w:marBottom w:val="0"/>
      <w:divBdr>
        <w:top w:val="none" w:sz="0" w:space="0" w:color="auto"/>
        <w:left w:val="none" w:sz="0" w:space="0" w:color="auto"/>
        <w:bottom w:val="none" w:sz="0" w:space="0" w:color="auto"/>
        <w:right w:val="none" w:sz="0" w:space="0" w:color="auto"/>
      </w:divBdr>
    </w:div>
    <w:div w:id="1117984341">
      <w:bodyDiv w:val="1"/>
      <w:marLeft w:val="0"/>
      <w:marRight w:val="0"/>
      <w:marTop w:val="0"/>
      <w:marBottom w:val="0"/>
      <w:divBdr>
        <w:top w:val="none" w:sz="0" w:space="0" w:color="auto"/>
        <w:left w:val="none" w:sz="0" w:space="0" w:color="auto"/>
        <w:bottom w:val="none" w:sz="0" w:space="0" w:color="auto"/>
        <w:right w:val="none" w:sz="0" w:space="0" w:color="auto"/>
      </w:divBdr>
    </w:div>
    <w:div w:id="1199702053">
      <w:bodyDiv w:val="1"/>
      <w:marLeft w:val="0"/>
      <w:marRight w:val="0"/>
      <w:marTop w:val="0"/>
      <w:marBottom w:val="0"/>
      <w:divBdr>
        <w:top w:val="none" w:sz="0" w:space="0" w:color="auto"/>
        <w:left w:val="none" w:sz="0" w:space="0" w:color="auto"/>
        <w:bottom w:val="none" w:sz="0" w:space="0" w:color="auto"/>
        <w:right w:val="none" w:sz="0" w:space="0" w:color="auto"/>
      </w:divBdr>
    </w:div>
    <w:div w:id="1218202821">
      <w:bodyDiv w:val="1"/>
      <w:marLeft w:val="0"/>
      <w:marRight w:val="0"/>
      <w:marTop w:val="0"/>
      <w:marBottom w:val="0"/>
      <w:divBdr>
        <w:top w:val="none" w:sz="0" w:space="0" w:color="auto"/>
        <w:left w:val="none" w:sz="0" w:space="0" w:color="auto"/>
        <w:bottom w:val="none" w:sz="0" w:space="0" w:color="auto"/>
        <w:right w:val="none" w:sz="0" w:space="0" w:color="auto"/>
      </w:divBdr>
    </w:div>
    <w:div w:id="1232691206">
      <w:bodyDiv w:val="1"/>
      <w:marLeft w:val="0"/>
      <w:marRight w:val="0"/>
      <w:marTop w:val="0"/>
      <w:marBottom w:val="0"/>
      <w:divBdr>
        <w:top w:val="none" w:sz="0" w:space="0" w:color="auto"/>
        <w:left w:val="none" w:sz="0" w:space="0" w:color="auto"/>
        <w:bottom w:val="none" w:sz="0" w:space="0" w:color="auto"/>
        <w:right w:val="none" w:sz="0" w:space="0" w:color="auto"/>
      </w:divBdr>
    </w:div>
    <w:div w:id="1297756503">
      <w:bodyDiv w:val="1"/>
      <w:marLeft w:val="0"/>
      <w:marRight w:val="0"/>
      <w:marTop w:val="0"/>
      <w:marBottom w:val="0"/>
      <w:divBdr>
        <w:top w:val="none" w:sz="0" w:space="0" w:color="auto"/>
        <w:left w:val="none" w:sz="0" w:space="0" w:color="auto"/>
        <w:bottom w:val="none" w:sz="0" w:space="0" w:color="auto"/>
        <w:right w:val="none" w:sz="0" w:space="0" w:color="auto"/>
      </w:divBdr>
    </w:div>
    <w:div w:id="1326133738">
      <w:bodyDiv w:val="1"/>
      <w:marLeft w:val="0"/>
      <w:marRight w:val="0"/>
      <w:marTop w:val="0"/>
      <w:marBottom w:val="0"/>
      <w:divBdr>
        <w:top w:val="none" w:sz="0" w:space="0" w:color="auto"/>
        <w:left w:val="none" w:sz="0" w:space="0" w:color="auto"/>
        <w:bottom w:val="none" w:sz="0" w:space="0" w:color="auto"/>
        <w:right w:val="none" w:sz="0" w:space="0" w:color="auto"/>
      </w:divBdr>
    </w:div>
    <w:div w:id="1435784891">
      <w:bodyDiv w:val="1"/>
      <w:marLeft w:val="0"/>
      <w:marRight w:val="0"/>
      <w:marTop w:val="0"/>
      <w:marBottom w:val="0"/>
      <w:divBdr>
        <w:top w:val="none" w:sz="0" w:space="0" w:color="auto"/>
        <w:left w:val="none" w:sz="0" w:space="0" w:color="auto"/>
        <w:bottom w:val="none" w:sz="0" w:space="0" w:color="auto"/>
        <w:right w:val="none" w:sz="0" w:space="0" w:color="auto"/>
      </w:divBdr>
    </w:div>
    <w:div w:id="1520046156">
      <w:bodyDiv w:val="1"/>
      <w:marLeft w:val="0"/>
      <w:marRight w:val="0"/>
      <w:marTop w:val="0"/>
      <w:marBottom w:val="0"/>
      <w:divBdr>
        <w:top w:val="none" w:sz="0" w:space="0" w:color="auto"/>
        <w:left w:val="none" w:sz="0" w:space="0" w:color="auto"/>
        <w:bottom w:val="none" w:sz="0" w:space="0" w:color="auto"/>
        <w:right w:val="none" w:sz="0" w:space="0" w:color="auto"/>
      </w:divBdr>
    </w:div>
    <w:div w:id="1565142369">
      <w:bodyDiv w:val="1"/>
      <w:marLeft w:val="0"/>
      <w:marRight w:val="0"/>
      <w:marTop w:val="0"/>
      <w:marBottom w:val="0"/>
      <w:divBdr>
        <w:top w:val="none" w:sz="0" w:space="0" w:color="auto"/>
        <w:left w:val="none" w:sz="0" w:space="0" w:color="auto"/>
        <w:bottom w:val="none" w:sz="0" w:space="0" w:color="auto"/>
        <w:right w:val="none" w:sz="0" w:space="0" w:color="auto"/>
      </w:divBdr>
    </w:div>
    <w:div w:id="1587494599">
      <w:bodyDiv w:val="1"/>
      <w:marLeft w:val="0"/>
      <w:marRight w:val="0"/>
      <w:marTop w:val="0"/>
      <w:marBottom w:val="0"/>
      <w:divBdr>
        <w:top w:val="none" w:sz="0" w:space="0" w:color="auto"/>
        <w:left w:val="none" w:sz="0" w:space="0" w:color="auto"/>
        <w:bottom w:val="none" w:sz="0" w:space="0" w:color="auto"/>
        <w:right w:val="none" w:sz="0" w:space="0" w:color="auto"/>
      </w:divBdr>
    </w:div>
    <w:div w:id="1636833198">
      <w:bodyDiv w:val="1"/>
      <w:marLeft w:val="0"/>
      <w:marRight w:val="0"/>
      <w:marTop w:val="0"/>
      <w:marBottom w:val="0"/>
      <w:divBdr>
        <w:top w:val="none" w:sz="0" w:space="0" w:color="auto"/>
        <w:left w:val="none" w:sz="0" w:space="0" w:color="auto"/>
        <w:bottom w:val="none" w:sz="0" w:space="0" w:color="auto"/>
        <w:right w:val="none" w:sz="0" w:space="0" w:color="auto"/>
      </w:divBdr>
    </w:div>
    <w:div w:id="1662611468">
      <w:bodyDiv w:val="1"/>
      <w:marLeft w:val="0"/>
      <w:marRight w:val="0"/>
      <w:marTop w:val="0"/>
      <w:marBottom w:val="0"/>
      <w:divBdr>
        <w:top w:val="none" w:sz="0" w:space="0" w:color="auto"/>
        <w:left w:val="none" w:sz="0" w:space="0" w:color="auto"/>
        <w:bottom w:val="none" w:sz="0" w:space="0" w:color="auto"/>
        <w:right w:val="none" w:sz="0" w:space="0" w:color="auto"/>
      </w:divBdr>
    </w:div>
    <w:div w:id="1684089258">
      <w:bodyDiv w:val="1"/>
      <w:marLeft w:val="0"/>
      <w:marRight w:val="0"/>
      <w:marTop w:val="0"/>
      <w:marBottom w:val="0"/>
      <w:divBdr>
        <w:top w:val="none" w:sz="0" w:space="0" w:color="auto"/>
        <w:left w:val="none" w:sz="0" w:space="0" w:color="auto"/>
        <w:bottom w:val="none" w:sz="0" w:space="0" w:color="auto"/>
        <w:right w:val="none" w:sz="0" w:space="0" w:color="auto"/>
      </w:divBdr>
    </w:div>
    <w:div w:id="1697077507">
      <w:bodyDiv w:val="1"/>
      <w:marLeft w:val="0"/>
      <w:marRight w:val="0"/>
      <w:marTop w:val="0"/>
      <w:marBottom w:val="0"/>
      <w:divBdr>
        <w:top w:val="none" w:sz="0" w:space="0" w:color="auto"/>
        <w:left w:val="none" w:sz="0" w:space="0" w:color="auto"/>
        <w:bottom w:val="none" w:sz="0" w:space="0" w:color="auto"/>
        <w:right w:val="none" w:sz="0" w:space="0" w:color="auto"/>
      </w:divBdr>
    </w:div>
    <w:div w:id="1705640171">
      <w:bodyDiv w:val="1"/>
      <w:marLeft w:val="0"/>
      <w:marRight w:val="0"/>
      <w:marTop w:val="0"/>
      <w:marBottom w:val="0"/>
      <w:divBdr>
        <w:top w:val="none" w:sz="0" w:space="0" w:color="auto"/>
        <w:left w:val="none" w:sz="0" w:space="0" w:color="auto"/>
        <w:bottom w:val="none" w:sz="0" w:space="0" w:color="auto"/>
        <w:right w:val="none" w:sz="0" w:space="0" w:color="auto"/>
      </w:divBdr>
    </w:div>
    <w:div w:id="1709715468">
      <w:bodyDiv w:val="1"/>
      <w:marLeft w:val="0"/>
      <w:marRight w:val="0"/>
      <w:marTop w:val="0"/>
      <w:marBottom w:val="0"/>
      <w:divBdr>
        <w:top w:val="none" w:sz="0" w:space="0" w:color="auto"/>
        <w:left w:val="none" w:sz="0" w:space="0" w:color="auto"/>
        <w:bottom w:val="none" w:sz="0" w:space="0" w:color="auto"/>
        <w:right w:val="none" w:sz="0" w:space="0" w:color="auto"/>
      </w:divBdr>
    </w:div>
    <w:div w:id="1793939751">
      <w:bodyDiv w:val="1"/>
      <w:marLeft w:val="0"/>
      <w:marRight w:val="0"/>
      <w:marTop w:val="0"/>
      <w:marBottom w:val="0"/>
      <w:divBdr>
        <w:top w:val="none" w:sz="0" w:space="0" w:color="auto"/>
        <w:left w:val="none" w:sz="0" w:space="0" w:color="auto"/>
        <w:bottom w:val="none" w:sz="0" w:space="0" w:color="auto"/>
        <w:right w:val="none" w:sz="0" w:space="0" w:color="auto"/>
      </w:divBdr>
    </w:div>
    <w:div w:id="1814177319">
      <w:bodyDiv w:val="1"/>
      <w:marLeft w:val="0"/>
      <w:marRight w:val="0"/>
      <w:marTop w:val="0"/>
      <w:marBottom w:val="0"/>
      <w:divBdr>
        <w:top w:val="none" w:sz="0" w:space="0" w:color="auto"/>
        <w:left w:val="none" w:sz="0" w:space="0" w:color="auto"/>
        <w:bottom w:val="none" w:sz="0" w:space="0" w:color="auto"/>
        <w:right w:val="none" w:sz="0" w:space="0" w:color="auto"/>
      </w:divBdr>
    </w:div>
    <w:div w:id="1904828862">
      <w:bodyDiv w:val="1"/>
      <w:marLeft w:val="0"/>
      <w:marRight w:val="0"/>
      <w:marTop w:val="0"/>
      <w:marBottom w:val="0"/>
      <w:divBdr>
        <w:top w:val="none" w:sz="0" w:space="0" w:color="auto"/>
        <w:left w:val="none" w:sz="0" w:space="0" w:color="auto"/>
        <w:bottom w:val="none" w:sz="0" w:space="0" w:color="auto"/>
        <w:right w:val="none" w:sz="0" w:space="0" w:color="auto"/>
      </w:divBdr>
    </w:div>
    <w:div w:id="1951014478">
      <w:bodyDiv w:val="1"/>
      <w:marLeft w:val="0"/>
      <w:marRight w:val="0"/>
      <w:marTop w:val="0"/>
      <w:marBottom w:val="0"/>
      <w:divBdr>
        <w:top w:val="none" w:sz="0" w:space="0" w:color="auto"/>
        <w:left w:val="none" w:sz="0" w:space="0" w:color="auto"/>
        <w:bottom w:val="none" w:sz="0" w:space="0" w:color="auto"/>
        <w:right w:val="none" w:sz="0" w:space="0" w:color="auto"/>
      </w:divBdr>
    </w:div>
    <w:div w:id="1972202127">
      <w:bodyDiv w:val="1"/>
      <w:marLeft w:val="0"/>
      <w:marRight w:val="0"/>
      <w:marTop w:val="0"/>
      <w:marBottom w:val="0"/>
      <w:divBdr>
        <w:top w:val="none" w:sz="0" w:space="0" w:color="auto"/>
        <w:left w:val="none" w:sz="0" w:space="0" w:color="auto"/>
        <w:bottom w:val="none" w:sz="0" w:space="0" w:color="auto"/>
        <w:right w:val="none" w:sz="0" w:space="0" w:color="auto"/>
      </w:divBdr>
    </w:div>
    <w:div w:id="1981417171">
      <w:bodyDiv w:val="1"/>
      <w:marLeft w:val="0"/>
      <w:marRight w:val="0"/>
      <w:marTop w:val="0"/>
      <w:marBottom w:val="0"/>
      <w:divBdr>
        <w:top w:val="none" w:sz="0" w:space="0" w:color="auto"/>
        <w:left w:val="none" w:sz="0" w:space="0" w:color="auto"/>
        <w:bottom w:val="none" w:sz="0" w:space="0" w:color="auto"/>
        <w:right w:val="none" w:sz="0" w:space="0" w:color="auto"/>
      </w:divBdr>
    </w:div>
    <w:div w:id="20119815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325/jotags.2022.1021" TargetMode="External"/><Relationship Id="rId18" Type="http://schemas.openxmlformats.org/officeDocument/2006/relationships/hyperlink" Target="https://doi.org/10.1145/2696454.2696465" TargetMode="External"/><Relationship Id="rId26" Type="http://schemas.openxmlformats.org/officeDocument/2006/relationships/hyperlink" Target="https://keeganedwards.com/understanding-dominos-target-market-demographics-and-preferences/" TargetMode="External"/><Relationship Id="rId39" Type="http://schemas.openxmlformats.org/officeDocument/2006/relationships/hyperlink" Target="https://yougov.co.uk/society/articles/41659-part-three-favourite-cuisines-and-junk-food" TargetMode="External"/><Relationship Id="rId21" Type="http://schemas.openxmlformats.org/officeDocument/2006/relationships/hyperlink" Target="https://www.gov.uk/government/publications/employment-status-and-employment-rights/employment-status-and-rights-support-for-individuals" TargetMode="External"/><Relationship Id="rId34" Type="http://schemas.openxmlformats.org/officeDocument/2006/relationships/hyperlink" Target="https://review42.com/uk/resources/best-pizza-chains-uk/" TargetMode="External"/><Relationship Id="rId42" Type="http://schemas.openxmlformats.org/officeDocument/2006/relationships/image" Target="media/image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177/13540688241306727" TargetMode="External"/><Relationship Id="rId29" Type="http://schemas.openxmlformats.org/officeDocument/2006/relationships/hyperlink" Target="https://store.mintel.com/report/uk-fast-food-restaurants-market-repo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inflationtool.com/rates/uk" TargetMode="External"/><Relationship Id="rId32" Type="http://schemas.openxmlformats.org/officeDocument/2006/relationships/hyperlink" Target="https://doi.org/10.1002/joe.22250" TargetMode="External"/><Relationship Id="rId37" Type="http://schemas.openxmlformats.org/officeDocument/2006/relationships/hyperlink" Target="https://orca.cardiff.ac.uk/id/eprint/176363/" TargetMode="External"/><Relationship Id="rId40" Type="http://schemas.openxmlformats.org/officeDocument/2006/relationships/hyperlink" Target="https://yougov.co.uk/society/articles/41667-part-two-what-kind-food-do-britons-eat-regularly"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11/iere.12541" TargetMode="External"/><Relationship Id="rId23" Type="http://schemas.openxmlformats.org/officeDocument/2006/relationships/hyperlink" Target="https://doi.org/10.1729/Journal.25126" TargetMode="External"/><Relationship Id="rId28" Type="http://schemas.openxmlformats.org/officeDocument/2006/relationships/hyperlink" Target="https://www.researchgate.net/publication/361723447_The_use_of_Robotics_in_the_Kitchens_of_the_Future_The_example_of_Moley_Robotics" TargetMode="External"/><Relationship Id="rId36" Type="http://schemas.openxmlformats.org/officeDocument/2006/relationships/hyperlink" Target="https://www.statista.com/statistics/1345530/most-well-known-frozen-pizza-brands-in-the-uk/" TargetMode="External"/><Relationship Id="rId10" Type="http://schemas.openxmlformats.org/officeDocument/2006/relationships/image" Target="media/image2.png"/><Relationship Id="rId19" Type="http://schemas.openxmlformats.org/officeDocument/2006/relationships/hyperlink" Target="https://corporate.dominos.co.uk/sustainability/our-sourcing" TargetMode="External"/><Relationship Id="rId31" Type="http://schemas.openxmlformats.org/officeDocument/2006/relationships/hyperlink" Target="https://www.ons.gov.uk/economy/economicoutputandproductivity/productivitymeasures/datasets/labourcostsandlabourshare/current"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6647/ijetms.2020.v04i04.001" TargetMode="External"/><Relationship Id="rId22" Type="http://schemas.openxmlformats.org/officeDocument/2006/relationships/hyperlink" Target="https://www.gov.uk/guidance/single-use-plastics-bans-and-restrictions" TargetMode="External"/><Relationship Id="rId27" Type="http://schemas.openxmlformats.org/officeDocument/2006/relationships/hyperlink" Target="https://doi.org/10.1257/aer.20210419" TargetMode="External"/><Relationship Id="rId30" Type="http://schemas.openxmlformats.org/officeDocument/2006/relationships/hyperlink" Target="https://doi.org/10.13106/JAFEB.2021.VOL8.NO1.915" TargetMode="External"/><Relationship Id="rId35" Type="http://schemas.openxmlformats.org/officeDocument/2006/relationships/hyperlink" Target="https://www.scrapehero.com/location-reports/Dominos-UK/"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doi.org/10.1111/roiw.12713" TargetMode="External"/><Relationship Id="rId17"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25" Type="http://schemas.openxmlformats.org/officeDocument/2006/relationships/hyperlink" Target="https://www.imf.org/en/Publications/WEO/Issues/2025/01/17/world-economic-outlook-update-january-2025" TargetMode="External"/><Relationship Id="rId33" Type="http://schemas.openxmlformats.org/officeDocument/2006/relationships/hyperlink" Target="https://doi.org/10.17549/gbfr.2022.27.5.1" TargetMode="External"/><Relationship Id="rId38" Type="http://schemas.openxmlformats.org/officeDocument/2006/relationships/hyperlink" Target="https://prosperitydata360.worldbank.org/en/indicator/WB+WWGI+PV+PER+RNK" TargetMode="External"/><Relationship Id="rId20" Type="http://schemas.openxmlformats.org/officeDocument/2006/relationships/hyperlink" Target="https://corporate.dominos.co.uk/about-us/our-story" TargetMode="External"/><Relationship Id="rId41" Type="http://schemas.openxmlformats.org/officeDocument/2006/relationships/image" Target="media/image4.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2521814-E7EE-4DBF-872D-D2164B6EA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26</Pages>
  <Words>7322</Words>
  <Characters>41739</Characters>
  <Application>Microsoft Office Word</Application>
  <DocSecurity>0</DocSecurity>
  <Lines>347</Lines>
  <Paragraphs>97</Paragraphs>
  <ScaleCrop>false</ScaleCrop>
  <Company/>
  <LinksUpToDate>false</LinksUpToDate>
  <CharactersWithSpaces>48964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HONOR</dc:creator>
  <cp:lastModifiedBy>Jian Huang (2400261)</cp:lastModifiedBy>
  <cp:revision>38</cp:revision>
  <dcterms:created xsi:type="dcterms:W3CDTF">2025-01-27T21:51:00Z</dcterms:created>
  <dcterms:modified xsi:type="dcterms:W3CDTF">2025-03-21T20:22:00Z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2D0D256DE78D4F7BAD3938ADB08E94D7</vt:lpwstr>
  </property>
  <property fmtid="{D5CDD505-2E9C-101B-9397-08002B2CF9AE}" pid="4" name="KSOTemplateDocerSaveRecord">
    <vt:lpwstr>eyJoZGlkIjoiN2YzNjBkOTgyNWQ1YTMxYzM3MzMwNWFiODNmOWIzYWMiLCJ1c2VySWQiOiI0MTIyMTExMDkifQ==</vt:lpwstr>
  </property>
</Properties>
</file>