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70479" w14:textId="77777777" w:rsidR="00452F93" w:rsidRDefault="00452F93">
      <w:pPr>
        <w:rPr>
          <w:b/>
          <w:bCs/>
          <w:sz w:val="36"/>
          <w:szCs w:val="36"/>
        </w:rPr>
      </w:pPr>
    </w:p>
    <w:p w14:paraId="13837532" w14:textId="77777777" w:rsidR="00452F93" w:rsidRDefault="00000000">
      <w:pPr>
        <w:jc w:val="center"/>
        <w:rPr>
          <w:b/>
          <w:bCs/>
          <w:sz w:val="36"/>
          <w:szCs w:val="36"/>
        </w:rPr>
      </w:pPr>
      <w:r>
        <w:rPr>
          <w:b/>
          <w:bCs/>
          <w:noProof/>
          <w:sz w:val="36"/>
          <w:szCs w:val="36"/>
        </w:rPr>
        <w:drawing>
          <wp:inline distT="0" distB="0" distL="0" distR="0" wp14:anchorId="64FADA15" wp14:editId="068D3C7C">
            <wp:extent cx="3124200" cy="1689100"/>
            <wp:effectExtent l="0" t="0" r="0" b="0"/>
            <wp:docPr id="60125329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3124200" cy="1689100"/>
                    </a:xfrm>
                    <a:prstGeom prst="rect">
                      <a:avLst/>
                    </a:prstGeom>
                    <a:ln/>
                  </pic:spPr>
                </pic:pic>
              </a:graphicData>
            </a:graphic>
          </wp:inline>
        </w:drawing>
      </w:r>
    </w:p>
    <w:p w14:paraId="3533AD79" w14:textId="77777777" w:rsidR="00452F93" w:rsidRDefault="00452F93">
      <w:pPr>
        <w:rPr>
          <w:b/>
          <w:bCs/>
          <w:sz w:val="36"/>
          <w:szCs w:val="36"/>
        </w:rPr>
      </w:pPr>
    </w:p>
    <w:p w14:paraId="1A92B82D" w14:textId="77777777" w:rsidR="00452F93" w:rsidRDefault="00000000">
      <w:pPr>
        <w:jc w:val="center"/>
        <w:rPr>
          <w:b/>
          <w:bCs/>
          <w:sz w:val="32"/>
          <w:szCs w:val="32"/>
        </w:rPr>
      </w:pPr>
      <w:r>
        <w:rPr>
          <w:b/>
          <w:bCs/>
          <w:sz w:val="32"/>
          <w:szCs w:val="32"/>
        </w:rPr>
        <w:t>Programme: Master of Business Administration</w:t>
      </w:r>
    </w:p>
    <w:p w14:paraId="09B05930" w14:textId="77777777" w:rsidR="00452F93" w:rsidRDefault="00000000">
      <w:pPr>
        <w:jc w:val="center"/>
        <w:rPr>
          <w:b/>
          <w:bCs/>
          <w:sz w:val="32"/>
          <w:szCs w:val="32"/>
        </w:rPr>
      </w:pPr>
      <w:r>
        <w:rPr>
          <w:b/>
          <w:bCs/>
          <w:sz w:val="32"/>
          <w:szCs w:val="32"/>
        </w:rPr>
        <w:t>Module: Human Capital Management</w:t>
      </w:r>
    </w:p>
    <w:p w14:paraId="4D5A3AD0" w14:textId="77777777" w:rsidR="00452F93" w:rsidRDefault="00000000">
      <w:pPr>
        <w:jc w:val="center"/>
        <w:rPr>
          <w:b/>
          <w:bCs/>
          <w:sz w:val="32"/>
          <w:szCs w:val="32"/>
          <w:highlight w:val="white"/>
        </w:rPr>
      </w:pPr>
      <w:r>
        <w:rPr>
          <w:b/>
          <w:bCs/>
          <w:sz w:val="32"/>
          <w:szCs w:val="32"/>
          <w:highlight w:val="white"/>
        </w:rPr>
        <w:t>Module code: LCMB7023</w:t>
      </w:r>
    </w:p>
    <w:p w14:paraId="198F1621" w14:textId="77777777" w:rsidR="00452F93" w:rsidRDefault="00000000">
      <w:pPr>
        <w:jc w:val="center"/>
        <w:rPr>
          <w:b/>
          <w:bCs/>
          <w:sz w:val="32"/>
          <w:szCs w:val="32"/>
          <w:highlight w:val="white"/>
        </w:rPr>
      </w:pPr>
      <w:r>
        <w:rPr>
          <w:b/>
          <w:bCs/>
          <w:sz w:val="32"/>
          <w:szCs w:val="32"/>
          <w:highlight w:val="white"/>
        </w:rPr>
        <w:t xml:space="preserve">Assignment Title: </w:t>
      </w:r>
      <w:r>
        <w:rPr>
          <w:b/>
          <w:bCs/>
          <w:sz w:val="32"/>
          <w:szCs w:val="32"/>
        </w:rPr>
        <w:t>Assessment component 1: Individual report</w:t>
      </w:r>
      <w:r>
        <w:rPr>
          <w:b/>
          <w:bCs/>
          <w:sz w:val="32"/>
          <w:szCs w:val="32"/>
        </w:rPr>
        <w:br/>
      </w:r>
      <w:r>
        <w:rPr>
          <w:b/>
          <w:bCs/>
          <w:sz w:val="32"/>
          <w:szCs w:val="32"/>
          <w:highlight w:val="white"/>
        </w:rPr>
        <w:t xml:space="preserve">Student name: </w:t>
      </w:r>
    </w:p>
    <w:p w14:paraId="2150BE4A" w14:textId="34225E5A" w:rsidR="00452F93" w:rsidRDefault="00000000">
      <w:pPr>
        <w:jc w:val="center"/>
        <w:rPr>
          <w:b/>
          <w:bCs/>
          <w:sz w:val="32"/>
          <w:szCs w:val="32"/>
        </w:rPr>
      </w:pPr>
      <w:r>
        <w:rPr>
          <w:b/>
          <w:bCs/>
          <w:sz w:val="32"/>
          <w:szCs w:val="32"/>
          <w:highlight w:val="white"/>
        </w:rPr>
        <w:t>Student ID: </w:t>
      </w:r>
      <w:r>
        <w:rPr>
          <w:b/>
          <w:bCs/>
          <w:sz w:val="32"/>
          <w:szCs w:val="32"/>
          <w:highlight w:val="white"/>
        </w:rPr>
        <w:br/>
        <w:t>Submission date: Friday 14th November 2025 by 2pm</w:t>
      </w:r>
      <w:r>
        <w:rPr>
          <w:b/>
          <w:bCs/>
          <w:sz w:val="32"/>
          <w:szCs w:val="32"/>
        </w:rPr>
        <w:br/>
      </w:r>
      <w:r>
        <w:rPr>
          <w:b/>
          <w:bCs/>
          <w:sz w:val="32"/>
          <w:szCs w:val="32"/>
          <w:highlight w:val="white"/>
        </w:rPr>
        <w:t>word count: 25</w:t>
      </w:r>
      <w:r w:rsidR="000F173D">
        <w:rPr>
          <w:b/>
          <w:bCs/>
          <w:sz w:val="32"/>
          <w:szCs w:val="32"/>
        </w:rPr>
        <w:t>39</w:t>
      </w:r>
      <w:r>
        <w:br w:type="page"/>
      </w:r>
    </w:p>
    <w:p w14:paraId="31A0EF9B" w14:textId="77777777" w:rsidR="00452F93" w:rsidRDefault="00000000">
      <w:pPr>
        <w:keepNext/>
        <w:keepLines/>
        <w:pBdr>
          <w:top w:val="nil"/>
          <w:left w:val="nil"/>
          <w:bottom w:val="nil"/>
          <w:right w:val="nil"/>
          <w:between w:val="nil"/>
        </w:pBdr>
        <w:shd w:val="clear" w:color="auto" w:fill="auto"/>
        <w:spacing w:before="240"/>
        <w:jc w:val="center"/>
        <w:rPr>
          <w:color w:val="000000"/>
          <w:sz w:val="28"/>
          <w:szCs w:val="28"/>
        </w:rPr>
      </w:pPr>
      <w:r>
        <w:rPr>
          <w:b/>
          <w:bCs/>
          <w:color w:val="000000"/>
          <w:sz w:val="28"/>
          <w:szCs w:val="28"/>
        </w:rPr>
        <w:lastRenderedPageBreak/>
        <w:t>Table of Contents</w:t>
      </w:r>
    </w:p>
    <w:sdt>
      <w:sdtPr>
        <w:id w:val="-1912988274"/>
        <w:docPartObj>
          <w:docPartGallery w:val="Table of Contents"/>
          <w:docPartUnique/>
        </w:docPartObj>
      </w:sdtPr>
      <w:sdtContent>
        <w:p w14:paraId="0614D52B" w14:textId="77777777" w:rsidR="00452F93" w:rsidRDefault="00000000">
          <w:pPr>
            <w:pBdr>
              <w:top w:val="nil"/>
              <w:left w:val="nil"/>
              <w:bottom w:val="nil"/>
              <w:right w:val="nil"/>
              <w:between w:val="nil"/>
            </w:pBdr>
            <w:tabs>
              <w:tab w:val="right" w:leader="dot" w:pos="9350"/>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sypaf2b4plm7">
            <w:r>
              <w:rPr>
                <w:color w:val="000000"/>
              </w:rPr>
              <w:t>1. Technological advancements reshaping labour markets, and its implications for HRM and IHRM strategies</w:t>
            </w:r>
            <w:r>
              <w:rPr>
                <w:color w:val="000000"/>
              </w:rPr>
              <w:tab/>
              <w:t>3</w:t>
            </w:r>
          </w:hyperlink>
        </w:p>
        <w:p w14:paraId="68428D83" w14:textId="77777777" w:rsidR="00452F93"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17jc3hx2w139">
            <w:r>
              <w:rPr>
                <w:color w:val="000000"/>
              </w:rPr>
              <w:t>1.1 Technological advancement in changing labour market</w:t>
            </w:r>
            <w:r>
              <w:rPr>
                <w:color w:val="000000"/>
              </w:rPr>
              <w:tab/>
              <w:t>3</w:t>
            </w:r>
          </w:hyperlink>
        </w:p>
        <w:p w14:paraId="5C3BD1F3" w14:textId="77777777" w:rsidR="00452F93"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t8zmfb6hruyd">
            <w:r>
              <w:rPr>
                <w:color w:val="000000"/>
              </w:rPr>
              <w:t>1.2 Implications for HRM and IHRM strategies</w:t>
            </w:r>
            <w:r>
              <w:rPr>
                <w:color w:val="000000"/>
              </w:rPr>
              <w:tab/>
              <w:t>5</w:t>
            </w:r>
          </w:hyperlink>
        </w:p>
        <w:p w14:paraId="7DF23EAD" w14:textId="77777777" w:rsidR="00452F93"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x3jtfw5zwmc9">
            <w:r>
              <w:rPr>
                <w:color w:val="000000"/>
              </w:rPr>
              <w:t>2. Key demographic and geopolitical factors influencing employment markets today, and challenges for HR professionals</w:t>
            </w:r>
            <w:r>
              <w:rPr>
                <w:color w:val="000000"/>
              </w:rPr>
              <w:tab/>
              <w:t>7</w:t>
            </w:r>
          </w:hyperlink>
        </w:p>
        <w:p w14:paraId="515B6629" w14:textId="77777777" w:rsidR="00452F93"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j8elff1bd5ro">
            <w:r>
              <w:rPr>
                <w:color w:val="000000"/>
              </w:rPr>
              <w:t>2.1 Key Demographic Factors</w:t>
            </w:r>
            <w:r>
              <w:rPr>
                <w:color w:val="000000"/>
              </w:rPr>
              <w:tab/>
              <w:t>7</w:t>
            </w:r>
          </w:hyperlink>
        </w:p>
        <w:p w14:paraId="3A6B21B7" w14:textId="77777777" w:rsidR="00452F93"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t3j9pxajqfb9">
            <w:r>
              <w:rPr>
                <w:color w:val="000000"/>
              </w:rPr>
              <w:t>2.2 Geopolitical Factors</w:t>
            </w:r>
            <w:r>
              <w:rPr>
                <w:color w:val="000000"/>
              </w:rPr>
              <w:tab/>
              <w:t>8</w:t>
            </w:r>
          </w:hyperlink>
        </w:p>
        <w:p w14:paraId="3AF935C2" w14:textId="77777777" w:rsidR="00452F93"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kznd4mi87tfx">
            <w:r>
              <w:rPr>
                <w:color w:val="000000"/>
              </w:rPr>
              <w:t>2.3 Challenges for HR professionals</w:t>
            </w:r>
            <w:r>
              <w:rPr>
                <w:color w:val="000000"/>
              </w:rPr>
              <w:tab/>
              <w:t>9</w:t>
            </w:r>
          </w:hyperlink>
        </w:p>
        <w:p w14:paraId="059029DF" w14:textId="77777777" w:rsidR="00452F93"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xhgty82hsxud">
            <w:r>
              <w:rPr>
                <w:color w:val="000000"/>
              </w:rPr>
              <w:t>4. Reflective Report</w:t>
            </w:r>
            <w:r>
              <w:rPr>
                <w:color w:val="000000"/>
              </w:rPr>
              <w:tab/>
              <w:t>12</w:t>
            </w:r>
          </w:hyperlink>
        </w:p>
        <w:p w14:paraId="06A3140D" w14:textId="77777777" w:rsidR="00452F93"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lqw3keye1w08">
            <w:r>
              <w:rPr>
                <w:color w:val="000000"/>
              </w:rPr>
              <w:t>4.1 Capabilities in Working Within the Global Region</w:t>
            </w:r>
            <w:r>
              <w:rPr>
                <w:color w:val="000000"/>
              </w:rPr>
              <w:tab/>
              <w:t>12</w:t>
            </w:r>
          </w:hyperlink>
        </w:p>
        <w:p w14:paraId="3944E780" w14:textId="77777777" w:rsidR="00452F93"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a7g12vmuyd3">
            <w:r>
              <w:rPr>
                <w:color w:val="000000"/>
              </w:rPr>
              <w:t>4.2 Strengths and weaknesses</w:t>
            </w:r>
            <w:r>
              <w:rPr>
                <w:color w:val="000000"/>
              </w:rPr>
              <w:tab/>
              <w:t>14</w:t>
            </w:r>
          </w:hyperlink>
        </w:p>
        <w:p w14:paraId="2371FCDB" w14:textId="77777777" w:rsidR="00452F93" w:rsidRDefault="0000000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ox0dbsr4ix5q">
            <w:r>
              <w:rPr>
                <w:color w:val="000000"/>
              </w:rPr>
              <w:t>4.3 Address areas for improvement</w:t>
            </w:r>
            <w:r>
              <w:rPr>
                <w:color w:val="000000"/>
              </w:rPr>
              <w:tab/>
              <w:t>14</w:t>
            </w:r>
          </w:hyperlink>
        </w:p>
        <w:p w14:paraId="66FE31DA" w14:textId="77777777" w:rsidR="00452F93" w:rsidRDefault="0000000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typw6vrx67o">
            <w:r>
              <w:rPr>
                <w:color w:val="000000"/>
              </w:rPr>
              <w:t>Reference List</w:t>
            </w:r>
            <w:r>
              <w:rPr>
                <w:color w:val="000000"/>
              </w:rPr>
              <w:tab/>
              <w:t>16</w:t>
            </w:r>
          </w:hyperlink>
        </w:p>
        <w:p w14:paraId="40CB5F4C" w14:textId="77777777" w:rsidR="00452F93" w:rsidRDefault="00000000">
          <w:r>
            <w:fldChar w:fldCharType="end"/>
          </w:r>
        </w:p>
      </w:sdtContent>
    </w:sdt>
    <w:p w14:paraId="5513BE0D" w14:textId="77777777" w:rsidR="00452F93" w:rsidRDefault="00000000">
      <w:pPr>
        <w:rPr>
          <w:b/>
          <w:bCs/>
          <w:sz w:val="28"/>
          <w:szCs w:val="28"/>
        </w:rPr>
      </w:pPr>
      <w:r>
        <w:br w:type="page"/>
      </w:r>
    </w:p>
    <w:p w14:paraId="716ED196" w14:textId="77777777" w:rsidR="00452F93" w:rsidRDefault="00000000">
      <w:pPr>
        <w:pStyle w:val="Heading1"/>
      </w:pPr>
      <w:bookmarkStart w:id="0" w:name="_heading=h.sypaf2b4plm7" w:colFirst="0" w:colLast="0"/>
      <w:bookmarkEnd w:id="0"/>
      <w:r>
        <w:lastRenderedPageBreak/>
        <w:t>1. Technological advancements reshaping labour markets, and its implications for HRM and IHRM strategies</w:t>
      </w:r>
    </w:p>
    <w:p w14:paraId="436B51AA" w14:textId="77777777" w:rsidR="00452F93" w:rsidRDefault="00000000">
      <w:pPr>
        <w:pStyle w:val="Heading2"/>
      </w:pPr>
      <w:bookmarkStart w:id="1" w:name="_heading=h.17jc3hx2w139" w:colFirst="0" w:colLast="0"/>
      <w:bookmarkEnd w:id="1"/>
      <w:r>
        <w:t>1.1 Technological advancement in changing labour market</w:t>
      </w:r>
    </w:p>
    <w:p w14:paraId="0728CF70" w14:textId="77777777" w:rsidR="00452F93" w:rsidRDefault="00000000">
      <w:r>
        <w:t xml:space="preserve">Technological advancements like artificial intelligence, automation, as well as digital platforms are changing the labour markets globally to transform the nature of work, employment structures as well as required skills. Automation as well as AI are evaluating tasks in manufacturing, administrative sectors, as well as logistics to reduce the demand for low as well as medium-skilled labourers to increase the demand for using high-skilled, digital as well as analytical roles. The report has estimated that around 2027, 44% of the skilled workers would be disrupted by using AI to create new opportunities in cybersecurity, digital transformation, as well as data analysis (World Economic Forum, 2023). Digital platforms like "gig economy intermediaries," for example, Uber and </w:t>
      </w:r>
      <w:proofErr w:type="spellStart"/>
      <w:r>
        <w:t>UpWork</w:t>
      </w:r>
      <w:proofErr w:type="spellEnd"/>
      <w:r>
        <w:t xml:space="preserve">, are used to redefine the relationship of employment to change the traditional roles of workers towards freelance and on-demand work that lacks in security as well as benefits. </w:t>
      </w:r>
    </w:p>
    <w:p w14:paraId="43AAA5A6" w14:textId="77777777" w:rsidR="00452F93" w:rsidRDefault="00000000">
      <w:pPr>
        <w:jc w:val="center"/>
      </w:pPr>
      <w:r>
        <w:rPr>
          <w:noProof/>
        </w:rPr>
        <w:lastRenderedPageBreak/>
        <w:drawing>
          <wp:inline distT="114300" distB="114300" distL="114300" distR="114300" wp14:anchorId="73562740" wp14:editId="4B2CCA05">
            <wp:extent cx="5848350" cy="4381500"/>
            <wp:effectExtent l="0" t="0" r="0" b="0"/>
            <wp:docPr id="60125329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848350" cy="4381500"/>
                    </a:xfrm>
                    <a:prstGeom prst="rect">
                      <a:avLst/>
                    </a:prstGeom>
                    <a:ln/>
                  </pic:spPr>
                </pic:pic>
              </a:graphicData>
            </a:graphic>
          </wp:inline>
        </w:drawing>
      </w:r>
    </w:p>
    <w:p w14:paraId="04A1A05C" w14:textId="77777777" w:rsidR="00452F93" w:rsidRDefault="00000000">
      <w:pPr>
        <w:jc w:val="center"/>
        <w:rPr>
          <w:b/>
          <w:bCs/>
        </w:rPr>
      </w:pPr>
      <w:r>
        <w:rPr>
          <w:b/>
          <w:bCs/>
        </w:rPr>
        <w:t>Figure 1: Technological advancement</w:t>
      </w:r>
    </w:p>
    <w:p w14:paraId="47918EBC" w14:textId="77777777" w:rsidR="00452F93" w:rsidRDefault="00000000">
      <w:pPr>
        <w:jc w:val="center"/>
      </w:pPr>
      <w:r>
        <w:t>(Source: Peter, 2024)</w:t>
      </w:r>
    </w:p>
    <w:p w14:paraId="361DADAC" w14:textId="77777777" w:rsidR="00452F93" w:rsidRDefault="00000000">
      <w:r>
        <w:t xml:space="preserve">This transformation is based on the dual factor in which technology could evaluate a product's ability to enable remote as well as flexible work models. It evaluates inequalities among high-skilled as well as low-skilled workers. It also evaluates technology-advanced features based on the development of economies. The demand to learn and reskill has become important for employability to prompt organisations as well as HR departments for investing in workforce, agility, as well as digital training. The emerging technologies are evaluated using geographical boundaries, which enables the competition of global talent as well as remote collaboration within international talent (ILO, 2023). Therefore, this technological change is considered as economic change and structural transformation in the transformation of the labour market based on organising and </w:t>
      </w:r>
      <w:r>
        <w:lastRenderedPageBreak/>
        <w:t xml:space="preserve">managing by using required HR as well as IRM professionals for balancing efficiency, equity, as well as adaptability in the evolving sector digitally. </w:t>
      </w:r>
    </w:p>
    <w:p w14:paraId="2B9C5E20" w14:textId="77777777" w:rsidR="00452F93" w:rsidRDefault="00000000">
      <w:pPr>
        <w:pStyle w:val="Heading2"/>
      </w:pPr>
      <w:bookmarkStart w:id="2" w:name="_heading=h.t8zmfb6hruyd" w:colFirst="0" w:colLast="0"/>
      <w:bookmarkEnd w:id="2"/>
      <w:r>
        <w:t>1.2 Implications for HRM and IHRM strategies</w:t>
      </w:r>
    </w:p>
    <w:p w14:paraId="28D3C5C5" w14:textId="77777777" w:rsidR="00452F93" w:rsidRDefault="00000000">
      <w:pPr>
        <w:jc w:val="center"/>
        <w:rPr>
          <w:b/>
          <w:bCs/>
        </w:rPr>
      </w:pPr>
      <w:r>
        <w:rPr>
          <w:b/>
          <w:bCs/>
          <w:noProof/>
        </w:rPr>
        <w:drawing>
          <wp:inline distT="114300" distB="114300" distL="114300" distR="114300" wp14:anchorId="104F00C1" wp14:editId="41DCA4E9">
            <wp:extent cx="5943600" cy="4038600"/>
            <wp:effectExtent l="0" t="0" r="0" b="0"/>
            <wp:docPr id="60125329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4038600"/>
                    </a:xfrm>
                    <a:prstGeom prst="rect">
                      <a:avLst/>
                    </a:prstGeom>
                    <a:ln/>
                  </pic:spPr>
                </pic:pic>
              </a:graphicData>
            </a:graphic>
          </wp:inline>
        </w:drawing>
      </w:r>
    </w:p>
    <w:p w14:paraId="5F56EFBB" w14:textId="77777777" w:rsidR="00452F93" w:rsidRDefault="00000000">
      <w:pPr>
        <w:jc w:val="center"/>
        <w:rPr>
          <w:b/>
          <w:bCs/>
        </w:rPr>
      </w:pPr>
      <w:r>
        <w:rPr>
          <w:b/>
          <w:bCs/>
        </w:rPr>
        <w:t>Figure 2: Factors of IHRM</w:t>
      </w:r>
    </w:p>
    <w:p w14:paraId="2537B89E" w14:textId="77777777" w:rsidR="00452F93" w:rsidRDefault="00000000">
      <w:pPr>
        <w:jc w:val="center"/>
      </w:pPr>
      <w:r>
        <w:t>(Source: Samyukta, 2025)</w:t>
      </w:r>
    </w:p>
    <w:p w14:paraId="65B25D83" w14:textId="77777777" w:rsidR="00452F93" w:rsidRDefault="00000000">
      <w:r>
        <w:t>The rapid expansion of technological transformation in the labour market has created different implications for "human resource management (HRM)" and "international human resource management (IHRM)". Since automation as well as AI is redefining the requirement of skills, HR functions need to change its system from traditional recruitment as well as performance management to a continuous learning method as well as strategic planning of the workforce. HR managers require for identification of future skill gaps to implement reskilling as well as upskilling initiatives for enhancing the adaptability of the workforce (</w:t>
      </w:r>
      <w:r>
        <w:rPr>
          <w:color w:val="222222"/>
          <w:highlight w:val="white"/>
        </w:rPr>
        <w:t>Farndale et al., 2025</w:t>
      </w:r>
      <w:r>
        <w:t xml:space="preserve">). Learning as well as development strategies need to </w:t>
      </w:r>
      <w:r>
        <w:lastRenderedPageBreak/>
        <w:t xml:space="preserve">integrate data analytics and digital literacy for sustaining competitiveness as well as employability. </w:t>
      </w:r>
    </w:p>
    <w:p w14:paraId="06BA5BCF" w14:textId="77777777" w:rsidR="00452F93" w:rsidRDefault="00000000">
      <w:r>
        <w:t>For IHRM, the global talent source is evaluating collaboration within virtual teams. This needs new strategies in the international market based on digital leadership, cultural management, as well as development. The increase in hybrid as well as remote models, evaluate policies to address digital inclusion and balance in our life based on legal and cultural context (</w:t>
      </w:r>
      <w:r>
        <w:rPr>
          <w:color w:val="222222"/>
          <w:highlight w:val="white"/>
        </w:rPr>
        <w:t>Ng et al., 2025</w:t>
      </w:r>
      <w:r>
        <w:t xml:space="preserve">). The "platform-based employment model" as well as the gig economy could challenge its HR structures that require new frameworks for performing evaluation, as well as the well-being of the workers. </w:t>
      </w:r>
    </w:p>
    <w:p w14:paraId="3660D949" w14:textId="77777777" w:rsidR="00452F93" w:rsidRDefault="00452F93"/>
    <w:p w14:paraId="3C7C8B21" w14:textId="77777777" w:rsidR="00452F93" w:rsidRDefault="00000000">
      <w:pPr>
        <w:rPr>
          <w:b/>
          <w:bCs/>
          <w:sz w:val="28"/>
          <w:szCs w:val="28"/>
        </w:rPr>
      </w:pPr>
      <w:r>
        <w:br w:type="page"/>
      </w:r>
    </w:p>
    <w:p w14:paraId="10F24104" w14:textId="77777777" w:rsidR="00452F93" w:rsidRDefault="00000000">
      <w:pPr>
        <w:pStyle w:val="Heading1"/>
      </w:pPr>
      <w:bookmarkStart w:id="3" w:name="_heading=h.x3jtfw5zwmc9" w:colFirst="0" w:colLast="0"/>
      <w:bookmarkEnd w:id="3"/>
      <w:r>
        <w:lastRenderedPageBreak/>
        <w:t>2. Key demographic and geopolitical factors influencing employment markets today, and challenges for HR professionals</w:t>
      </w:r>
    </w:p>
    <w:p w14:paraId="38B4E9A1" w14:textId="77777777" w:rsidR="00452F93" w:rsidRDefault="00000000">
      <w:pPr>
        <w:pStyle w:val="Heading2"/>
      </w:pPr>
      <w:bookmarkStart w:id="4" w:name="_heading=h.j8elff1bd5ro" w:colFirst="0" w:colLast="0"/>
      <w:bookmarkEnd w:id="4"/>
      <w:r>
        <w:t xml:space="preserve">2.1 Key Demographic Factors </w:t>
      </w:r>
    </w:p>
    <w:p w14:paraId="0F73A1A7" w14:textId="77777777" w:rsidR="00452F93" w:rsidRDefault="00000000">
      <w:pPr>
        <w:jc w:val="center"/>
        <w:rPr>
          <w:b/>
          <w:bCs/>
        </w:rPr>
      </w:pPr>
      <w:r>
        <w:rPr>
          <w:b/>
          <w:bCs/>
          <w:noProof/>
        </w:rPr>
        <w:drawing>
          <wp:inline distT="114300" distB="114300" distL="114300" distR="114300" wp14:anchorId="48AF4C58" wp14:editId="0810B3AC">
            <wp:extent cx="3867150" cy="3886200"/>
            <wp:effectExtent l="0" t="0" r="0" b="0"/>
            <wp:docPr id="60125329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3867150" cy="3886200"/>
                    </a:xfrm>
                    <a:prstGeom prst="rect">
                      <a:avLst/>
                    </a:prstGeom>
                    <a:ln/>
                  </pic:spPr>
                </pic:pic>
              </a:graphicData>
            </a:graphic>
          </wp:inline>
        </w:drawing>
      </w:r>
    </w:p>
    <w:p w14:paraId="620D472D" w14:textId="77777777" w:rsidR="00452F93" w:rsidRDefault="00000000">
      <w:pPr>
        <w:jc w:val="center"/>
        <w:rPr>
          <w:b/>
          <w:bCs/>
        </w:rPr>
      </w:pPr>
      <w:r>
        <w:rPr>
          <w:b/>
          <w:bCs/>
        </w:rPr>
        <w:t>Figure 3: Components of HR Strategy</w:t>
      </w:r>
    </w:p>
    <w:p w14:paraId="32707C70" w14:textId="77777777" w:rsidR="00452F93" w:rsidRDefault="00000000">
      <w:pPr>
        <w:jc w:val="center"/>
      </w:pPr>
      <w:r>
        <w:t xml:space="preserve">(Source: </w:t>
      </w:r>
      <w:proofErr w:type="spellStart"/>
      <w:r>
        <w:t>Parismita</w:t>
      </w:r>
      <w:proofErr w:type="spellEnd"/>
      <w:r>
        <w:t>, 2025)</w:t>
      </w:r>
    </w:p>
    <w:p w14:paraId="2062AE87" w14:textId="77777777" w:rsidR="00452F93" w:rsidRDefault="00000000">
      <w:r>
        <w:t xml:space="preserve">The key demographic factors that could influence the employment market that consist of ageing population, migration trends, increased diversity in the workforce, and unemployment of youth. In the developed economies, ageing populations are decreasing as the supply of labour is increasing for healthcare as well as recruitment features. In developing regions, the growth of the population faces several challenges in skill development programs and job creation. Migration of skilled as well as unskilled labourers changes the availability of labour for introducing multicultural dynamics in the workplace. The increased participation of women as well as underrepresented groups, enhancing diversity as well as inclusion initiatives. These demographic changes could influence </w:t>
      </w:r>
      <w:r>
        <w:lastRenderedPageBreak/>
        <w:t xml:space="preserve">talent management, policy-making features, workforce planning for adapting retention, recruitment, as well as training strategies for sustaining productivity as well as inclusivity in the evolving employment sector globally. </w:t>
      </w:r>
    </w:p>
    <w:p w14:paraId="04CE42B8" w14:textId="77777777" w:rsidR="00452F93" w:rsidRDefault="00000000">
      <w:pPr>
        <w:pStyle w:val="Heading2"/>
      </w:pPr>
      <w:bookmarkStart w:id="5" w:name="_heading=h.t3j9pxajqfb9" w:colFirst="0" w:colLast="0"/>
      <w:bookmarkEnd w:id="5"/>
      <w:r>
        <w:t xml:space="preserve">2.2 Geopolitical Factors </w:t>
      </w:r>
    </w:p>
    <w:p w14:paraId="77E23FDE" w14:textId="77777777" w:rsidR="00452F93" w:rsidRDefault="00000000">
      <w:r>
        <w:t>The key geopolitical factors could influence markets of employment today that consist of global conflict, migration policies, as well as economic nationalism. The ongoing conflict in Ukraine, as well as the Middle East, and disruptions in the global supply chain, could displace its workforce that led to labour shortages for some of these reasons. Trade war as well as protectionist policies, are used to enhance manufacturing as an investment to evaluate relocation of jobs and to evaluate certain industries. Migration restrictions as well as visa regulations could affect the mobility of global talent, technology, as well as the healthcare sector (</w:t>
      </w:r>
      <w:r>
        <w:rPr>
          <w:color w:val="222222"/>
          <w:highlight w:val="white"/>
        </w:rPr>
        <w:t>Caligiuri et al., 2022</w:t>
      </w:r>
      <w:r>
        <w:t xml:space="preserve">). The geopolitical uncertainty could impact foreign and direct investment, within business confidence to influence hiring as well as expansion strategies. Therefore, HRM and IHRM need to adopt dynamic and geopolitical risk to ensure resilience in the workforce, compliance, as well as agility in cross-border talent. </w:t>
      </w:r>
    </w:p>
    <w:p w14:paraId="3DB91C3D" w14:textId="77777777" w:rsidR="00452F93" w:rsidRDefault="00000000">
      <w:pPr>
        <w:pStyle w:val="Heading2"/>
      </w:pPr>
      <w:bookmarkStart w:id="6" w:name="_heading=h.kznd4mi87tfx" w:colFirst="0" w:colLast="0"/>
      <w:bookmarkEnd w:id="6"/>
      <w:r>
        <w:lastRenderedPageBreak/>
        <w:t xml:space="preserve">2.3 Challenges for HR professionals </w:t>
      </w:r>
    </w:p>
    <w:p w14:paraId="017D1BEB" w14:textId="77777777" w:rsidR="00452F93" w:rsidRDefault="00000000">
      <w:pPr>
        <w:jc w:val="center"/>
        <w:rPr>
          <w:b/>
          <w:bCs/>
        </w:rPr>
      </w:pPr>
      <w:r>
        <w:rPr>
          <w:b/>
          <w:bCs/>
          <w:noProof/>
        </w:rPr>
        <w:drawing>
          <wp:inline distT="114300" distB="114300" distL="114300" distR="114300" wp14:anchorId="03C98FF3" wp14:editId="66A4152C">
            <wp:extent cx="4943475" cy="3190875"/>
            <wp:effectExtent l="0" t="0" r="0" b="0"/>
            <wp:docPr id="60125329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943475" cy="3190875"/>
                    </a:xfrm>
                    <a:prstGeom prst="rect">
                      <a:avLst/>
                    </a:prstGeom>
                    <a:ln/>
                  </pic:spPr>
                </pic:pic>
              </a:graphicData>
            </a:graphic>
          </wp:inline>
        </w:drawing>
      </w:r>
    </w:p>
    <w:p w14:paraId="37A4ABFC" w14:textId="77777777" w:rsidR="00452F93" w:rsidRDefault="00000000">
      <w:pPr>
        <w:jc w:val="center"/>
        <w:rPr>
          <w:b/>
          <w:bCs/>
        </w:rPr>
      </w:pPr>
      <w:r>
        <w:rPr>
          <w:b/>
          <w:bCs/>
        </w:rPr>
        <w:t>Figure 4: Challenges for HR professionals</w:t>
      </w:r>
    </w:p>
    <w:p w14:paraId="4366C36E" w14:textId="77777777" w:rsidR="00452F93" w:rsidRDefault="00000000">
      <w:pPr>
        <w:jc w:val="center"/>
      </w:pPr>
      <w:r>
        <w:t>(Source: Nikita, 2025)</w:t>
      </w:r>
    </w:p>
    <w:p w14:paraId="586432F1" w14:textId="77777777" w:rsidR="00452F93" w:rsidRDefault="00000000">
      <w:r>
        <w:t>The geopolitical factors and demographic factors could create complex challenges for the HR professionals to disrupt stability in the workforce, talent, mobility, as well as organisational strategy. The conflict, trade, tensions, and political instability could lead to a sudden requirement for relocation and redundancies to adjust the operation of the company based on new regulatory and economic conditions. The HR managers need to manage and continue in the workforce to ensure the safety of employees and compliance within international labour laws, which need to be aligned with the business objectives (</w:t>
      </w:r>
      <w:r>
        <w:rPr>
          <w:color w:val="222222"/>
          <w:highlight w:val="white"/>
        </w:rPr>
        <w:t>Gupta, 2025</w:t>
      </w:r>
      <w:r>
        <w:t>). The restriction of migration as well as limitations on visas could complicate recruitment that makes it difficult for accessing global talent. HR teams need to design flexible strategies of talent that include remote as well as hybrid work facilities to resolve these barriers. The volatility in geopolitical factors could affect morale, as engagement needs the HR team for enhancing support systems as well as crisis communication.</w:t>
      </w:r>
    </w:p>
    <w:p w14:paraId="17033B8B" w14:textId="77777777" w:rsidR="00452F93" w:rsidRDefault="00000000">
      <w:r>
        <w:t xml:space="preserve">The cultural expectation, political ideologies, as well as labour regulation require HRM and IHRM practices for maintaining fairness as well as inclusion in the borders (Nikita, </w:t>
      </w:r>
      <w:r>
        <w:lastRenderedPageBreak/>
        <w:t xml:space="preserve">2025). Ethical considerations like operating in a sensitive region and responding for sanctions for decision-making. HR professionals need to become risk managers to balance resilience in the business, the well-being of the employee, and legal compliance in the geopolitical environment. </w:t>
      </w:r>
    </w:p>
    <w:p w14:paraId="720FFDDD" w14:textId="77777777" w:rsidR="00452F93" w:rsidRDefault="00452F93"/>
    <w:p w14:paraId="6A8AF43B" w14:textId="77777777" w:rsidR="00452F93" w:rsidRDefault="00000000">
      <w:pPr>
        <w:rPr>
          <w:b/>
          <w:bCs/>
          <w:sz w:val="28"/>
          <w:szCs w:val="28"/>
        </w:rPr>
      </w:pPr>
      <w:r>
        <w:rPr>
          <w:b/>
          <w:bCs/>
          <w:sz w:val="28"/>
          <w:szCs w:val="28"/>
        </w:rPr>
        <w:t>3. Organisations address persistent skills gaps and talent shortages in critical sectors through strategic HRM</w:t>
      </w:r>
    </w:p>
    <w:p w14:paraId="6FC85951" w14:textId="77777777" w:rsidR="00452F93" w:rsidRDefault="00452F93"/>
    <w:p w14:paraId="7417691D" w14:textId="77777777" w:rsidR="00452F93" w:rsidRDefault="00000000">
      <w:r>
        <w:t xml:space="preserve">The persistence skill gap shows the critical issues across hospitality and Healthcare areas. Addressing these issues required strategic planning and integration of development and recruitment to maintain the retention functions. Koi ship talent ecosystem management is essential to balance this situation. Microsoft's initiative for large-scale organisations' intervention helps to bridge the deficiencies in capability in the Technology Sector (Fleck, 2025). The initiative focuses on technology Sector individuals with the skill of artificial intelligence by the year 2025. 90% of the employers are focusing on additional artificial intelligence skills, while 78% of the workforce doesn't have those capabilities. Microsoft is trying to train its employees and create a sustainable workforce that can provide advanced technical support (Taylor, 2025). It is beneficial for both talent deficits and long-term workforce management. Beyond the Microsoft Technology Sector increasing rapidly, their hiding methodologies are being evaluated by evaluating the capabilities rather than the credentials. The recruitment process created scope even for non-traditional candidates with competencies. Organisations use skill assessments and test-based evaluations to understand the performance and accuracy. The hiding risk and showing individual development. </w:t>
      </w:r>
    </w:p>
    <w:p w14:paraId="412884EE" w14:textId="77777777" w:rsidR="00452F93" w:rsidRDefault="00000000">
      <w:pPr>
        <w:jc w:val="center"/>
      </w:pPr>
      <w:r>
        <w:rPr>
          <w:noProof/>
        </w:rPr>
        <w:lastRenderedPageBreak/>
        <w:drawing>
          <wp:inline distT="0" distB="0" distL="0" distR="0" wp14:anchorId="3FCD2628" wp14:editId="3C3D98F5">
            <wp:extent cx="5943600" cy="4114165"/>
            <wp:effectExtent l="0" t="0" r="0" b="0"/>
            <wp:docPr id="60125329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4114165"/>
                    </a:xfrm>
                    <a:prstGeom prst="rect">
                      <a:avLst/>
                    </a:prstGeom>
                    <a:ln/>
                  </pic:spPr>
                </pic:pic>
              </a:graphicData>
            </a:graphic>
          </wp:inline>
        </w:drawing>
      </w:r>
    </w:p>
    <w:p w14:paraId="4A8080FE" w14:textId="77777777" w:rsidR="00452F93" w:rsidRDefault="00000000">
      <w:pPr>
        <w:jc w:val="center"/>
        <w:rPr>
          <w:b/>
          <w:bCs/>
        </w:rPr>
      </w:pPr>
      <w:r>
        <w:rPr>
          <w:b/>
          <w:bCs/>
        </w:rPr>
        <w:t>Figure 5: Talent management</w:t>
      </w:r>
    </w:p>
    <w:p w14:paraId="3EE164A5" w14:textId="77777777" w:rsidR="00452F93" w:rsidRDefault="00000000">
      <w:pPr>
        <w:jc w:val="center"/>
      </w:pPr>
      <w:r>
        <w:t xml:space="preserve">(Source: </w:t>
      </w:r>
      <w:r>
        <w:rPr>
          <w:color w:val="000000"/>
        </w:rPr>
        <w:t>Srikant, 2025</w:t>
      </w:r>
      <w:r>
        <w:t>)</w:t>
      </w:r>
    </w:p>
    <w:p w14:paraId="67DED5A5" w14:textId="77777777" w:rsidR="00452F93" w:rsidRDefault="00000000">
      <w:r>
        <w:t xml:space="preserve">In the hospitality sector, the Hilton company experiences a framework for higher retention, which is a strategic HRM process for retention the workforce (Kitterman, 2025). The management of the Hilton group develops this program specifically for managers and supervisors who are trained in leadership qualities and can mitigate the deficiency. The company recognise the first 90 days of employment as an integration and mentorship program and then creates communities for skill acquisition and integration of culture (Kitterman, 2025). The overall program creates career stages understanding and focuses on learning Pathways in order to address the needs of the organisation. Institutional training facilities in countries like China and Myanmar focus on strategic partnerships with different universities, which shows that organisations could shape their future workforce by building strong talent and training them as per the requirement. </w:t>
      </w:r>
    </w:p>
    <w:p w14:paraId="6AB7149F" w14:textId="77777777" w:rsidR="00452F93" w:rsidRDefault="00000000">
      <w:r>
        <w:lastRenderedPageBreak/>
        <w:t>Healthcare organisations face a significant skill shortage with an aging population and a lack of new technology. Inova Health System simplified this process through the Residency programs for nurses, which transform clinical practices into structured practice (Innova, 2025). Data-driven recruitment also helps with critical methodologies in the Healthcare sector. Images focus on keeping performance indicators, such as cost for higher or recruitment method, to understand the resource allocation and acknowledge the quality of the candidate. Predictive measurement creates a workforce planning that allows them to forecast the requirements of staff for any specific unit. Strategic HRM interventions integrate mental health support programs and provide balanced provision that improves hosting and maintains talent retention.</w:t>
      </w:r>
    </w:p>
    <w:p w14:paraId="0C9F175E" w14:textId="77777777" w:rsidR="00452F93" w:rsidRDefault="00000000">
      <w:r>
        <w:t xml:space="preserve">The effectiveness ultimately depends on the integration of development and recruitment functions. The evidence shows that the context of </w:t>
      </w:r>
      <w:proofErr w:type="spellStart"/>
      <w:r>
        <w:t>citral</w:t>
      </w:r>
      <w:proofErr w:type="spellEnd"/>
      <w:r>
        <w:t xml:space="preserve"> sometimes creates a larger difference in regulatory requirements. Retaining the talent and training them based on the requirement is more feasible than regarding it as it maintains the talent retention.</w:t>
      </w:r>
    </w:p>
    <w:p w14:paraId="4E503170" w14:textId="77777777" w:rsidR="00452F93" w:rsidRDefault="00452F93"/>
    <w:p w14:paraId="758569AE" w14:textId="77777777" w:rsidR="00452F93" w:rsidRDefault="00000000">
      <w:pPr>
        <w:pStyle w:val="Heading1"/>
        <w:rPr>
          <w:b w:val="0"/>
          <w:bCs w:val="0"/>
        </w:rPr>
      </w:pPr>
      <w:bookmarkStart w:id="7" w:name="_heading=h.xhgty82hsxud" w:colFirst="0" w:colLast="0"/>
      <w:bookmarkEnd w:id="7"/>
      <w:r>
        <w:t>4. Reflective Report</w:t>
      </w:r>
    </w:p>
    <w:p w14:paraId="1A3429CE" w14:textId="77777777" w:rsidR="00452F93" w:rsidRDefault="00000000">
      <w:pPr>
        <w:pStyle w:val="Heading2"/>
        <w:keepNext w:val="0"/>
        <w:keepLines w:val="0"/>
      </w:pPr>
      <w:bookmarkStart w:id="8" w:name="_heading=h.lqw3keye1w08" w:colFirst="0" w:colLast="0"/>
      <w:bookmarkEnd w:id="8"/>
      <w:r>
        <w:t>4.1 Capabilities in Working Within the Global Region</w:t>
      </w:r>
    </w:p>
    <w:p w14:paraId="5E348566" w14:textId="77777777" w:rsidR="00452F93" w:rsidRDefault="00000000">
      <w:r>
        <w:t>I acquired the knowledge of digital proficiency across different platforms, which is essential for global partnerships. I used my email management skills with Google Workspace and academic research to understand the communication across all global networks. My writing communication capabilities provide an understanding of my strengths, particularly in a professional context. While working through my work, which involves the understanding of HRM and IHRM, I developed the capacity for communication in two complex ideas and arguments, which are logically adaptive (Okolie, Omole and Yakubu, 2021). I maintain the communication tone for specific audiences, and my verbal communication for the global team to return capabilities. Engaging with colleagues and co-</w:t>
      </w:r>
      <w:proofErr w:type="gramStart"/>
      <w:r>
        <w:t>learners</w:t>
      </w:r>
      <w:proofErr w:type="gramEnd"/>
      <w:r>
        <w:t xml:space="preserve"> helps me understand my areas of development. </w:t>
      </w:r>
    </w:p>
    <w:p w14:paraId="1FEE716C" w14:textId="77777777" w:rsidR="00452F93" w:rsidRDefault="00000000">
      <w:r>
        <w:t xml:space="preserve">Through the incorporation of corporate governance and stakeholder analysis for organisational management, I developed my understanding of theoretical knowledge of </w:t>
      </w:r>
      <w:r>
        <w:lastRenderedPageBreak/>
        <w:t xml:space="preserve">cultural variation. I understood the awareness that the decision-making process focuses on communication and leadership skills. My engagement with different HRM case studies while working on the course helped me to understand the leadership capabilities and structured thinking process (Okolie, Omole and Yakubu, 2021). Understanding the diverse perspectives of the decision-making process in the Global Business made me understand the capabilities to mitigate any hazardous situation beforehand. Creating ideas for quick solutions and communicating for better recommendations helped me understand cognitive capabilities. </w:t>
      </w:r>
    </w:p>
    <w:p w14:paraId="19820E22" w14:textId="77777777" w:rsidR="00452F93" w:rsidRDefault="00000000">
      <w:pPr>
        <w:jc w:val="center"/>
      </w:pPr>
      <w:r>
        <w:rPr>
          <w:noProof/>
        </w:rPr>
        <w:drawing>
          <wp:inline distT="0" distB="0" distL="0" distR="0" wp14:anchorId="2221D356" wp14:editId="06B5460A">
            <wp:extent cx="4333875" cy="2057400"/>
            <wp:effectExtent l="0" t="0" r="0" b="0"/>
            <wp:docPr id="601253291" name="image1.jpg" descr="https://www.cambiana.com/wp-content/uploads/2022/12/Grafik_KolbsCycle_header_en-455x216-c-default.jpg"/>
            <wp:cNvGraphicFramePr/>
            <a:graphic xmlns:a="http://schemas.openxmlformats.org/drawingml/2006/main">
              <a:graphicData uri="http://schemas.openxmlformats.org/drawingml/2006/picture">
                <pic:pic xmlns:pic="http://schemas.openxmlformats.org/drawingml/2006/picture">
                  <pic:nvPicPr>
                    <pic:cNvPr id="0" name="image1.jpg" descr="https://www.cambiana.com/wp-content/uploads/2022/12/Grafik_KolbsCycle_header_en-455x216-c-default.jpg"/>
                    <pic:cNvPicPr preferRelativeResize="0"/>
                  </pic:nvPicPr>
                  <pic:blipFill>
                    <a:blip r:embed="rId13"/>
                    <a:srcRect/>
                    <a:stretch>
                      <a:fillRect/>
                    </a:stretch>
                  </pic:blipFill>
                  <pic:spPr>
                    <a:xfrm>
                      <a:off x="0" y="0"/>
                      <a:ext cx="4333875" cy="2057400"/>
                    </a:xfrm>
                    <a:prstGeom prst="rect">
                      <a:avLst/>
                    </a:prstGeom>
                    <a:ln/>
                  </pic:spPr>
                </pic:pic>
              </a:graphicData>
            </a:graphic>
          </wp:inline>
        </w:drawing>
      </w:r>
    </w:p>
    <w:p w14:paraId="2D64F649" w14:textId="77777777" w:rsidR="00452F93" w:rsidRDefault="00000000">
      <w:pPr>
        <w:jc w:val="center"/>
        <w:rPr>
          <w:b/>
          <w:bCs/>
        </w:rPr>
      </w:pPr>
      <w:r>
        <w:rPr>
          <w:b/>
          <w:bCs/>
        </w:rPr>
        <w:t>Figure 6: Kolb’s reflective cycle</w:t>
      </w:r>
    </w:p>
    <w:p w14:paraId="15491062" w14:textId="77777777" w:rsidR="00452F93" w:rsidRDefault="00000000">
      <w:pPr>
        <w:jc w:val="center"/>
      </w:pPr>
      <w:r>
        <w:t>(Source: Gaelle, 2022)</w:t>
      </w:r>
    </w:p>
    <w:p w14:paraId="2F064C7B" w14:textId="77777777" w:rsidR="00452F93" w:rsidRDefault="00000000">
      <w:r>
        <w:t xml:space="preserve">Throughout the study, I understood my capabilities of independent learning and intellectual understanding. I independently used several resources and critically evaluated them to understand Complex information across multiple disciplines. My ability to identify the knowledge gaps and understand the learnings suggests continuous development, which is essential for international business (Do, 2025). I created my understanding of the knowledge of feedback and recognition. This mindset helps me with continuous development and adaptability in a professional environment. </w:t>
      </w:r>
    </w:p>
    <w:p w14:paraId="1FB0CC19" w14:textId="77777777" w:rsidR="00452F93" w:rsidRDefault="00000000">
      <w:r>
        <w:t>My most significant limitations are the experiences of theoretical understanding of cultural differences. I am not able to collaborate with cross-cultural teams properly. It is limiting my capabilities for competencies and creates a misunderstanding about cultural constructs. I need to focus on my emotional resilience along with different achievable solutions in order to enhance my communication and capabilities in real-time situations.</w:t>
      </w:r>
    </w:p>
    <w:p w14:paraId="5C92A483" w14:textId="77777777" w:rsidR="00452F93" w:rsidRDefault="00000000">
      <w:pPr>
        <w:pStyle w:val="Heading2"/>
      </w:pPr>
      <w:bookmarkStart w:id="9" w:name="_heading=h.a7g12vmuyd3" w:colFirst="0" w:colLast="0"/>
      <w:bookmarkEnd w:id="9"/>
      <w:r>
        <w:lastRenderedPageBreak/>
        <w:t>4.2 Strengths and weaknesses</w:t>
      </w:r>
    </w:p>
    <w:p w14:paraId="00BE0FBC" w14:textId="77777777" w:rsidR="00452F93" w:rsidRDefault="00000000">
      <w:r>
        <w:t xml:space="preserve">My core strength is the structural thinking and decision-making process. I can create complex problem synopses systematically and break them down for understanding different components. Identifying the key areas of change and understanding the root cause gives me the strength and capability for different learning. Structure my arguments with proper logic and evidence, which helps me to address specific issues. It helps me to understand my knowledge-sharing method and communication skills frequently (Perera, 2025). Capabilities for independent learning are one of the major strengths that help me to mitigate any knowledge gap. This self-learning capacity helps me in international learning and especially in understanding my knowledge about the development and adaptability of essential methods. </w:t>
      </w:r>
    </w:p>
    <w:p w14:paraId="166E401E" w14:textId="77777777" w:rsidR="00452F93" w:rsidRDefault="00000000">
      <w:r>
        <w:t>My weaknesses are based on the cross-cultural relativity and how I am still working with different team members to collaborate in the decision-making process. Focusing on the different cultural context, I need to understand the different frameworks and mechanisms in order to work in a diverse what place. I also need to work on my ability towards workplace management and conflict resolution in the bigger team. Sometimes, during the decision-making process, I become very nervous, which affects my overall decision-making, quick decision, and rapid decision-making processes, as they slow down or with my understanding. It is essential for me to get an understanding of the communication skills and how different communication skills are enhancing the overall work environment.</w:t>
      </w:r>
    </w:p>
    <w:p w14:paraId="1E9E87CF" w14:textId="77777777" w:rsidR="00452F93" w:rsidRDefault="00000000">
      <w:pPr>
        <w:pStyle w:val="Heading2"/>
      </w:pPr>
      <w:bookmarkStart w:id="10" w:name="_heading=h.ox0dbsr4ix5q" w:colFirst="0" w:colLast="0"/>
      <w:bookmarkEnd w:id="10"/>
      <w:r>
        <w:t>4.3 Address areas for improvement</w:t>
      </w:r>
    </w:p>
    <w:p w14:paraId="42CCC510" w14:textId="77777777" w:rsidR="00452F93" w:rsidRDefault="00000000">
      <w:r>
        <w:t xml:space="preserve">My analytical capabilities need to be more structured and provide a foundation for international professions. I need to maintain structural analytical frameworks, which will help me to develop an understanding of different industries and marketplaces. Strong communication skills, along with international cross-cultural understanding, will help me to gain better strength in my projection. Creating diverse geographical regions through my understanding and self-learning capacity over the strategic planning will help to create continuous engagement with emerging transformation. The evidence-based learning will help me to understand my professional development and achieve the desired knowledge. </w:t>
      </w:r>
      <w:r>
        <w:lastRenderedPageBreak/>
        <w:t xml:space="preserve">Cross-cultural capacities, along with developing multimodal engagement, will create a deep understanding of theoretical knowledge and create practical experience for collaboration and colleagues. Verbal communication development is also important for practice. I will focus on the capabilities of emerging technology that will help me understand the practical opportunities. I will use reflective learning cycles like Kolb's reflective learning (Meijer </w:t>
      </w:r>
      <w:r>
        <w:rPr>
          <w:i/>
          <w:iCs/>
        </w:rPr>
        <w:t>et al.</w:t>
      </w:r>
      <w:r>
        <w:t>, 2022), which will help me to create an observation of my reflection over a set and create conceptualisation over active experimentation.</w:t>
      </w:r>
    </w:p>
    <w:p w14:paraId="44B0C321" w14:textId="77777777" w:rsidR="00452F93" w:rsidRDefault="00000000">
      <w:r>
        <w:t xml:space="preserve">I will make sure that my learning capability is enhanced with continuous practice of cross-cultural mechanisms. While being in a situation of cross cross-cultural team where different employees are from different areas, it is essential to make proper communication with proper technique. Without engaging in any workplace conflict, I will try to learn the areas of leadership that could be helpful for handling a bigger team. Creating an understanding of different frameworks such as Kolb's and others (Devi and Thendral, 2023), will help me to create my leadership planning accordingly. Based on strengths and weaknesses, I will create a plan that will help me to develop and change the areas where I need to focus more. Focusing on different capabilities and characteristics, I will ensure that my learning of any communication qualities will help me get future guidance. I will seek feedback from seniors and supervisors in order to get the desired outcome, and also to follow the process significantly. </w:t>
      </w:r>
    </w:p>
    <w:p w14:paraId="4C3A8FB8" w14:textId="77777777" w:rsidR="00452F93" w:rsidRDefault="00000000">
      <w:pPr>
        <w:rPr>
          <w:b/>
          <w:bCs/>
          <w:sz w:val="28"/>
          <w:szCs w:val="28"/>
        </w:rPr>
      </w:pPr>
      <w:r>
        <w:br w:type="page"/>
      </w:r>
    </w:p>
    <w:p w14:paraId="7DA871AA" w14:textId="77777777" w:rsidR="00452F93" w:rsidRDefault="00000000">
      <w:pPr>
        <w:pStyle w:val="Heading1"/>
        <w:rPr>
          <w:b w:val="0"/>
          <w:bCs w:val="0"/>
        </w:rPr>
      </w:pPr>
      <w:bookmarkStart w:id="11" w:name="_heading=h.typw6vrx67o" w:colFirst="0" w:colLast="0"/>
      <w:bookmarkEnd w:id="11"/>
      <w:r>
        <w:lastRenderedPageBreak/>
        <w:t>Reference List</w:t>
      </w:r>
    </w:p>
    <w:p w14:paraId="421D6F35" w14:textId="77777777" w:rsidR="00452F93" w:rsidRDefault="00000000">
      <w:pPr>
        <w:pBdr>
          <w:top w:val="nil"/>
          <w:left w:val="nil"/>
          <w:bottom w:val="nil"/>
          <w:right w:val="nil"/>
          <w:between w:val="nil"/>
        </w:pBdr>
        <w:shd w:val="clear" w:color="auto" w:fill="auto"/>
        <w:rPr>
          <w:color w:val="000000"/>
        </w:rPr>
      </w:pPr>
      <w:r>
        <w:rPr>
          <w:color w:val="222222"/>
          <w:highlight w:val="white"/>
        </w:rPr>
        <w:t xml:space="preserve">Caligiuri, P., De Cieri, H., </w:t>
      </w:r>
      <w:proofErr w:type="spellStart"/>
      <w:r>
        <w:rPr>
          <w:color w:val="222222"/>
          <w:highlight w:val="white"/>
        </w:rPr>
        <w:t>Minbaeva</w:t>
      </w:r>
      <w:proofErr w:type="spellEnd"/>
      <w:r>
        <w:rPr>
          <w:color w:val="222222"/>
          <w:highlight w:val="white"/>
        </w:rPr>
        <w:t xml:space="preserve">, D., Verbeke, A. and Zimmermann, A., 2022. International HRM insights for navigating the COVID-19 pandemic: Implications for future research and practice. In </w:t>
      </w:r>
      <w:r>
        <w:rPr>
          <w:i/>
          <w:iCs/>
          <w:color w:val="222222"/>
          <w:highlight w:val="white"/>
        </w:rPr>
        <w:t>Crises and disruptions in international business: How multinational enterprises respond to crises</w:t>
      </w:r>
      <w:r>
        <w:rPr>
          <w:color w:val="222222"/>
          <w:highlight w:val="white"/>
        </w:rPr>
        <w:t xml:space="preserve"> (pp. 417-454). Cham: Springer International Publishing. </w:t>
      </w:r>
      <w:hyperlink r:id="rId14">
        <w:r>
          <w:rPr>
            <w:color w:val="1155CC"/>
            <w:highlight w:val="white"/>
            <w:u w:val="single"/>
          </w:rPr>
          <w:t>https://link.springer.com/chapter/10.1007/978-3-030-80383-4_17</w:t>
        </w:r>
      </w:hyperlink>
    </w:p>
    <w:p w14:paraId="7E402608" w14:textId="77777777" w:rsidR="00452F93" w:rsidRDefault="00000000">
      <w:pPr>
        <w:spacing w:after="240"/>
      </w:pPr>
      <w:r>
        <w:t xml:space="preserve">Devi, M. K. K. and Thendral, M. S. (2023) ‘Using Kolb’s Experiential Learning Theory to Improve Student Learning in Theory Course’, </w:t>
      </w:r>
      <w:r>
        <w:rPr>
          <w:i/>
          <w:iCs/>
        </w:rPr>
        <w:t>Journal of Engineering Education Transformations</w:t>
      </w:r>
      <w:r>
        <w:t xml:space="preserve">, 37(1), pp. 70–81. </w:t>
      </w:r>
      <w:proofErr w:type="spellStart"/>
      <w:r>
        <w:t>doi</w:t>
      </w:r>
      <w:proofErr w:type="spellEnd"/>
      <w:r>
        <w:t xml:space="preserve">: </w:t>
      </w:r>
      <w:hyperlink r:id="rId15">
        <w:r>
          <w:rPr>
            <w:color w:val="1155CC"/>
            <w:u w:val="single"/>
          </w:rPr>
          <w:t>https://doi.org/10.16920/jeet/2023/v37i1/23133</w:t>
        </w:r>
      </w:hyperlink>
      <w:r>
        <w:t>.</w:t>
      </w:r>
    </w:p>
    <w:p w14:paraId="7E0002AE" w14:textId="77777777" w:rsidR="00452F93" w:rsidRDefault="00000000">
      <w:pPr>
        <w:spacing w:after="240"/>
      </w:pPr>
      <w:r>
        <w:t xml:space="preserve">Do, H. T. K. (2025) ‘Identification in global and virtual teams: a systematic literature review’, </w:t>
      </w:r>
      <w:r>
        <w:rPr>
          <w:i/>
          <w:iCs/>
        </w:rPr>
        <w:t>Review of Managerial Science</w:t>
      </w:r>
      <w:r>
        <w:t xml:space="preserve">. </w:t>
      </w:r>
      <w:hyperlink r:id="rId16">
        <w:r>
          <w:rPr>
            <w:color w:val="1155CC"/>
            <w:u w:val="single"/>
          </w:rPr>
          <w:t>https://doi.org/10.1007/s11846-025-00890-1</w:t>
        </w:r>
      </w:hyperlink>
      <w:r>
        <w:t>.</w:t>
      </w:r>
    </w:p>
    <w:p w14:paraId="6173BE20" w14:textId="77777777" w:rsidR="00452F93" w:rsidRDefault="00000000">
      <w:pPr>
        <w:pBdr>
          <w:top w:val="nil"/>
          <w:left w:val="nil"/>
          <w:bottom w:val="nil"/>
          <w:right w:val="nil"/>
          <w:between w:val="nil"/>
        </w:pBdr>
        <w:shd w:val="clear" w:color="auto" w:fill="auto"/>
        <w:rPr>
          <w:color w:val="000000"/>
        </w:rPr>
      </w:pPr>
      <w:r>
        <w:rPr>
          <w:color w:val="222222"/>
          <w:highlight w:val="white"/>
        </w:rPr>
        <w:t xml:space="preserve">Farndale, E., Horak, S., </w:t>
      </w:r>
      <w:proofErr w:type="spellStart"/>
      <w:r>
        <w:rPr>
          <w:color w:val="222222"/>
          <w:highlight w:val="white"/>
        </w:rPr>
        <w:t>Piyanontalee</w:t>
      </w:r>
      <w:proofErr w:type="spellEnd"/>
      <w:r>
        <w:rPr>
          <w:color w:val="222222"/>
          <w:highlight w:val="white"/>
        </w:rPr>
        <w:t xml:space="preserve">, R., Puffer, S.M. and Vidović, M., 2025. Looking back to look forward: Disruption, innovation and future trends in international human resource management. </w:t>
      </w:r>
      <w:r>
        <w:rPr>
          <w:i/>
          <w:iCs/>
          <w:color w:val="222222"/>
          <w:highlight w:val="white"/>
        </w:rPr>
        <w:t>International Business Review</w:t>
      </w:r>
      <w:r>
        <w:rPr>
          <w:color w:val="222222"/>
          <w:highlight w:val="white"/>
        </w:rPr>
        <w:t xml:space="preserve">, </w:t>
      </w:r>
      <w:r>
        <w:rPr>
          <w:i/>
          <w:iCs/>
          <w:color w:val="222222"/>
          <w:highlight w:val="white"/>
        </w:rPr>
        <w:t>34</w:t>
      </w:r>
      <w:r>
        <w:rPr>
          <w:color w:val="222222"/>
          <w:highlight w:val="white"/>
        </w:rPr>
        <w:t xml:space="preserve">(1), p.102362. </w:t>
      </w:r>
      <w:hyperlink r:id="rId17">
        <w:r>
          <w:rPr>
            <w:color w:val="1155CC"/>
            <w:highlight w:val="white"/>
            <w:u w:val="single"/>
          </w:rPr>
          <w:t>https://www.sciencedirect.com/science/article/abs/pii/S0969593124001094</w:t>
        </w:r>
      </w:hyperlink>
      <w:r>
        <w:rPr>
          <w:color w:val="222222"/>
          <w:highlight w:val="white"/>
        </w:rPr>
        <w:t> </w:t>
      </w:r>
    </w:p>
    <w:p w14:paraId="3051C7A3" w14:textId="77777777" w:rsidR="00452F93" w:rsidRDefault="00000000">
      <w:pPr>
        <w:spacing w:after="240"/>
      </w:pPr>
      <w:r>
        <w:t xml:space="preserve">Fleck, A. (2025) </w:t>
      </w:r>
      <w:r>
        <w:rPr>
          <w:i/>
          <w:iCs/>
        </w:rPr>
        <w:t>Accelerating transformation: How we’re reshaping Microsoft with continuous improvement and AI - Inside Track Blog</w:t>
      </w:r>
      <w:r>
        <w:t xml:space="preserve">, </w:t>
      </w:r>
      <w:r>
        <w:rPr>
          <w:i/>
          <w:iCs/>
        </w:rPr>
        <w:t>Inside Track Blog</w:t>
      </w:r>
      <w:r>
        <w:t xml:space="preserve">. Available at: </w:t>
      </w:r>
      <w:hyperlink r:id="rId18">
        <w:r>
          <w:rPr>
            <w:color w:val="1155CC"/>
            <w:u w:val="single"/>
          </w:rPr>
          <w:t>https://www.microsoft.com/insidetrack/blog/accelerating-transformation-how-were-reshaping-microsoft-with-continuous-improvement-and-ai/</w:t>
        </w:r>
      </w:hyperlink>
      <w:r>
        <w:t xml:space="preserve"> (Accessed: 12 November 2025).</w:t>
      </w:r>
    </w:p>
    <w:p w14:paraId="4C649546" w14:textId="77777777" w:rsidR="00452F93" w:rsidRDefault="00000000">
      <w:pPr>
        <w:pBdr>
          <w:top w:val="nil"/>
          <w:left w:val="nil"/>
          <w:bottom w:val="nil"/>
          <w:right w:val="nil"/>
          <w:between w:val="nil"/>
        </w:pBdr>
        <w:shd w:val="clear" w:color="auto" w:fill="auto"/>
        <w:rPr>
          <w:color w:val="000000"/>
        </w:rPr>
      </w:pPr>
      <w:r>
        <w:rPr>
          <w:color w:val="000000"/>
        </w:rPr>
        <w:t xml:space="preserve">Gaelle, 2022. Kolb’s Cycle of Reflective Practice. </w:t>
      </w:r>
      <w:hyperlink r:id="rId19">
        <w:r>
          <w:rPr>
            <w:color w:val="1155CC"/>
            <w:u w:val="single"/>
          </w:rPr>
          <w:t>https://www.cambiana.com/kolbs-cycle-of-reflective-practice/</w:t>
        </w:r>
      </w:hyperlink>
      <w:r>
        <w:rPr>
          <w:color w:val="000000"/>
        </w:rPr>
        <w:t xml:space="preserve"> [Accessed on 12th Nov 2025]</w:t>
      </w:r>
    </w:p>
    <w:p w14:paraId="49BF8F32" w14:textId="77777777" w:rsidR="00452F93" w:rsidRDefault="00000000">
      <w:pPr>
        <w:pBdr>
          <w:top w:val="nil"/>
          <w:left w:val="nil"/>
          <w:bottom w:val="nil"/>
          <w:right w:val="nil"/>
          <w:between w:val="nil"/>
        </w:pBdr>
        <w:shd w:val="clear" w:color="auto" w:fill="auto"/>
        <w:rPr>
          <w:color w:val="000000"/>
        </w:rPr>
      </w:pPr>
      <w:r>
        <w:rPr>
          <w:color w:val="222222"/>
          <w:highlight w:val="white"/>
        </w:rPr>
        <w:t xml:space="preserve">Gupta, N. and Gupta, A.K., 2025. International Human Resource Management. In </w:t>
      </w:r>
      <w:r>
        <w:rPr>
          <w:i/>
          <w:iCs/>
          <w:color w:val="222222"/>
          <w:highlight w:val="white"/>
        </w:rPr>
        <w:t>Human Resource Management for Organisational Success: Volume II</w:t>
      </w:r>
      <w:r>
        <w:rPr>
          <w:color w:val="222222"/>
          <w:highlight w:val="white"/>
        </w:rPr>
        <w:t xml:space="preserve"> (pp. 315-344). Singapore: Springer Nature Singapore. </w:t>
      </w:r>
      <w:hyperlink r:id="rId20">
        <w:r>
          <w:rPr>
            <w:color w:val="1155CC"/>
            <w:highlight w:val="white"/>
            <w:u w:val="single"/>
          </w:rPr>
          <w:t>https://link.springer.com/chapter/10.1007/978-981-96-8556-1_11</w:t>
        </w:r>
      </w:hyperlink>
      <w:r>
        <w:rPr>
          <w:color w:val="222222"/>
          <w:highlight w:val="white"/>
        </w:rPr>
        <w:t> </w:t>
      </w:r>
    </w:p>
    <w:p w14:paraId="54E5592A" w14:textId="77777777" w:rsidR="00452F93" w:rsidRDefault="00000000">
      <w:pPr>
        <w:spacing w:after="240"/>
      </w:pPr>
      <w:r>
        <w:t xml:space="preserve">Innova (2025) </w:t>
      </w:r>
      <w:r>
        <w:rPr>
          <w:i/>
          <w:iCs/>
        </w:rPr>
        <w:t>Leading Healthcare Staffing &amp; Tech Staffing - INNOVA People</w:t>
      </w:r>
      <w:r>
        <w:t xml:space="preserve">, </w:t>
      </w:r>
      <w:r>
        <w:rPr>
          <w:i/>
          <w:iCs/>
        </w:rPr>
        <w:t>INNOVA People</w:t>
      </w:r>
      <w:r>
        <w:t xml:space="preserve">. Available at: </w:t>
      </w:r>
      <w:hyperlink r:id="rId21">
        <w:r>
          <w:rPr>
            <w:color w:val="1155CC"/>
            <w:u w:val="single"/>
          </w:rPr>
          <w:t>https://www.innovapeople.com/</w:t>
        </w:r>
      </w:hyperlink>
      <w:r>
        <w:t xml:space="preserve"> (Accessed: 12 November 2025).</w:t>
      </w:r>
    </w:p>
    <w:p w14:paraId="7D9A7E97" w14:textId="77777777" w:rsidR="00452F93" w:rsidRDefault="00000000">
      <w:pPr>
        <w:pBdr>
          <w:top w:val="nil"/>
          <w:left w:val="nil"/>
          <w:bottom w:val="nil"/>
          <w:right w:val="nil"/>
          <w:between w:val="nil"/>
        </w:pBdr>
        <w:shd w:val="clear" w:color="auto" w:fill="auto"/>
        <w:rPr>
          <w:color w:val="000000"/>
        </w:rPr>
      </w:pPr>
      <w:r>
        <w:rPr>
          <w:color w:val="000000"/>
        </w:rPr>
        <w:lastRenderedPageBreak/>
        <w:t xml:space="preserve">International Labour Organization (ILO). (2023). </w:t>
      </w:r>
      <w:r>
        <w:rPr>
          <w:i/>
          <w:iCs/>
          <w:color w:val="000000"/>
        </w:rPr>
        <w:t>World Employment and Social Outlook: Trends 2023.</w:t>
      </w:r>
      <w:r>
        <w:rPr>
          <w:color w:val="000000"/>
        </w:rPr>
        <w:t xml:space="preserve"> Geneva: ILO. </w:t>
      </w:r>
      <w:hyperlink r:id="rId22">
        <w:r>
          <w:rPr>
            <w:color w:val="1155CC"/>
            <w:u w:val="single"/>
          </w:rPr>
          <w:t>https://www.ilo.org/research-and-publications</w:t>
        </w:r>
      </w:hyperlink>
      <w:r>
        <w:rPr>
          <w:color w:val="000000"/>
        </w:rPr>
        <w:t>  [Accessed on 12th Nov 2025]</w:t>
      </w:r>
    </w:p>
    <w:p w14:paraId="2AF75AFF" w14:textId="77777777" w:rsidR="00452F93" w:rsidRDefault="00000000">
      <w:pPr>
        <w:spacing w:after="240"/>
      </w:pPr>
      <w:r>
        <w:t xml:space="preserve">Kitterman, T. (2025) </w:t>
      </w:r>
      <w:r>
        <w:rPr>
          <w:i/>
          <w:iCs/>
        </w:rPr>
        <w:t>How Hilton Attracts the 30,000 New Hires Needed Across Its Booming Asia Portfolio</w:t>
      </w:r>
      <w:r>
        <w:t xml:space="preserve">, </w:t>
      </w:r>
      <w:r>
        <w:rPr>
          <w:i/>
          <w:iCs/>
        </w:rPr>
        <w:t>Great Place To Work®</w:t>
      </w:r>
      <w:r>
        <w:t xml:space="preserve">. Great Place To Work. Available at: </w:t>
      </w:r>
      <w:hyperlink r:id="rId23">
        <w:r>
          <w:rPr>
            <w:color w:val="1155CC"/>
            <w:u w:val="single"/>
          </w:rPr>
          <w:t>https://www.greatplacetowork.com/resources/blog/how-hilton-attracts-the-30k-new-hires-needed-across-its-booming-asia-portfolio</w:t>
        </w:r>
      </w:hyperlink>
      <w:r>
        <w:t xml:space="preserve"> (Accessed: 12 November 2025).</w:t>
      </w:r>
    </w:p>
    <w:p w14:paraId="6E6AB0F1" w14:textId="77777777" w:rsidR="00452F93" w:rsidRDefault="00000000">
      <w:pPr>
        <w:spacing w:after="240"/>
      </w:pPr>
      <w:r>
        <w:t xml:space="preserve">Meijer, M. W. </w:t>
      </w:r>
      <w:r>
        <w:rPr>
          <w:i/>
          <w:iCs/>
        </w:rPr>
        <w:t>et al.</w:t>
      </w:r>
      <w:r>
        <w:t xml:space="preserve"> (2022) ‘Implementing Kolb´s Experiential Learning Cycle by Linking Real Experience, Case-Based Discussion and Simulation’, </w:t>
      </w:r>
      <w:r>
        <w:rPr>
          <w:i/>
          <w:iCs/>
        </w:rPr>
        <w:t>Journal of Medical Education and Curricular Development</w:t>
      </w:r>
      <w:r>
        <w:t xml:space="preserve">, 9(2), pp. 1–5. Available at: </w:t>
      </w:r>
      <w:hyperlink r:id="rId24">
        <w:r>
          <w:rPr>
            <w:color w:val="1155CC"/>
            <w:u w:val="single"/>
          </w:rPr>
          <w:t>https://journals.sagepub.com/doi/full/10.1177/23821205221091511</w:t>
        </w:r>
      </w:hyperlink>
      <w:r>
        <w:t xml:space="preserve"> (Accessed: 12 November 2025).</w:t>
      </w:r>
    </w:p>
    <w:p w14:paraId="0E12F242" w14:textId="77777777" w:rsidR="00452F93" w:rsidRDefault="00000000">
      <w:pPr>
        <w:pBdr>
          <w:top w:val="nil"/>
          <w:left w:val="nil"/>
          <w:bottom w:val="nil"/>
          <w:right w:val="nil"/>
          <w:between w:val="nil"/>
        </w:pBdr>
        <w:shd w:val="clear" w:color="auto" w:fill="auto"/>
        <w:rPr>
          <w:color w:val="000000"/>
        </w:rPr>
      </w:pPr>
      <w:r>
        <w:rPr>
          <w:color w:val="222222"/>
          <w:highlight w:val="white"/>
        </w:rPr>
        <w:t xml:space="preserve">Ng, E.S., Stanton, P., Umeh, C., Bamber, G.J., Stone, D., Lukaszewski, K., Aw, S., Lyons, S., Schweitzer, L., Ren, S. and </w:t>
      </w:r>
      <w:proofErr w:type="spellStart"/>
      <w:r>
        <w:rPr>
          <w:color w:val="222222"/>
          <w:highlight w:val="white"/>
        </w:rPr>
        <w:t>Özbilgin</w:t>
      </w:r>
      <w:proofErr w:type="spellEnd"/>
      <w:r>
        <w:rPr>
          <w:color w:val="222222"/>
          <w:highlight w:val="white"/>
        </w:rPr>
        <w:t xml:space="preserve">, M.F., 2025. Megatrends affecting the world of work: Implications for human resource management. </w:t>
      </w:r>
      <w:r>
        <w:rPr>
          <w:i/>
          <w:iCs/>
          <w:color w:val="222222"/>
          <w:highlight w:val="white"/>
        </w:rPr>
        <w:t>Personnel Review</w:t>
      </w:r>
      <w:r>
        <w:rPr>
          <w:color w:val="222222"/>
          <w:highlight w:val="white"/>
        </w:rPr>
        <w:t xml:space="preserve">, </w:t>
      </w:r>
      <w:r>
        <w:rPr>
          <w:i/>
          <w:iCs/>
          <w:color w:val="222222"/>
          <w:highlight w:val="white"/>
        </w:rPr>
        <w:t>54</w:t>
      </w:r>
      <w:r>
        <w:rPr>
          <w:color w:val="222222"/>
          <w:highlight w:val="white"/>
        </w:rPr>
        <w:t xml:space="preserve">(5), pp.1113-1149. </w:t>
      </w:r>
      <w:hyperlink r:id="rId25">
        <w:r>
          <w:rPr>
            <w:color w:val="1155CC"/>
            <w:highlight w:val="white"/>
            <w:u w:val="single"/>
          </w:rPr>
          <w:t>https://www.emerald.com/pr/article-abstract/54/5/1113/1255519/Megatrends-affecting-the-world-of-work?redirectedFrom=fulltext</w:t>
        </w:r>
      </w:hyperlink>
      <w:r>
        <w:rPr>
          <w:color w:val="222222"/>
          <w:highlight w:val="white"/>
        </w:rPr>
        <w:t> </w:t>
      </w:r>
    </w:p>
    <w:p w14:paraId="07E48640" w14:textId="77777777" w:rsidR="00452F93" w:rsidRDefault="00000000">
      <w:pPr>
        <w:pBdr>
          <w:top w:val="nil"/>
          <w:left w:val="nil"/>
          <w:bottom w:val="nil"/>
          <w:right w:val="nil"/>
          <w:between w:val="nil"/>
        </w:pBdr>
        <w:shd w:val="clear" w:color="auto" w:fill="auto"/>
        <w:rPr>
          <w:color w:val="000000"/>
        </w:rPr>
      </w:pPr>
      <w:r>
        <w:rPr>
          <w:color w:val="000000"/>
        </w:rPr>
        <w:t xml:space="preserve">Nikita, 2025. Challenges in Human Resource Management and How to Overcome Them. </w:t>
      </w:r>
      <w:hyperlink r:id="rId26">
        <w:r>
          <w:rPr>
            <w:color w:val="1155CC"/>
            <w:u w:val="single"/>
          </w:rPr>
          <w:t>https://xobin.com/blog/challenges-in-human-resource-management/</w:t>
        </w:r>
      </w:hyperlink>
      <w:r>
        <w:rPr>
          <w:color w:val="000000"/>
        </w:rPr>
        <w:t xml:space="preserve"> [Accessed on 12th Nov 2025]</w:t>
      </w:r>
    </w:p>
    <w:p w14:paraId="64FF0889" w14:textId="77777777" w:rsidR="00452F93" w:rsidRDefault="00000000">
      <w:pPr>
        <w:spacing w:after="240"/>
      </w:pPr>
      <w:r>
        <w:t xml:space="preserve">Okolie, U. C., Omole, O. G. and Yakubu, A. (2021) ‘Leadership and Effective Human Resource Management in Organization’, </w:t>
      </w:r>
      <w:r>
        <w:rPr>
          <w:i/>
          <w:iCs/>
        </w:rPr>
        <w:t>RUDN Journal of Public Administration</w:t>
      </w:r>
      <w:r>
        <w:t xml:space="preserve">, 8(3), pp. 277–296. </w:t>
      </w:r>
      <w:proofErr w:type="spellStart"/>
      <w:r>
        <w:t>doi</w:t>
      </w:r>
      <w:proofErr w:type="spellEnd"/>
      <w:r>
        <w:t xml:space="preserve">: </w:t>
      </w:r>
      <w:hyperlink r:id="rId27">
        <w:r>
          <w:rPr>
            <w:color w:val="1155CC"/>
            <w:u w:val="single"/>
          </w:rPr>
          <w:t>https://doi.org/10.22363/2312-8313-2021-8-3-277-296</w:t>
        </w:r>
      </w:hyperlink>
      <w:r>
        <w:t>.</w:t>
      </w:r>
    </w:p>
    <w:p w14:paraId="26F74DF5" w14:textId="77777777" w:rsidR="00452F93" w:rsidRDefault="00000000">
      <w:pPr>
        <w:pBdr>
          <w:top w:val="nil"/>
          <w:left w:val="nil"/>
          <w:bottom w:val="nil"/>
          <w:right w:val="nil"/>
          <w:between w:val="nil"/>
        </w:pBdr>
        <w:shd w:val="clear" w:color="auto" w:fill="auto"/>
        <w:rPr>
          <w:color w:val="000000"/>
        </w:rPr>
      </w:pPr>
      <w:proofErr w:type="spellStart"/>
      <w:r>
        <w:rPr>
          <w:color w:val="000000"/>
        </w:rPr>
        <w:t>Parismita</w:t>
      </w:r>
      <w:proofErr w:type="spellEnd"/>
      <w:r>
        <w:rPr>
          <w:color w:val="000000"/>
        </w:rPr>
        <w:t xml:space="preserve">, 2025. What is an HR Strategy and How to Create One? </w:t>
      </w:r>
      <w:hyperlink r:id="rId28">
        <w:r>
          <w:rPr>
            <w:color w:val="1155CC"/>
            <w:u w:val="single"/>
          </w:rPr>
          <w:t>https://www.keka.com/what-is-hr-strategy-and-how-to-create</w:t>
        </w:r>
      </w:hyperlink>
      <w:r>
        <w:rPr>
          <w:color w:val="000000"/>
        </w:rPr>
        <w:t xml:space="preserve"> [Accessed on 12th Nov 2025]</w:t>
      </w:r>
    </w:p>
    <w:p w14:paraId="78766FD7" w14:textId="77777777" w:rsidR="00452F93" w:rsidRDefault="00000000">
      <w:pPr>
        <w:spacing w:after="240"/>
      </w:pPr>
      <w:r>
        <w:t xml:space="preserve">Perera, A. P. K. (2025) ‘’, </w:t>
      </w:r>
      <w:r>
        <w:rPr>
          <w:i/>
          <w:iCs/>
        </w:rPr>
        <w:t>Cross-Cultural Leadership in Global Teams</w:t>
      </w:r>
      <w:r>
        <w:t xml:space="preserve">. </w:t>
      </w:r>
      <w:proofErr w:type="spellStart"/>
      <w:r>
        <w:t>doi</w:t>
      </w:r>
      <w:proofErr w:type="spellEnd"/>
      <w:r>
        <w:t xml:space="preserve">: </w:t>
      </w:r>
      <w:hyperlink r:id="rId29">
        <w:r>
          <w:rPr>
            <w:color w:val="1155CC"/>
            <w:u w:val="single"/>
          </w:rPr>
          <w:t>https://doi.org/10.2139/ssrn.5097264</w:t>
        </w:r>
      </w:hyperlink>
      <w:r>
        <w:t>.</w:t>
      </w:r>
    </w:p>
    <w:p w14:paraId="72AD8204" w14:textId="77777777" w:rsidR="00452F93" w:rsidRDefault="00000000">
      <w:pPr>
        <w:pBdr>
          <w:top w:val="nil"/>
          <w:left w:val="nil"/>
          <w:bottom w:val="nil"/>
          <w:right w:val="nil"/>
          <w:between w:val="nil"/>
        </w:pBdr>
        <w:shd w:val="clear" w:color="auto" w:fill="auto"/>
        <w:rPr>
          <w:color w:val="000000"/>
        </w:rPr>
      </w:pPr>
      <w:r>
        <w:rPr>
          <w:color w:val="000000"/>
        </w:rPr>
        <w:lastRenderedPageBreak/>
        <w:t xml:space="preserve">Peter, 2024. The role of technology in shaping the future labor market and economic development. </w:t>
      </w:r>
      <w:hyperlink r:id="rId30">
        <w:r>
          <w:rPr>
            <w:color w:val="1155CC"/>
            <w:u w:val="single"/>
          </w:rPr>
          <w:t>https://www.jobspikr.com/insights/role-of-technology-in-economic-growth-2024/</w:t>
        </w:r>
      </w:hyperlink>
      <w:r>
        <w:rPr>
          <w:color w:val="000000"/>
        </w:rPr>
        <w:t xml:space="preserve"> [Accessed on 12th Nov 2025]</w:t>
      </w:r>
    </w:p>
    <w:p w14:paraId="0561B77C" w14:textId="77777777" w:rsidR="00452F93" w:rsidRDefault="00000000">
      <w:pPr>
        <w:pBdr>
          <w:top w:val="nil"/>
          <w:left w:val="nil"/>
          <w:bottom w:val="nil"/>
          <w:right w:val="nil"/>
          <w:between w:val="nil"/>
        </w:pBdr>
        <w:shd w:val="clear" w:color="auto" w:fill="auto"/>
        <w:rPr>
          <w:color w:val="000000"/>
        </w:rPr>
      </w:pPr>
      <w:r>
        <w:rPr>
          <w:color w:val="000000"/>
        </w:rPr>
        <w:t xml:space="preserve">Samyukta, 2025. The Four Influences Framework. </w:t>
      </w:r>
      <w:hyperlink r:id="rId31">
        <w:r>
          <w:rPr>
            <w:color w:val="1155CC"/>
            <w:u w:val="single"/>
          </w:rPr>
          <w:t>https://notes.collegehive.in/books/international-human-resource-management/page/6-the-four-influences-framework</w:t>
        </w:r>
      </w:hyperlink>
      <w:r>
        <w:rPr>
          <w:color w:val="000000"/>
        </w:rPr>
        <w:t xml:space="preserve"> [Accessed on 12th Nov 2025]</w:t>
      </w:r>
    </w:p>
    <w:p w14:paraId="10C8D668" w14:textId="77777777" w:rsidR="00452F93" w:rsidRDefault="00000000">
      <w:pPr>
        <w:pBdr>
          <w:top w:val="nil"/>
          <w:left w:val="nil"/>
          <w:bottom w:val="nil"/>
          <w:right w:val="nil"/>
          <w:between w:val="nil"/>
        </w:pBdr>
        <w:shd w:val="clear" w:color="auto" w:fill="auto"/>
        <w:rPr>
          <w:color w:val="000000"/>
        </w:rPr>
      </w:pPr>
      <w:r>
        <w:rPr>
          <w:color w:val="000000"/>
        </w:rPr>
        <w:t xml:space="preserve">Srikant, 2025. </w:t>
      </w:r>
      <w:r>
        <w:rPr>
          <w:color w:val="050B19"/>
        </w:rPr>
        <w:t xml:space="preserve">Talent Management: What It Is and Why It’s Crucial for Your Business. </w:t>
      </w:r>
      <w:hyperlink r:id="rId32">
        <w:r>
          <w:rPr>
            <w:color w:val="1155CC"/>
            <w:u w:val="single"/>
          </w:rPr>
          <w:t>https://engagedly.com/blog/what-is-talent-management-and-why-is-it-important/</w:t>
        </w:r>
      </w:hyperlink>
      <w:r>
        <w:rPr>
          <w:color w:val="050B19"/>
        </w:rPr>
        <w:t xml:space="preserve"> </w:t>
      </w:r>
      <w:r>
        <w:rPr>
          <w:color w:val="000000"/>
        </w:rPr>
        <w:t>[Accessed on 12th Nov 2025]</w:t>
      </w:r>
    </w:p>
    <w:p w14:paraId="03D61CC4" w14:textId="77777777" w:rsidR="00452F93" w:rsidRDefault="00000000">
      <w:pPr>
        <w:spacing w:after="240"/>
      </w:pPr>
      <w:r>
        <w:t xml:space="preserve">Taylor, A. (2025) </w:t>
      </w:r>
      <w:r>
        <w:rPr>
          <w:i/>
          <w:iCs/>
        </w:rPr>
        <w:t>AI-powered success—with more than 1,000 stories of customer transformation and innovation | The Microsoft Cloud Blog</w:t>
      </w:r>
      <w:r>
        <w:t xml:space="preserve">, </w:t>
      </w:r>
      <w:r>
        <w:rPr>
          <w:i/>
          <w:iCs/>
        </w:rPr>
        <w:t>The Microsoft Cloud Blog</w:t>
      </w:r>
      <w:r>
        <w:t xml:space="preserve">. Available at: </w:t>
      </w:r>
      <w:hyperlink r:id="rId33">
        <w:r>
          <w:rPr>
            <w:color w:val="1155CC"/>
            <w:u w:val="single"/>
          </w:rPr>
          <w:t>https://www.microsoft.com/en-us/microsoft-cloud/blog/2025/07/24/ai-powered-success-with-1000-stories-of-customer-transformation-and-innovation/</w:t>
        </w:r>
      </w:hyperlink>
      <w:r>
        <w:t xml:space="preserve"> (Accessed: 12 November 2025).</w:t>
      </w:r>
    </w:p>
    <w:p w14:paraId="481A3B88" w14:textId="77777777" w:rsidR="00452F93" w:rsidRDefault="00000000">
      <w:pPr>
        <w:pBdr>
          <w:top w:val="nil"/>
          <w:left w:val="nil"/>
          <w:bottom w:val="nil"/>
          <w:right w:val="nil"/>
          <w:between w:val="nil"/>
        </w:pBdr>
        <w:shd w:val="clear" w:color="auto" w:fill="auto"/>
        <w:rPr>
          <w:color w:val="000000"/>
        </w:rPr>
      </w:pPr>
      <w:r>
        <w:rPr>
          <w:color w:val="000000"/>
        </w:rPr>
        <w:t xml:space="preserve">World Economic Forum (WEF). (2023). </w:t>
      </w:r>
      <w:r>
        <w:rPr>
          <w:i/>
          <w:iCs/>
          <w:color w:val="000000"/>
        </w:rPr>
        <w:t>The Future of Jobs Report 2023.</w:t>
      </w:r>
      <w:r>
        <w:rPr>
          <w:color w:val="000000"/>
        </w:rPr>
        <w:t xml:space="preserve"> Geneva: WEF. </w:t>
      </w:r>
      <w:hyperlink r:id="rId34">
        <w:r>
          <w:rPr>
            <w:color w:val="1155CC"/>
            <w:u w:val="single"/>
          </w:rPr>
          <w:t>https://www.weforum.org/publications/the-future-of-jobs-report-2023/</w:t>
        </w:r>
      </w:hyperlink>
      <w:r>
        <w:rPr>
          <w:color w:val="000000"/>
        </w:rPr>
        <w:t>  [Accessed on 12th Nov 2025]</w:t>
      </w:r>
    </w:p>
    <w:p w14:paraId="316AB051" w14:textId="77777777" w:rsidR="00452F93" w:rsidRDefault="00452F93">
      <w:pPr>
        <w:rPr>
          <w:color w:val="000000"/>
        </w:rPr>
      </w:pPr>
    </w:p>
    <w:sectPr w:rsidR="00452F93" w:rsidSect="000F173D">
      <w:headerReference w:type="default" r:id="rId35"/>
      <w:footerReference w:type="default" r:id="rId36"/>
      <w:headerReference w:type="firs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9912A" w14:textId="77777777" w:rsidR="00533D73" w:rsidRDefault="00533D73">
      <w:pPr>
        <w:spacing w:line="240" w:lineRule="auto"/>
      </w:pPr>
      <w:r>
        <w:separator/>
      </w:r>
    </w:p>
  </w:endnote>
  <w:endnote w:type="continuationSeparator" w:id="0">
    <w:p w14:paraId="4280099D" w14:textId="77777777" w:rsidR="00533D73" w:rsidRDefault="00533D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9E7BE97F-1CBB-B44E-AEA6-FF56E81CB577}"/>
    <w:embedBold r:id="rId2" w:fontKey="{174D9E6F-2582-3240-A260-11027B0C3B76}"/>
    <w:embedItalic r:id="rId3" w:fontKey="{D26379CD-E729-D045-ABBB-E359C8E2922D}"/>
  </w:font>
  <w:font w:name="Times New Roman">
    <w:panose1 w:val="02020603050405020304"/>
    <w:charset w:val="00"/>
    <w:family w:val="roman"/>
    <w:pitch w:val="variable"/>
    <w:sig w:usb0="E0002EFF" w:usb1="C000785B" w:usb2="00000009" w:usb3="00000000" w:csb0="000001FF" w:csb1="00000000"/>
    <w:embedRegular r:id="rId4" w:fontKey="{43ED92C0-D0EC-304A-8850-997925B04B6D}"/>
    <w:embedBold r:id="rId5" w:fontKey="{D9B0A87A-9EB3-6140-9B0D-6643560D2EE8}"/>
  </w:font>
  <w:font w:name="Calibri">
    <w:panose1 w:val="020F0502020204030204"/>
    <w:charset w:val="00"/>
    <w:family w:val="swiss"/>
    <w:pitch w:val="variable"/>
    <w:sig w:usb0="E4002EFF" w:usb1="C200247B" w:usb2="00000009" w:usb3="00000000" w:csb0="000001FF" w:csb1="00000000"/>
    <w:embedRegular r:id="rId6" w:fontKey="{E6E3722C-FCE2-734B-9A94-9B5544D12D2D}"/>
    <w:embedBold r:id="rId7" w:fontKey="{801E789B-8470-864C-9DB8-BCA143FDB98B}"/>
  </w:font>
  <w:font w:name="Mangal">
    <w:panose1 w:val="02040503050203030202"/>
    <w:charset w:val="01"/>
    <w:family w:val="roman"/>
    <w:pitch w:val="variable"/>
    <w:sig w:usb0="00002000" w:usb1="00000000" w:usb2="00000000" w:usb3="00000000" w:csb0="00000000" w:csb1="00000000"/>
    <w:embedRegular r:id="rId8" w:fontKey="{39C4FACE-A0DA-644B-8F0D-A2562CEB86BA}"/>
  </w:font>
  <w:font w:name="Cambria">
    <w:panose1 w:val="02040503050406030204"/>
    <w:charset w:val="00"/>
    <w:family w:val="roman"/>
    <w:pitch w:val="variable"/>
    <w:sig w:usb0="E00006FF" w:usb1="420024FF" w:usb2="02000000" w:usb3="00000000" w:csb0="0000019F" w:csb1="00000000"/>
    <w:embedRegular r:id="rId9" w:fontKey="{383DA7E0-80F4-9740-8F15-5D74AD601F1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8AE26" w14:textId="77777777" w:rsidR="00452F9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F173D">
      <w:rPr>
        <w:noProof/>
        <w:color w:val="000000"/>
      </w:rPr>
      <w:t>2</w:t>
    </w:r>
    <w:r>
      <w:rPr>
        <w:color w:val="000000"/>
      </w:rPr>
      <w:fldChar w:fldCharType="end"/>
    </w:r>
  </w:p>
  <w:p w14:paraId="20EDC2FF" w14:textId="77777777" w:rsidR="00452F93" w:rsidRDefault="00452F9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19A28B" w14:textId="77777777" w:rsidR="00533D73" w:rsidRDefault="00533D73">
      <w:pPr>
        <w:spacing w:line="240" w:lineRule="auto"/>
      </w:pPr>
      <w:r>
        <w:separator/>
      </w:r>
    </w:p>
  </w:footnote>
  <w:footnote w:type="continuationSeparator" w:id="0">
    <w:p w14:paraId="27015E27" w14:textId="77777777" w:rsidR="00533D73" w:rsidRDefault="00533D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2DAFC" w14:textId="77777777" w:rsidR="00452F93" w:rsidRDefault="00000000">
    <w:pPr>
      <w:pBdr>
        <w:top w:val="nil"/>
        <w:left w:val="nil"/>
        <w:bottom w:val="nil"/>
        <w:right w:val="nil"/>
        <w:between w:val="nil"/>
      </w:pBdr>
      <w:tabs>
        <w:tab w:val="center" w:pos="4513"/>
        <w:tab w:val="right" w:pos="9026"/>
      </w:tabs>
      <w:spacing w:line="240" w:lineRule="auto"/>
      <w:rPr>
        <w:color w:val="000000"/>
      </w:rPr>
    </w:pPr>
    <w:r>
      <w:rPr>
        <w:noProof/>
        <w:color w:val="000000"/>
      </w:rPr>
      <w:drawing>
        <wp:inline distT="0" distB="0" distL="0" distR="0" wp14:anchorId="0E041B14" wp14:editId="4E8F8423">
          <wp:extent cx="2029108" cy="704948"/>
          <wp:effectExtent l="0" t="0" r="0" b="0"/>
          <wp:docPr id="60125329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2029108" cy="704948"/>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6DA75" w14:textId="77777777" w:rsidR="00452F93" w:rsidRDefault="00000000">
    <w:pPr>
      <w:pBdr>
        <w:top w:val="nil"/>
        <w:left w:val="nil"/>
        <w:bottom w:val="nil"/>
        <w:right w:val="nil"/>
        <w:between w:val="nil"/>
      </w:pBdr>
      <w:tabs>
        <w:tab w:val="center" w:pos="4513"/>
        <w:tab w:val="right" w:pos="9026"/>
      </w:tabs>
      <w:spacing w:line="240" w:lineRule="auto"/>
      <w:rPr>
        <w:color w:val="000000"/>
      </w:rPr>
    </w:pPr>
    <w:r>
      <w:rPr>
        <w:noProof/>
        <w:color w:val="000000"/>
      </w:rPr>
      <w:drawing>
        <wp:inline distT="0" distB="0" distL="0" distR="0" wp14:anchorId="72CD238E" wp14:editId="42D9ED8E">
          <wp:extent cx="2029108" cy="704948"/>
          <wp:effectExtent l="0" t="0" r="0" b="0"/>
          <wp:docPr id="60125329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2029108" cy="70494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2F93"/>
    <w:rsid w:val="000F173D"/>
    <w:rsid w:val="00452F93"/>
    <w:rsid w:val="00533D73"/>
    <w:rsid w:val="00C042E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E787E"/>
  <w15:docId w15:val="{4B66D242-AD3E-994F-AB64-84FB35D7B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hd w:val="clear" w:color="auto" w:fill="FFFFFF"/>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8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8C3A48"/>
    <w:pPr>
      <w:shd w:val="clear" w:color="auto" w:fill="auto"/>
      <w:spacing w:before="24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8C3A48"/>
    <w:pPr>
      <w:spacing w:after="100"/>
    </w:pPr>
    <w:rPr>
      <w:rFonts w:cs="Mangal"/>
      <w:szCs w:val="21"/>
    </w:rPr>
  </w:style>
  <w:style w:type="paragraph" w:styleId="TOC2">
    <w:name w:val="toc 2"/>
    <w:basedOn w:val="Normal"/>
    <w:next w:val="Normal"/>
    <w:autoRedefine/>
    <w:uiPriority w:val="39"/>
    <w:unhideWhenUsed/>
    <w:rsid w:val="008C3A48"/>
    <w:pPr>
      <w:spacing w:after="100"/>
      <w:ind w:left="240"/>
    </w:pPr>
    <w:rPr>
      <w:rFonts w:cs="Mangal"/>
      <w:szCs w:val="21"/>
    </w:rPr>
  </w:style>
  <w:style w:type="character" w:styleId="Hyperlink">
    <w:name w:val="Hyperlink"/>
    <w:basedOn w:val="DefaultParagraphFont"/>
    <w:uiPriority w:val="99"/>
    <w:unhideWhenUsed/>
    <w:rsid w:val="008C3A48"/>
    <w:rPr>
      <w:color w:val="0000FF" w:themeColor="hyperlink"/>
      <w:u w:val="single"/>
    </w:rPr>
  </w:style>
  <w:style w:type="paragraph" w:styleId="Header">
    <w:name w:val="header"/>
    <w:basedOn w:val="Normal"/>
    <w:link w:val="HeaderChar"/>
    <w:uiPriority w:val="99"/>
    <w:unhideWhenUsed/>
    <w:rsid w:val="008C3A48"/>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8C3A48"/>
    <w:rPr>
      <w:rFonts w:cs="Mangal"/>
      <w:szCs w:val="21"/>
      <w:shd w:val="clear" w:color="auto" w:fill="FFFFFF"/>
    </w:rPr>
  </w:style>
  <w:style w:type="paragraph" w:styleId="Footer">
    <w:name w:val="footer"/>
    <w:basedOn w:val="Normal"/>
    <w:link w:val="FooterChar"/>
    <w:uiPriority w:val="99"/>
    <w:unhideWhenUsed/>
    <w:rsid w:val="008C3A48"/>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8C3A48"/>
    <w:rPr>
      <w:rFonts w:cs="Mangal"/>
      <w:szCs w:val="21"/>
      <w:shd w:val="clear" w:color="auto" w:fill="FFFFFF"/>
    </w:rPr>
  </w:style>
  <w:style w:type="paragraph" w:styleId="NormalWeb">
    <w:name w:val="Normal (Web)"/>
    <w:basedOn w:val="Normal"/>
    <w:uiPriority w:val="99"/>
    <w:unhideWhenUsed/>
    <w:rsid w:val="004802DD"/>
    <w:pPr>
      <w:shd w:val="clear" w:color="auto" w:fill="auto"/>
      <w:spacing w:before="100" w:beforeAutospacing="1" w:after="100" w:afterAutospacing="1" w:line="240" w:lineRule="auto"/>
      <w:jc w:val="left"/>
    </w:pPr>
    <w:rPr>
      <w:lang w:val="en-IN"/>
    </w:rPr>
  </w:style>
  <w:style w:type="character" w:customStyle="1" w:styleId="15">
    <w:name w:val="15"/>
    <w:basedOn w:val="DefaultParagraphFont"/>
    <w:rsid w:val="00725831"/>
    <w:rPr>
      <w:rFonts w:ascii="Calibri" w:hAnsi="Calibri" w:cs="Calibri" w:hint="default"/>
      <w:b/>
      <w:bCs/>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www.microsoft.com/insidetrack/blog/accelerating-transformation-how-were-reshaping-microsoft-with-continuous-improvement-and-ai/" TargetMode="External"/><Relationship Id="rId26" Type="http://schemas.openxmlformats.org/officeDocument/2006/relationships/hyperlink" Target="https://xobin.com/blog/challenges-in-human-resource-management/" TargetMode="External"/><Relationship Id="rId39" Type="http://schemas.openxmlformats.org/officeDocument/2006/relationships/theme" Target="theme/theme1.xml"/><Relationship Id="rId21" Type="http://schemas.openxmlformats.org/officeDocument/2006/relationships/hyperlink" Target="https://www.innovapeople.com/" TargetMode="External"/><Relationship Id="rId34" Type="http://schemas.openxmlformats.org/officeDocument/2006/relationships/hyperlink" Target="https://www.weforum.org/publications/the-future-of-jobs-report-2023/"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sciencedirect.com/science/article/abs/pii/S0969593124001094" TargetMode="External"/><Relationship Id="rId25" Type="http://schemas.openxmlformats.org/officeDocument/2006/relationships/hyperlink" Target="https://www.emerald.com/pr/article-abstract/54/5/1113/1255519/Megatrends-affecting-the-world-of-work?redirectedFrom=fulltext" TargetMode="External"/><Relationship Id="rId33" Type="http://schemas.openxmlformats.org/officeDocument/2006/relationships/hyperlink" Target="https://www.microsoft.com/en-us/microsoft-cloud/blog/2025/07/24/ai-powered-success-with-1000-stories-of-customer-transformation-and-innovation/"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7/s11846-025-00890-1" TargetMode="External"/><Relationship Id="rId20" Type="http://schemas.openxmlformats.org/officeDocument/2006/relationships/hyperlink" Target="https://link.springer.com/chapter/10.1007/978-981-96-8556-1_11" TargetMode="External"/><Relationship Id="rId29" Type="http://schemas.openxmlformats.org/officeDocument/2006/relationships/hyperlink" Target="https://doi.org/10.2139/ssrn.509726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journals.sagepub.com/doi/full/10.1177/23821205221091511" TargetMode="External"/><Relationship Id="rId32" Type="http://schemas.openxmlformats.org/officeDocument/2006/relationships/hyperlink" Target="https://engagedly.com/blog/what-is-talent-management-and-why-is-it-important/" TargetMode="External"/><Relationship Id="rId37"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doi.org/10.16920/jeet/2023/v37i1/23133" TargetMode="External"/><Relationship Id="rId23" Type="http://schemas.openxmlformats.org/officeDocument/2006/relationships/hyperlink" Target="https://www.greatplacetowork.com/resources/blog/how-hilton-attracts-the-30k-new-hires-needed-across-its-booming-asia-portfolio" TargetMode="External"/><Relationship Id="rId28" Type="http://schemas.openxmlformats.org/officeDocument/2006/relationships/hyperlink" Target="https://www.keka.com/what-is-hr-strategy-and-how-to-create"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cambiana.com/kolbs-cycle-of-reflective-practice/" TargetMode="External"/><Relationship Id="rId31" Type="http://schemas.openxmlformats.org/officeDocument/2006/relationships/hyperlink" Target="https://notes.collegehive.in/books/international-human-resource-management/page/6-the-four-influences-framewor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chapter/10.1007/978-3-030-80383-4_17" TargetMode="External"/><Relationship Id="rId22" Type="http://schemas.openxmlformats.org/officeDocument/2006/relationships/hyperlink" Target="https://www.ilo.org/research-and-publications" TargetMode="External"/><Relationship Id="rId27" Type="http://schemas.openxmlformats.org/officeDocument/2006/relationships/hyperlink" Target="https://doi.org/10.22363/2312-8313-2021-8-3-277-296" TargetMode="External"/><Relationship Id="rId30" Type="http://schemas.openxmlformats.org/officeDocument/2006/relationships/hyperlink" Target="https://www.jobspikr.com/insights/role-of-technology-in-economic-growth-2024/"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_rels/header2.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ItBHnfjomdjAI8sX8BTC+0HsFQ==">CgMxLjAyDmguc3lwYWYyYjRwbG03Mg5oLjE3amMzaHgydzEzOTIOaC50OHptZmI2aHJ1eWQyDmgueDNqdGZ3NXp3bWM5Mg5oLmo4ZWxmZjFiZDVybzIOaC50M2o5cHhhanFmYjkyDmgua3puZDRtaTg3dGZ4Mg5oLnhoZ3R5ODJoc3h1ZDIOaC5scXcza2V5ZTF3MDgyDWguYTdnMTJ2bXV5ZDMyDmgub3gwZGJzcjRpeDVxMg1oLnR5cHc2dnJ4NjdvOAByITFPVTRpXy1vYmdRSDJXMnFaZlpIV2lieHZnZFdfeEJwe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3936</Words>
  <Characters>22438</Characters>
  <Application>Microsoft Office Word</Application>
  <DocSecurity>0</DocSecurity>
  <Lines>186</Lines>
  <Paragraphs>52</Paragraphs>
  <ScaleCrop>false</ScaleCrop>
  <Company/>
  <LinksUpToDate>false</LinksUpToDate>
  <CharactersWithSpaces>26322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2</cp:revision>
  <dcterms:created xsi:type="dcterms:W3CDTF">2025-11-12T08:06:00Z</dcterms:created>
  <dcterms:modified xsi:type="dcterms:W3CDTF">2025-11-12T09:29:00Z</dcterms:modified>
</cp:coreProperties>
</file>