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67EA6" w:rsidRDefault="00867EA6" w:rsidP="00867EA6">
      <w:pPr>
        <w:jc w:val="center"/>
        <w:rPr>
          <w:rFonts w:ascii="Arial" w:hAnsi="Arial" w:cs="Arial"/>
          <w:b/>
          <w:sz w:val="24"/>
          <w:u w:val="double"/>
        </w:rPr>
      </w:pPr>
      <w:r w:rsidRPr="00867EA6">
        <w:rPr>
          <w:rFonts w:ascii="Arial" w:hAnsi="Arial" w:cs="Arial"/>
          <w:b/>
          <w:sz w:val="24"/>
          <w:u w:val="double"/>
        </w:rPr>
        <w:t>University of Wales Trinity Saint David</w:t>
      </w:r>
    </w:p>
    <w:p w:rsidR="00867EA6" w:rsidRDefault="00867EA6" w:rsidP="00867EA6">
      <w:pPr>
        <w:jc w:val="center"/>
      </w:pPr>
    </w:p>
    <w:p w:rsidR="00867EA6" w:rsidRDefault="00867EA6" w:rsidP="00867EA6">
      <w:pPr>
        <w:jc w:val="center"/>
      </w:pPr>
    </w:p>
    <w:p w:rsidR="00867EA6" w:rsidRDefault="00867EA6" w:rsidP="00867EA6">
      <w:pPr>
        <w:jc w:val="center"/>
      </w:pPr>
      <w:r>
        <w:rPr>
          <w:noProof/>
          <w:lang w:eastAsia="en-GB"/>
        </w:rPr>
        <w:drawing>
          <wp:inline distT="0" distB="0" distL="0" distR="0" wp14:anchorId="4999359A" wp14:editId="6219C5FD">
            <wp:extent cx="1743075" cy="1609725"/>
            <wp:effectExtent l="0" t="0" r="9525" b="9525"/>
            <wp:docPr id="1" name="Картина 1" descr="University of Wales Trinity Saint David on Twitter: &quot;Researcher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on Twitter: &quot;Researchers ..."/>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743075" cy="1609725"/>
                    </a:xfrm>
                    <a:prstGeom prst="rect">
                      <a:avLst/>
                    </a:prstGeom>
                    <a:noFill/>
                    <a:ln>
                      <a:noFill/>
                    </a:ln>
                  </pic:spPr>
                </pic:pic>
              </a:graphicData>
            </a:graphic>
          </wp:inline>
        </w:drawing>
      </w:r>
    </w:p>
    <w:p w:rsidR="00867EA6" w:rsidRDefault="00867EA6" w:rsidP="00867EA6"/>
    <w:p w:rsidR="00867EA6" w:rsidRDefault="00867EA6" w:rsidP="00867EA6">
      <w:pPr>
        <w:jc w:val="center"/>
        <w:rPr>
          <w:rFonts w:ascii="Arial" w:hAnsi="Arial" w:cs="Arial"/>
          <w:b/>
          <w:sz w:val="24"/>
        </w:rPr>
      </w:pPr>
      <w:r w:rsidRPr="00867EA6">
        <w:rPr>
          <w:rFonts w:ascii="Arial" w:hAnsi="Arial" w:cs="Arial"/>
          <w:b/>
          <w:sz w:val="24"/>
        </w:rPr>
        <w:t>BA International Hotel Management</w:t>
      </w:r>
    </w:p>
    <w:p w:rsidR="00867EA6" w:rsidRDefault="00867EA6" w:rsidP="00867EA6">
      <w:pPr>
        <w:jc w:val="center"/>
        <w:rPr>
          <w:rFonts w:ascii="Arial" w:hAnsi="Arial" w:cs="Arial"/>
          <w:b/>
          <w:sz w:val="24"/>
        </w:rPr>
      </w:pPr>
    </w:p>
    <w:p w:rsidR="00867EA6" w:rsidRPr="00867EA6" w:rsidRDefault="00867EA6" w:rsidP="00867EA6">
      <w:pPr>
        <w:jc w:val="center"/>
        <w:rPr>
          <w:rFonts w:ascii="Arial" w:hAnsi="Arial" w:cs="Arial"/>
          <w:sz w:val="24"/>
        </w:rPr>
      </w:pPr>
      <w:r w:rsidRPr="00867EA6">
        <w:rPr>
          <w:rFonts w:ascii="Arial" w:hAnsi="Arial" w:cs="Arial"/>
          <w:sz w:val="24"/>
        </w:rPr>
        <w:t>Financial Management</w:t>
      </w:r>
      <w:r>
        <w:rPr>
          <w:rFonts w:ascii="Arial" w:hAnsi="Arial" w:cs="Arial"/>
          <w:sz w:val="24"/>
        </w:rPr>
        <w:t xml:space="preserve"> for the Hotel Industry</w:t>
      </w:r>
    </w:p>
    <w:p w:rsidR="00867EA6" w:rsidRDefault="00867EA6" w:rsidP="00867EA6">
      <w:pPr>
        <w:jc w:val="center"/>
        <w:rPr>
          <w:rFonts w:ascii="Arial" w:hAnsi="Arial" w:cs="Arial"/>
          <w:b/>
          <w:sz w:val="24"/>
        </w:rPr>
      </w:pPr>
    </w:p>
    <w:p w:rsidR="00867EA6" w:rsidRDefault="00867EA6" w:rsidP="00867EA6">
      <w:pPr>
        <w:jc w:val="center"/>
        <w:rPr>
          <w:rFonts w:ascii="Arial" w:hAnsi="Arial" w:cs="Arial"/>
          <w:b/>
          <w:sz w:val="24"/>
        </w:rPr>
      </w:pPr>
      <w:r>
        <w:rPr>
          <w:rFonts w:ascii="Arial" w:hAnsi="Arial" w:cs="Arial"/>
          <w:b/>
          <w:sz w:val="24"/>
        </w:rPr>
        <w:t>Ratio Analysis</w:t>
      </w:r>
    </w:p>
    <w:p w:rsidR="00867EA6" w:rsidRDefault="00867EA6" w:rsidP="00867EA6">
      <w:pPr>
        <w:rPr>
          <w:rFonts w:ascii="Arial" w:hAnsi="Arial" w:cs="Arial"/>
          <w:b/>
          <w:sz w:val="24"/>
        </w:rPr>
      </w:pPr>
    </w:p>
    <w:p w:rsidR="00867EA6" w:rsidRDefault="00867EA6" w:rsidP="00867EA6">
      <w:pPr>
        <w:rPr>
          <w:rFonts w:ascii="Arial" w:hAnsi="Arial" w:cs="Arial"/>
          <w:sz w:val="24"/>
        </w:rPr>
      </w:pPr>
      <w:r w:rsidRPr="00867EA6">
        <w:rPr>
          <w:rFonts w:ascii="Arial" w:hAnsi="Arial" w:cs="Arial"/>
          <w:sz w:val="24"/>
        </w:rPr>
        <w:t>Module: M5X01922</w:t>
      </w:r>
      <w:r>
        <w:rPr>
          <w:rFonts w:ascii="Arial" w:hAnsi="Arial" w:cs="Arial"/>
          <w:sz w:val="24"/>
        </w:rPr>
        <w:t xml:space="preserve">                                                             Lecturer: David Jenkins</w:t>
      </w:r>
    </w:p>
    <w:p w:rsidR="00F7161E" w:rsidRDefault="00F7161E" w:rsidP="00867EA6">
      <w:pPr>
        <w:rPr>
          <w:rFonts w:ascii="Arial" w:hAnsi="Arial" w:cs="Arial"/>
          <w:sz w:val="24"/>
        </w:rPr>
      </w:pPr>
    </w:p>
    <w:p w:rsidR="00F7161E" w:rsidRDefault="00F7161E" w:rsidP="00F7161E">
      <w:pPr>
        <w:jc w:val="center"/>
        <w:rPr>
          <w:rFonts w:ascii="Arial" w:hAnsi="Arial" w:cs="Arial"/>
          <w:sz w:val="24"/>
        </w:rPr>
      </w:pPr>
    </w:p>
    <w:p w:rsidR="00F7161E" w:rsidRDefault="00F7161E" w:rsidP="00F7161E">
      <w:pPr>
        <w:jc w:val="center"/>
        <w:rPr>
          <w:rFonts w:ascii="Arial" w:hAnsi="Arial" w:cs="Arial"/>
          <w:sz w:val="24"/>
        </w:rPr>
      </w:pPr>
      <w:r>
        <w:rPr>
          <w:noProof/>
          <w:lang w:eastAsia="en-GB"/>
        </w:rPr>
        <w:drawing>
          <wp:inline distT="0" distB="0" distL="0" distR="0" wp14:anchorId="026DB0FF" wp14:editId="36E9EF61">
            <wp:extent cx="3316339" cy="1543050"/>
            <wp:effectExtent l="0" t="0" r="0" b="0"/>
            <wp:docPr id="2" name="Картина 2" descr="Ratio Analysis, Types of Financial Ratio Analysis - 5paisa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atio Analysis, Types of Financial Ratio Analysis - 5paisa School"/>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387682" cy="1576245"/>
                    </a:xfrm>
                    <a:prstGeom prst="rect">
                      <a:avLst/>
                    </a:prstGeom>
                    <a:noFill/>
                    <a:ln>
                      <a:noFill/>
                    </a:ln>
                  </pic:spPr>
                </pic:pic>
              </a:graphicData>
            </a:graphic>
          </wp:inline>
        </w:drawing>
      </w:r>
    </w:p>
    <w:p w:rsidR="00F7161E" w:rsidRDefault="00F7161E" w:rsidP="00F7161E">
      <w:pPr>
        <w:jc w:val="center"/>
        <w:rPr>
          <w:rFonts w:ascii="Arial" w:hAnsi="Arial" w:cs="Arial"/>
          <w:sz w:val="14"/>
        </w:rPr>
      </w:pPr>
      <w:r w:rsidRPr="00F7161E">
        <w:rPr>
          <w:rFonts w:ascii="Arial" w:hAnsi="Arial" w:cs="Arial"/>
          <w:sz w:val="14"/>
        </w:rPr>
        <w:t>5paisa.com</w:t>
      </w:r>
    </w:p>
    <w:p w:rsidR="00F7161E" w:rsidRDefault="00F7161E" w:rsidP="00F7161E">
      <w:pPr>
        <w:jc w:val="center"/>
        <w:rPr>
          <w:rFonts w:ascii="Arial" w:hAnsi="Arial" w:cs="Arial"/>
          <w:sz w:val="14"/>
        </w:rPr>
      </w:pPr>
    </w:p>
    <w:p w:rsidR="00F7161E" w:rsidRDefault="00F7161E" w:rsidP="00F7161E">
      <w:pPr>
        <w:jc w:val="center"/>
        <w:rPr>
          <w:rFonts w:ascii="Arial" w:hAnsi="Arial" w:cs="Arial"/>
          <w:sz w:val="14"/>
        </w:rPr>
      </w:pPr>
    </w:p>
    <w:p w:rsidR="00F7161E" w:rsidRDefault="00F7161E" w:rsidP="00F7161E">
      <w:pPr>
        <w:jc w:val="center"/>
        <w:rPr>
          <w:rFonts w:ascii="Arial" w:hAnsi="Arial" w:cs="Arial"/>
          <w:sz w:val="14"/>
        </w:rPr>
      </w:pPr>
    </w:p>
    <w:p w:rsidR="00F7161E" w:rsidRDefault="00F7161E" w:rsidP="00F7161E">
      <w:pPr>
        <w:jc w:val="center"/>
        <w:rPr>
          <w:rFonts w:ascii="Arial" w:hAnsi="Arial" w:cs="Arial"/>
          <w:sz w:val="14"/>
        </w:rPr>
      </w:pPr>
    </w:p>
    <w:p w:rsidR="00F7161E" w:rsidRDefault="00F7161E" w:rsidP="00F7161E">
      <w:pPr>
        <w:rPr>
          <w:rFonts w:ascii="Arial" w:hAnsi="Arial" w:cs="Arial"/>
          <w:sz w:val="24"/>
        </w:rPr>
      </w:pPr>
      <w:r>
        <w:rPr>
          <w:rFonts w:ascii="Arial" w:hAnsi="Arial" w:cs="Arial"/>
          <w:sz w:val="24"/>
        </w:rPr>
        <w:t>Student: Vasvie Redzheb                                                     Student number: 1909618</w:t>
      </w:r>
    </w:p>
    <w:p w:rsidR="00526CCA" w:rsidRDefault="00526CCA" w:rsidP="00526CCA">
      <w:pPr>
        <w:jc w:val="center"/>
        <w:rPr>
          <w:rFonts w:ascii="Arial" w:hAnsi="Arial" w:cs="Arial"/>
          <w:sz w:val="24"/>
        </w:rPr>
      </w:pPr>
      <w:r>
        <w:rPr>
          <w:rFonts w:ascii="Arial" w:hAnsi="Arial" w:cs="Arial"/>
          <w:sz w:val="24"/>
        </w:rPr>
        <w:t>1</w:t>
      </w:r>
    </w:p>
    <w:tbl>
      <w:tblPr>
        <w:tblStyle w:val="a3"/>
        <w:tblW w:w="0" w:type="auto"/>
        <w:tblLayout w:type="fixed"/>
        <w:tblLook w:val="04A0" w:firstRow="1" w:lastRow="0" w:firstColumn="1" w:lastColumn="0" w:noHBand="0" w:noVBand="1"/>
      </w:tblPr>
      <w:tblGrid>
        <w:gridCol w:w="1805"/>
        <w:gridCol w:w="1805"/>
        <w:gridCol w:w="1805"/>
        <w:gridCol w:w="1805"/>
        <w:gridCol w:w="1805"/>
      </w:tblGrid>
      <w:tr w:rsidR="00DC4AC7" w:rsidTr="009A20AD">
        <w:trPr>
          <w:trHeight w:val="315"/>
        </w:trPr>
        <w:tc>
          <w:tcPr>
            <w:tcW w:w="1805" w:type="dxa"/>
          </w:tcPr>
          <w:p w:rsidR="00DC4AC7" w:rsidRDefault="00DC4AC7" w:rsidP="009A20AD">
            <w:pPr>
              <w:rPr>
                <w:sz w:val="24"/>
                <w:szCs w:val="24"/>
              </w:rPr>
            </w:pPr>
          </w:p>
        </w:tc>
        <w:tc>
          <w:tcPr>
            <w:tcW w:w="3610" w:type="dxa"/>
            <w:gridSpan w:val="2"/>
          </w:tcPr>
          <w:p w:rsidR="00DC4AC7" w:rsidRDefault="00DC4AC7" w:rsidP="009A20AD">
            <w:pPr>
              <w:jc w:val="center"/>
              <w:rPr>
                <w:rFonts w:ascii="Calibri" w:eastAsia="Calibri" w:hAnsi="Calibri" w:cs="Calibri"/>
                <w:b/>
                <w:bCs/>
                <w:color w:val="000000" w:themeColor="text1"/>
                <w:sz w:val="32"/>
                <w:szCs w:val="32"/>
                <w:u w:val="single"/>
              </w:rPr>
            </w:pPr>
            <w:r w:rsidRPr="4B444336">
              <w:rPr>
                <w:rFonts w:ascii="Calibri" w:eastAsia="Calibri" w:hAnsi="Calibri" w:cs="Calibri"/>
                <w:b/>
                <w:bCs/>
                <w:color w:val="000000" w:themeColor="text1"/>
                <w:sz w:val="28"/>
                <w:szCs w:val="28"/>
                <w:u w:val="single"/>
              </w:rPr>
              <w:t>Rangemaster Plc</w:t>
            </w:r>
          </w:p>
        </w:tc>
        <w:tc>
          <w:tcPr>
            <w:tcW w:w="1805" w:type="dxa"/>
          </w:tcPr>
          <w:p w:rsidR="00DC4AC7" w:rsidRDefault="00DC4AC7" w:rsidP="009A20AD"/>
        </w:tc>
        <w:tc>
          <w:tcPr>
            <w:tcW w:w="1805" w:type="dxa"/>
          </w:tcPr>
          <w:p w:rsidR="00DC4AC7" w:rsidRDefault="00DC4AC7" w:rsidP="009A20AD"/>
        </w:tc>
      </w:tr>
      <w:tr w:rsidR="00DC4AC7" w:rsidTr="009A20AD">
        <w:trPr>
          <w:trHeight w:val="300"/>
        </w:trPr>
        <w:tc>
          <w:tcPr>
            <w:tcW w:w="1805" w:type="dxa"/>
          </w:tcPr>
          <w:p w:rsidR="00DC4AC7" w:rsidRDefault="00DC4AC7" w:rsidP="009A20AD"/>
        </w:tc>
        <w:tc>
          <w:tcPr>
            <w:tcW w:w="1805" w:type="dxa"/>
          </w:tcPr>
          <w:p w:rsidR="00DC4AC7" w:rsidRDefault="00DC4AC7" w:rsidP="009A20AD"/>
        </w:tc>
        <w:tc>
          <w:tcPr>
            <w:tcW w:w="1805" w:type="dxa"/>
          </w:tcPr>
          <w:p w:rsidR="00DC4AC7" w:rsidRDefault="00DC4AC7" w:rsidP="009A20AD"/>
        </w:tc>
        <w:tc>
          <w:tcPr>
            <w:tcW w:w="1805" w:type="dxa"/>
          </w:tcPr>
          <w:p w:rsidR="00DC4AC7" w:rsidRDefault="00DC4AC7" w:rsidP="009A20AD"/>
        </w:tc>
        <w:tc>
          <w:tcPr>
            <w:tcW w:w="1805" w:type="dxa"/>
          </w:tcPr>
          <w:p w:rsidR="00DC4AC7" w:rsidRDefault="00DC4AC7" w:rsidP="009A20AD"/>
        </w:tc>
      </w:tr>
      <w:tr w:rsidR="00DC4AC7" w:rsidTr="009A20AD">
        <w:trPr>
          <w:trHeight w:val="375"/>
        </w:trPr>
        <w:tc>
          <w:tcPr>
            <w:tcW w:w="1805" w:type="dxa"/>
          </w:tcPr>
          <w:p w:rsidR="00DC4AC7" w:rsidRDefault="00DC4AC7" w:rsidP="009A20AD"/>
        </w:tc>
        <w:tc>
          <w:tcPr>
            <w:tcW w:w="1805" w:type="dxa"/>
          </w:tcPr>
          <w:p w:rsidR="00DC4AC7" w:rsidRDefault="00DC4AC7" w:rsidP="009A20AD">
            <w:pPr>
              <w:rPr>
                <w:rFonts w:ascii="Calibri" w:eastAsia="Calibri" w:hAnsi="Calibri" w:cs="Calibri"/>
                <w:b/>
                <w:bCs/>
                <w:color w:val="000000" w:themeColor="text1"/>
                <w:sz w:val="28"/>
                <w:szCs w:val="28"/>
              </w:rPr>
            </w:pPr>
          </w:p>
        </w:tc>
        <w:tc>
          <w:tcPr>
            <w:tcW w:w="1805" w:type="dxa"/>
          </w:tcPr>
          <w:p w:rsidR="00DC4AC7" w:rsidRDefault="00DC4AC7" w:rsidP="009A20AD"/>
        </w:tc>
        <w:tc>
          <w:tcPr>
            <w:tcW w:w="1805" w:type="dxa"/>
          </w:tcPr>
          <w:p w:rsidR="00DC4AC7" w:rsidRDefault="00DC4AC7" w:rsidP="009A20AD"/>
        </w:tc>
        <w:tc>
          <w:tcPr>
            <w:tcW w:w="1805" w:type="dxa"/>
          </w:tcPr>
          <w:p w:rsidR="00DC4AC7" w:rsidRDefault="00DC4AC7" w:rsidP="009A20AD"/>
        </w:tc>
      </w:tr>
      <w:tr w:rsidR="00DC4AC7" w:rsidTr="009A20AD">
        <w:trPr>
          <w:trHeight w:val="300"/>
        </w:trPr>
        <w:tc>
          <w:tcPr>
            <w:tcW w:w="1805" w:type="dxa"/>
            <w:shd w:val="clear" w:color="auto" w:fill="FFFF00"/>
          </w:tcPr>
          <w:p w:rsidR="00DC4AC7" w:rsidRDefault="00DC4AC7" w:rsidP="009A20AD">
            <w:pPr>
              <w:rPr>
                <w:rFonts w:ascii="Calibri" w:eastAsia="Calibri" w:hAnsi="Calibri" w:cs="Calibri"/>
                <w:b/>
                <w:bCs/>
                <w:color w:val="000000" w:themeColor="text1"/>
                <w:sz w:val="24"/>
                <w:szCs w:val="24"/>
              </w:rPr>
            </w:pPr>
            <w:r w:rsidRPr="4B444336">
              <w:rPr>
                <w:rFonts w:ascii="Calibri" w:eastAsia="Calibri" w:hAnsi="Calibri" w:cs="Calibri"/>
                <w:b/>
                <w:bCs/>
                <w:color w:val="000000" w:themeColor="text1"/>
                <w:sz w:val="24"/>
                <w:szCs w:val="24"/>
              </w:rPr>
              <w:t>Profitability</w:t>
            </w:r>
          </w:p>
        </w:tc>
        <w:tc>
          <w:tcPr>
            <w:tcW w:w="1805" w:type="dxa"/>
            <w:shd w:val="clear" w:color="auto" w:fill="FFFF00"/>
          </w:tcPr>
          <w:p w:rsidR="00DC4AC7" w:rsidRDefault="00DC4AC7" w:rsidP="009A20AD">
            <w:pPr>
              <w:rPr>
                <w:rFonts w:ascii="Calibri" w:eastAsia="Calibri" w:hAnsi="Calibri" w:cs="Calibri"/>
                <w:b/>
                <w:bCs/>
                <w:color w:val="000000" w:themeColor="text1"/>
              </w:rPr>
            </w:pPr>
            <w:r w:rsidRPr="4B444336">
              <w:rPr>
                <w:rFonts w:ascii="Calibri" w:eastAsia="Calibri" w:hAnsi="Calibri" w:cs="Calibri"/>
                <w:b/>
                <w:bCs/>
                <w:color w:val="000000" w:themeColor="text1"/>
              </w:rPr>
              <w:t>2019</w:t>
            </w:r>
          </w:p>
        </w:tc>
        <w:tc>
          <w:tcPr>
            <w:tcW w:w="1805" w:type="dxa"/>
            <w:shd w:val="clear" w:color="auto" w:fill="FFFF00"/>
          </w:tcPr>
          <w:p w:rsidR="00DC4AC7" w:rsidRDefault="00DC4AC7" w:rsidP="009A20AD">
            <w:pPr>
              <w:rPr>
                <w:rFonts w:ascii="Calibri" w:eastAsia="Calibri" w:hAnsi="Calibri" w:cs="Calibri"/>
                <w:b/>
                <w:bCs/>
                <w:color w:val="000000" w:themeColor="text1"/>
              </w:rPr>
            </w:pPr>
            <w:r w:rsidRPr="4B444336">
              <w:rPr>
                <w:rFonts w:ascii="Calibri" w:eastAsia="Calibri" w:hAnsi="Calibri" w:cs="Calibri"/>
                <w:b/>
                <w:bCs/>
                <w:color w:val="000000" w:themeColor="text1"/>
              </w:rPr>
              <w:t>2018</w:t>
            </w:r>
          </w:p>
        </w:tc>
        <w:tc>
          <w:tcPr>
            <w:tcW w:w="1805" w:type="dxa"/>
            <w:shd w:val="clear" w:color="auto" w:fill="FFFF00"/>
          </w:tcPr>
          <w:p w:rsidR="00DC4AC7" w:rsidRDefault="00DC4AC7" w:rsidP="009A20AD">
            <w:pPr>
              <w:rPr>
                <w:rFonts w:ascii="Calibri" w:eastAsia="Calibri" w:hAnsi="Calibri" w:cs="Calibri"/>
                <w:b/>
                <w:bCs/>
                <w:color w:val="000000" w:themeColor="text1"/>
              </w:rPr>
            </w:pPr>
            <w:r w:rsidRPr="4B444336">
              <w:rPr>
                <w:rFonts w:ascii="Calibri" w:eastAsia="Calibri" w:hAnsi="Calibri" w:cs="Calibri"/>
                <w:b/>
                <w:bCs/>
                <w:color w:val="000000" w:themeColor="text1"/>
              </w:rPr>
              <w:t>Difference</w:t>
            </w:r>
          </w:p>
        </w:tc>
        <w:tc>
          <w:tcPr>
            <w:tcW w:w="1805" w:type="dxa"/>
            <w:shd w:val="clear" w:color="auto" w:fill="FFFF00"/>
          </w:tcPr>
          <w:p w:rsidR="00DC4AC7" w:rsidRDefault="00DC4AC7" w:rsidP="009A20AD">
            <w:pPr>
              <w:rPr>
                <w:rFonts w:ascii="Calibri" w:eastAsia="Calibri" w:hAnsi="Calibri" w:cs="Calibri"/>
                <w:b/>
                <w:bCs/>
                <w:color w:val="000000" w:themeColor="text1"/>
              </w:rPr>
            </w:pPr>
            <w:r w:rsidRPr="4B444336">
              <w:rPr>
                <w:rFonts w:ascii="Calibri" w:eastAsia="Calibri" w:hAnsi="Calibri" w:cs="Calibri"/>
                <w:b/>
                <w:bCs/>
                <w:color w:val="000000" w:themeColor="text1"/>
              </w:rPr>
              <w:t>Performance (%)</w:t>
            </w:r>
          </w:p>
        </w:tc>
      </w:tr>
      <w:tr w:rsidR="00DC4AC7" w:rsidTr="009A20AD">
        <w:trPr>
          <w:trHeight w:val="300"/>
        </w:trPr>
        <w:tc>
          <w:tcPr>
            <w:tcW w:w="1805" w:type="dxa"/>
          </w:tcPr>
          <w:p w:rsidR="00DC4AC7" w:rsidRDefault="00DC4AC7" w:rsidP="009A20AD">
            <w:pPr>
              <w:rPr>
                <w:rFonts w:ascii="Calibri" w:eastAsia="Calibri" w:hAnsi="Calibri" w:cs="Calibri"/>
                <w:color w:val="000000" w:themeColor="text1"/>
              </w:rPr>
            </w:pPr>
            <w:r w:rsidRPr="4B444336">
              <w:rPr>
                <w:rFonts w:ascii="Calibri" w:eastAsia="Calibri" w:hAnsi="Calibri" w:cs="Calibri"/>
                <w:color w:val="000000" w:themeColor="text1"/>
              </w:rPr>
              <w:t>ROCE</w:t>
            </w:r>
          </w:p>
        </w:tc>
        <w:tc>
          <w:tcPr>
            <w:tcW w:w="1805" w:type="dxa"/>
          </w:tcPr>
          <w:p w:rsidR="00DC4AC7" w:rsidRDefault="00DC4AC7" w:rsidP="009A20AD">
            <w:pPr>
              <w:jc w:val="right"/>
              <w:rPr>
                <w:rFonts w:ascii="Calibri" w:eastAsia="Calibri" w:hAnsi="Calibri" w:cs="Calibri"/>
                <w:color w:val="000000" w:themeColor="text1"/>
              </w:rPr>
            </w:pPr>
            <w:r w:rsidRPr="4B444336">
              <w:rPr>
                <w:rFonts w:ascii="Calibri" w:eastAsia="Calibri" w:hAnsi="Calibri" w:cs="Calibri"/>
                <w:color w:val="000000" w:themeColor="text1"/>
              </w:rPr>
              <w:t>35.2</w:t>
            </w:r>
          </w:p>
        </w:tc>
        <w:tc>
          <w:tcPr>
            <w:tcW w:w="1805" w:type="dxa"/>
          </w:tcPr>
          <w:p w:rsidR="00DC4AC7" w:rsidRDefault="00DC4AC7" w:rsidP="009A20AD">
            <w:pPr>
              <w:jc w:val="right"/>
              <w:rPr>
                <w:rFonts w:ascii="Calibri" w:eastAsia="Calibri" w:hAnsi="Calibri" w:cs="Calibri"/>
                <w:color w:val="000000" w:themeColor="text1"/>
              </w:rPr>
            </w:pPr>
            <w:r w:rsidRPr="4B444336">
              <w:rPr>
                <w:rFonts w:ascii="Calibri" w:eastAsia="Calibri" w:hAnsi="Calibri" w:cs="Calibri"/>
                <w:color w:val="000000" w:themeColor="text1"/>
              </w:rPr>
              <w:t>31.2</w:t>
            </w:r>
          </w:p>
        </w:tc>
        <w:tc>
          <w:tcPr>
            <w:tcW w:w="1805" w:type="dxa"/>
          </w:tcPr>
          <w:p w:rsidR="00DC4AC7" w:rsidRDefault="00DC4AC7" w:rsidP="009A20AD">
            <w:pPr>
              <w:jc w:val="right"/>
              <w:rPr>
                <w:rFonts w:ascii="Calibri" w:eastAsia="Calibri" w:hAnsi="Calibri" w:cs="Calibri"/>
                <w:color w:val="000000" w:themeColor="text1"/>
              </w:rPr>
            </w:pPr>
            <w:r w:rsidRPr="4B444336">
              <w:rPr>
                <w:rFonts w:ascii="Calibri" w:eastAsia="Calibri" w:hAnsi="Calibri" w:cs="Calibri"/>
                <w:color w:val="000000" w:themeColor="text1"/>
              </w:rPr>
              <w:t>4</w:t>
            </w:r>
          </w:p>
        </w:tc>
        <w:tc>
          <w:tcPr>
            <w:tcW w:w="1805" w:type="dxa"/>
          </w:tcPr>
          <w:p w:rsidR="00DC4AC7" w:rsidRDefault="00DC4AC7" w:rsidP="009A20AD">
            <w:pPr>
              <w:jc w:val="right"/>
              <w:rPr>
                <w:rFonts w:ascii="Calibri" w:eastAsia="Calibri" w:hAnsi="Calibri" w:cs="Calibri"/>
                <w:color w:val="000000" w:themeColor="text1"/>
              </w:rPr>
            </w:pPr>
            <w:r w:rsidRPr="4B444336">
              <w:rPr>
                <w:rFonts w:ascii="Calibri" w:eastAsia="Calibri" w:hAnsi="Calibri" w:cs="Calibri"/>
                <w:color w:val="000000" w:themeColor="text1"/>
              </w:rPr>
              <w:t>4</w:t>
            </w:r>
          </w:p>
        </w:tc>
      </w:tr>
      <w:tr w:rsidR="00DC4AC7" w:rsidTr="009A20AD">
        <w:trPr>
          <w:trHeight w:val="300"/>
        </w:trPr>
        <w:tc>
          <w:tcPr>
            <w:tcW w:w="1805" w:type="dxa"/>
          </w:tcPr>
          <w:p w:rsidR="00DC4AC7" w:rsidRDefault="00DC4AC7" w:rsidP="009A20AD">
            <w:pPr>
              <w:rPr>
                <w:rFonts w:ascii="Calibri" w:eastAsia="Calibri" w:hAnsi="Calibri" w:cs="Calibri"/>
                <w:color w:val="000000" w:themeColor="text1"/>
              </w:rPr>
            </w:pPr>
            <w:r w:rsidRPr="4B444336">
              <w:rPr>
                <w:rFonts w:ascii="Calibri" w:eastAsia="Calibri" w:hAnsi="Calibri" w:cs="Calibri"/>
                <w:color w:val="000000" w:themeColor="text1"/>
              </w:rPr>
              <w:t>Asset turnover</w:t>
            </w:r>
          </w:p>
        </w:tc>
        <w:tc>
          <w:tcPr>
            <w:tcW w:w="1805" w:type="dxa"/>
          </w:tcPr>
          <w:p w:rsidR="00DC4AC7" w:rsidRDefault="00DC4AC7" w:rsidP="009A20AD">
            <w:pPr>
              <w:jc w:val="right"/>
            </w:pPr>
            <w:r w:rsidRPr="4B444336">
              <w:rPr>
                <w:rFonts w:ascii="Calibri" w:eastAsia="Calibri" w:hAnsi="Calibri" w:cs="Calibri"/>
                <w:color w:val="000000" w:themeColor="text1"/>
              </w:rPr>
              <w:t>1.8</w:t>
            </w:r>
          </w:p>
        </w:tc>
        <w:tc>
          <w:tcPr>
            <w:tcW w:w="1805" w:type="dxa"/>
          </w:tcPr>
          <w:p w:rsidR="00DC4AC7" w:rsidRDefault="00DC4AC7" w:rsidP="009A20AD">
            <w:pPr>
              <w:jc w:val="right"/>
            </w:pPr>
            <w:r w:rsidRPr="4B444336">
              <w:rPr>
                <w:rFonts w:ascii="Calibri" w:eastAsia="Calibri" w:hAnsi="Calibri" w:cs="Calibri"/>
                <w:color w:val="000000" w:themeColor="text1"/>
              </w:rPr>
              <w:t>1.7</w:t>
            </w:r>
          </w:p>
        </w:tc>
        <w:tc>
          <w:tcPr>
            <w:tcW w:w="1805" w:type="dxa"/>
          </w:tcPr>
          <w:p w:rsidR="00DC4AC7" w:rsidRDefault="00DC4AC7" w:rsidP="009A20AD">
            <w:pPr>
              <w:jc w:val="right"/>
            </w:pPr>
            <w:r w:rsidRPr="4B444336">
              <w:rPr>
                <w:rFonts w:ascii="Calibri" w:eastAsia="Calibri" w:hAnsi="Calibri" w:cs="Calibri"/>
                <w:color w:val="000000" w:themeColor="text1"/>
              </w:rPr>
              <w:t>0.1</w:t>
            </w:r>
          </w:p>
        </w:tc>
        <w:tc>
          <w:tcPr>
            <w:tcW w:w="1805" w:type="dxa"/>
          </w:tcPr>
          <w:p w:rsidR="00DC4AC7" w:rsidRDefault="00DC4AC7" w:rsidP="009A20AD">
            <w:pPr>
              <w:jc w:val="right"/>
            </w:pPr>
            <w:r w:rsidRPr="4B444336">
              <w:rPr>
                <w:rFonts w:ascii="Calibri" w:eastAsia="Calibri" w:hAnsi="Calibri" w:cs="Calibri"/>
                <w:color w:val="000000" w:themeColor="text1"/>
              </w:rPr>
              <w:t>5.9</w:t>
            </w:r>
          </w:p>
        </w:tc>
      </w:tr>
      <w:tr w:rsidR="00DC4AC7" w:rsidTr="009A20AD">
        <w:trPr>
          <w:trHeight w:val="300"/>
        </w:trPr>
        <w:tc>
          <w:tcPr>
            <w:tcW w:w="1805" w:type="dxa"/>
          </w:tcPr>
          <w:p w:rsidR="00DC4AC7" w:rsidRDefault="00DC4AC7" w:rsidP="009A20AD">
            <w:pPr>
              <w:rPr>
                <w:rFonts w:ascii="Calibri" w:eastAsia="Calibri" w:hAnsi="Calibri" w:cs="Calibri"/>
                <w:color w:val="000000" w:themeColor="text1"/>
              </w:rPr>
            </w:pPr>
            <w:r w:rsidRPr="4B444336">
              <w:rPr>
                <w:rFonts w:ascii="Calibri" w:eastAsia="Calibri" w:hAnsi="Calibri" w:cs="Calibri"/>
                <w:color w:val="000000" w:themeColor="text1"/>
              </w:rPr>
              <w:t>Gross profit %</w:t>
            </w:r>
          </w:p>
        </w:tc>
        <w:tc>
          <w:tcPr>
            <w:tcW w:w="1805" w:type="dxa"/>
          </w:tcPr>
          <w:p w:rsidR="00DC4AC7" w:rsidRDefault="00DC4AC7" w:rsidP="009A20AD">
            <w:pPr>
              <w:jc w:val="right"/>
            </w:pPr>
            <w:r w:rsidRPr="4B444336">
              <w:rPr>
                <w:rFonts w:ascii="Calibri" w:eastAsia="Calibri" w:hAnsi="Calibri" w:cs="Calibri"/>
                <w:color w:val="000000" w:themeColor="text1"/>
              </w:rPr>
              <w:t>26.8</w:t>
            </w:r>
          </w:p>
        </w:tc>
        <w:tc>
          <w:tcPr>
            <w:tcW w:w="1805" w:type="dxa"/>
          </w:tcPr>
          <w:p w:rsidR="00DC4AC7" w:rsidRDefault="00DC4AC7" w:rsidP="009A20AD">
            <w:pPr>
              <w:jc w:val="right"/>
            </w:pPr>
            <w:r w:rsidRPr="4B444336">
              <w:rPr>
                <w:rFonts w:ascii="Calibri" w:eastAsia="Calibri" w:hAnsi="Calibri" w:cs="Calibri"/>
                <w:color w:val="000000" w:themeColor="text1"/>
              </w:rPr>
              <w:t>26.81</w:t>
            </w:r>
          </w:p>
        </w:tc>
        <w:tc>
          <w:tcPr>
            <w:tcW w:w="1805" w:type="dxa"/>
          </w:tcPr>
          <w:p w:rsidR="00DC4AC7" w:rsidRDefault="00DC4AC7" w:rsidP="009A20AD">
            <w:pPr>
              <w:jc w:val="right"/>
            </w:pPr>
            <w:r w:rsidRPr="4B444336">
              <w:rPr>
                <w:rFonts w:ascii="Calibri" w:eastAsia="Calibri" w:hAnsi="Calibri" w:cs="Calibri"/>
                <w:color w:val="000000" w:themeColor="text1"/>
              </w:rPr>
              <w:t>-0.01</w:t>
            </w:r>
          </w:p>
        </w:tc>
        <w:tc>
          <w:tcPr>
            <w:tcW w:w="1805" w:type="dxa"/>
          </w:tcPr>
          <w:p w:rsidR="00DC4AC7" w:rsidRDefault="00DC4AC7" w:rsidP="009A20AD">
            <w:pPr>
              <w:jc w:val="right"/>
            </w:pPr>
            <w:r w:rsidRPr="4B444336">
              <w:rPr>
                <w:rFonts w:ascii="Calibri" w:eastAsia="Calibri" w:hAnsi="Calibri" w:cs="Calibri"/>
                <w:color w:val="000000" w:themeColor="text1"/>
              </w:rPr>
              <w:t>-0.01</w:t>
            </w:r>
          </w:p>
        </w:tc>
      </w:tr>
      <w:tr w:rsidR="00DC4AC7" w:rsidTr="009A20AD">
        <w:trPr>
          <w:trHeight w:val="300"/>
        </w:trPr>
        <w:tc>
          <w:tcPr>
            <w:tcW w:w="1805" w:type="dxa"/>
          </w:tcPr>
          <w:p w:rsidR="00DC4AC7" w:rsidRDefault="00DC4AC7" w:rsidP="009A20AD">
            <w:pPr>
              <w:rPr>
                <w:rFonts w:ascii="Calibri" w:eastAsia="Calibri" w:hAnsi="Calibri" w:cs="Calibri"/>
                <w:color w:val="000000" w:themeColor="text1"/>
              </w:rPr>
            </w:pPr>
            <w:r w:rsidRPr="4B444336">
              <w:rPr>
                <w:rFonts w:ascii="Calibri" w:eastAsia="Calibri" w:hAnsi="Calibri" w:cs="Calibri"/>
                <w:color w:val="000000" w:themeColor="text1"/>
              </w:rPr>
              <w:t>Net operating profit %</w:t>
            </w:r>
          </w:p>
        </w:tc>
        <w:tc>
          <w:tcPr>
            <w:tcW w:w="1805" w:type="dxa"/>
          </w:tcPr>
          <w:p w:rsidR="00DC4AC7" w:rsidRDefault="00DC4AC7" w:rsidP="009A20AD">
            <w:pPr>
              <w:jc w:val="right"/>
            </w:pPr>
            <w:r w:rsidRPr="4B444336">
              <w:rPr>
                <w:rFonts w:ascii="Calibri" w:eastAsia="Calibri" w:hAnsi="Calibri" w:cs="Calibri"/>
                <w:color w:val="000000" w:themeColor="text1"/>
              </w:rPr>
              <w:t>19.2</w:t>
            </w:r>
          </w:p>
        </w:tc>
        <w:tc>
          <w:tcPr>
            <w:tcW w:w="1805" w:type="dxa"/>
          </w:tcPr>
          <w:p w:rsidR="00DC4AC7" w:rsidRDefault="00DC4AC7" w:rsidP="009A20AD">
            <w:pPr>
              <w:jc w:val="right"/>
            </w:pPr>
            <w:r w:rsidRPr="4B444336">
              <w:rPr>
                <w:rFonts w:ascii="Calibri" w:eastAsia="Calibri" w:hAnsi="Calibri" w:cs="Calibri"/>
                <w:color w:val="000000" w:themeColor="text1"/>
              </w:rPr>
              <w:t>18</w:t>
            </w:r>
          </w:p>
        </w:tc>
        <w:tc>
          <w:tcPr>
            <w:tcW w:w="1805" w:type="dxa"/>
          </w:tcPr>
          <w:p w:rsidR="00DC4AC7" w:rsidRDefault="00DC4AC7" w:rsidP="009A20AD">
            <w:pPr>
              <w:jc w:val="right"/>
            </w:pPr>
            <w:r w:rsidRPr="4B444336">
              <w:rPr>
                <w:rFonts w:ascii="Calibri" w:eastAsia="Calibri" w:hAnsi="Calibri" w:cs="Calibri"/>
                <w:color w:val="000000" w:themeColor="text1"/>
              </w:rPr>
              <w:t>1.2</w:t>
            </w:r>
          </w:p>
        </w:tc>
        <w:tc>
          <w:tcPr>
            <w:tcW w:w="1805" w:type="dxa"/>
          </w:tcPr>
          <w:p w:rsidR="00DC4AC7" w:rsidRDefault="00DC4AC7" w:rsidP="009A20AD">
            <w:pPr>
              <w:jc w:val="right"/>
            </w:pPr>
            <w:r w:rsidRPr="4B444336">
              <w:rPr>
                <w:rFonts w:ascii="Calibri" w:eastAsia="Calibri" w:hAnsi="Calibri" w:cs="Calibri"/>
                <w:color w:val="000000" w:themeColor="text1"/>
              </w:rPr>
              <w:t>1.2</w:t>
            </w:r>
          </w:p>
        </w:tc>
      </w:tr>
      <w:tr w:rsidR="00DC4AC7" w:rsidTr="009A20AD">
        <w:trPr>
          <w:trHeight w:val="300"/>
        </w:trPr>
        <w:tc>
          <w:tcPr>
            <w:tcW w:w="1805" w:type="dxa"/>
            <w:shd w:val="clear" w:color="auto" w:fill="FFFF00"/>
          </w:tcPr>
          <w:p w:rsidR="00DC4AC7" w:rsidRDefault="00DC4AC7" w:rsidP="009A20AD">
            <w:pPr>
              <w:rPr>
                <w:rFonts w:ascii="Calibri" w:eastAsia="Calibri" w:hAnsi="Calibri" w:cs="Calibri"/>
                <w:b/>
                <w:bCs/>
                <w:color w:val="000000" w:themeColor="text1"/>
                <w:sz w:val="24"/>
                <w:szCs w:val="24"/>
              </w:rPr>
            </w:pPr>
            <w:r w:rsidRPr="4B444336">
              <w:rPr>
                <w:rFonts w:ascii="Calibri" w:eastAsia="Calibri" w:hAnsi="Calibri" w:cs="Calibri"/>
                <w:b/>
                <w:bCs/>
                <w:color w:val="000000" w:themeColor="text1"/>
                <w:sz w:val="24"/>
                <w:szCs w:val="24"/>
              </w:rPr>
              <w:t>Efficiency</w:t>
            </w:r>
          </w:p>
        </w:tc>
        <w:tc>
          <w:tcPr>
            <w:tcW w:w="1805" w:type="dxa"/>
            <w:shd w:val="clear" w:color="auto" w:fill="FFFF00"/>
          </w:tcPr>
          <w:p w:rsidR="00DC4AC7" w:rsidRDefault="00DC4AC7"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2019</w:t>
            </w:r>
          </w:p>
        </w:tc>
        <w:tc>
          <w:tcPr>
            <w:tcW w:w="1805" w:type="dxa"/>
            <w:shd w:val="clear" w:color="auto" w:fill="FFFF00"/>
          </w:tcPr>
          <w:p w:rsidR="00DC4AC7" w:rsidRDefault="00DC4AC7"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2018</w:t>
            </w:r>
          </w:p>
        </w:tc>
        <w:tc>
          <w:tcPr>
            <w:tcW w:w="1805" w:type="dxa"/>
            <w:shd w:val="clear" w:color="auto" w:fill="FFFF00"/>
          </w:tcPr>
          <w:p w:rsidR="00DC4AC7" w:rsidRDefault="00DC4AC7"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Difference</w:t>
            </w:r>
          </w:p>
        </w:tc>
        <w:tc>
          <w:tcPr>
            <w:tcW w:w="1805" w:type="dxa"/>
            <w:shd w:val="clear" w:color="auto" w:fill="FFFF00"/>
          </w:tcPr>
          <w:p w:rsidR="00DC4AC7" w:rsidRDefault="00DC4AC7"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Performance (%)</w:t>
            </w:r>
          </w:p>
        </w:tc>
      </w:tr>
      <w:tr w:rsidR="00DC4AC7" w:rsidTr="009A20AD">
        <w:trPr>
          <w:trHeight w:val="300"/>
        </w:trPr>
        <w:tc>
          <w:tcPr>
            <w:tcW w:w="1805" w:type="dxa"/>
          </w:tcPr>
          <w:p w:rsidR="00DC4AC7" w:rsidRDefault="00DC4AC7" w:rsidP="009A20AD">
            <w:pPr>
              <w:rPr>
                <w:rFonts w:ascii="Calibri" w:eastAsia="Calibri" w:hAnsi="Calibri" w:cs="Calibri"/>
                <w:color w:val="000000" w:themeColor="text1"/>
              </w:rPr>
            </w:pPr>
            <w:r w:rsidRPr="4B444336">
              <w:rPr>
                <w:rFonts w:ascii="Calibri" w:eastAsia="Calibri" w:hAnsi="Calibri" w:cs="Calibri"/>
                <w:color w:val="000000" w:themeColor="text1"/>
              </w:rPr>
              <w:t>Non-current asset turnover</w:t>
            </w:r>
          </w:p>
        </w:tc>
        <w:tc>
          <w:tcPr>
            <w:tcW w:w="1805" w:type="dxa"/>
          </w:tcPr>
          <w:p w:rsidR="00DC4AC7" w:rsidRDefault="00DC4AC7" w:rsidP="009A20AD">
            <w:pPr>
              <w:jc w:val="right"/>
            </w:pPr>
            <w:r w:rsidRPr="4B444336">
              <w:rPr>
                <w:rFonts w:ascii="Calibri" w:eastAsia="Calibri" w:hAnsi="Calibri" w:cs="Calibri"/>
                <w:color w:val="000000" w:themeColor="text1"/>
              </w:rPr>
              <w:t>2.9</w:t>
            </w:r>
          </w:p>
        </w:tc>
        <w:tc>
          <w:tcPr>
            <w:tcW w:w="1805" w:type="dxa"/>
          </w:tcPr>
          <w:p w:rsidR="00DC4AC7" w:rsidRDefault="00DC4AC7" w:rsidP="009A20AD">
            <w:pPr>
              <w:jc w:val="right"/>
            </w:pPr>
            <w:r w:rsidRPr="4B444336">
              <w:rPr>
                <w:rFonts w:ascii="Calibri" w:eastAsia="Calibri" w:hAnsi="Calibri" w:cs="Calibri"/>
                <w:color w:val="000000" w:themeColor="text1"/>
              </w:rPr>
              <w:t>2.5</w:t>
            </w:r>
          </w:p>
        </w:tc>
        <w:tc>
          <w:tcPr>
            <w:tcW w:w="1805" w:type="dxa"/>
          </w:tcPr>
          <w:p w:rsidR="00DC4AC7" w:rsidRDefault="00DC4AC7" w:rsidP="009A20AD">
            <w:pPr>
              <w:jc w:val="right"/>
            </w:pPr>
            <w:r w:rsidRPr="4B444336">
              <w:rPr>
                <w:rFonts w:ascii="Calibri" w:eastAsia="Calibri" w:hAnsi="Calibri" w:cs="Calibri"/>
                <w:color w:val="000000" w:themeColor="text1"/>
              </w:rPr>
              <w:t>0.4</w:t>
            </w:r>
          </w:p>
        </w:tc>
        <w:tc>
          <w:tcPr>
            <w:tcW w:w="1805" w:type="dxa"/>
          </w:tcPr>
          <w:p w:rsidR="00DC4AC7" w:rsidRDefault="00DC4AC7" w:rsidP="009A20AD">
            <w:pPr>
              <w:jc w:val="right"/>
            </w:pPr>
            <w:r w:rsidRPr="4B444336">
              <w:rPr>
                <w:rFonts w:ascii="Calibri" w:eastAsia="Calibri" w:hAnsi="Calibri" w:cs="Calibri"/>
                <w:color w:val="000000" w:themeColor="text1"/>
              </w:rPr>
              <w:t>15.6</w:t>
            </w:r>
          </w:p>
        </w:tc>
      </w:tr>
      <w:tr w:rsidR="00DC4AC7" w:rsidTr="009A20AD">
        <w:trPr>
          <w:trHeight w:val="300"/>
        </w:trPr>
        <w:tc>
          <w:tcPr>
            <w:tcW w:w="1805" w:type="dxa"/>
          </w:tcPr>
          <w:p w:rsidR="00DC4AC7" w:rsidRDefault="00DC4AC7" w:rsidP="009A20AD">
            <w:pPr>
              <w:rPr>
                <w:rFonts w:ascii="Calibri" w:eastAsia="Calibri" w:hAnsi="Calibri" w:cs="Calibri"/>
                <w:color w:val="000000" w:themeColor="text1"/>
              </w:rPr>
            </w:pPr>
            <w:r w:rsidRPr="4B444336">
              <w:rPr>
                <w:rFonts w:ascii="Calibri" w:eastAsia="Calibri" w:hAnsi="Calibri" w:cs="Calibri"/>
                <w:color w:val="000000" w:themeColor="text1"/>
              </w:rPr>
              <w:t>Inventory turnover (days)</w:t>
            </w:r>
          </w:p>
        </w:tc>
        <w:tc>
          <w:tcPr>
            <w:tcW w:w="1805" w:type="dxa"/>
          </w:tcPr>
          <w:p w:rsidR="00DC4AC7" w:rsidRDefault="00DC4AC7" w:rsidP="009A20AD">
            <w:pPr>
              <w:jc w:val="right"/>
            </w:pPr>
            <w:r w:rsidRPr="4B444336">
              <w:rPr>
                <w:rFonts w:ascii="Calibri" w:eastAsia="Calibri" w:hAnsi="Calibri" w:cs="Calibri"/>
                <w:color w:val="000000" w:themeColor="text1"/>
              </w:rPr>
              <w:t>73.8</w:t>
            </w:r>
          </w:p>
        </w:tc>
        <w:tc>
          <w:tcPr>
            <w:tcW w:w="1805" w:type="dxa"/>
          </w:tcPr>
          <w:p w:rsidR="00DC4AC7" w:rsidRDefault="00DC4AC7" w:rsidP="009A20AD">
            <w:pPr>
              <w:jc w:val="right"/>
            </w:pPr>
            <w:r w:rsidRPr="4B444336">
              <w:rPr>
                <w:rFonts w:ascii="Calibri" w:eastAsia="Calibri" w:hAnsi="Calibri" w:cs="Calibri"/>
                <w:color w:val="000000" w:themeColor="text1"/>
              </w:rPr>
              <w:t>75.6</w:t>
            </w:r>
          </w:p>
        </w:tc>
        <w:tc>
          <w:tcPr>
            <w:tcW w:w="1805" w:type="dxa"/>
          </w:tcPr>
          <w:p w:rsidR="00DC4AC7" w:rsidRDefault="00DC4AC7" w:rsidP="009A20AD">
            <w:pPr>
              <w:jc w:val="right"/>
            </w:pPr>
            <w:r w:rsidRPr="4B444336">
              <w:rPr>
                <w:rFonts w:ascii="Calibri" w:eastAsia="Calibri" w:hAnsi="Calibri" w:cs="Calibri"/>
                <w:color w:val="000000" w:themeColor="text1"/>
              </w:rPr>
              <w:t>-1.8</w:t>
            </w:r>
          </w:p>
        </w:tc>
        <w:tc>
          <w:tcPr>
            <w:tcW w:w="1805" w:type="dxa"/>
          </w:tcPr>
          <w:p w:rsidR="00DC4AC7" w:rsidRDefault="00DC4AC7" w:rsidP="009A20AD">
            <w:pPr>
              <w:jc w:val="right"/>
            </w:pPr>
            <w:r w:rsidRPr="4B444336">
              <w:rPr>
                <w:rFonts w:ascii="Calibri" w:eastAsia="Calibri" w:hAnsi="Calibri" w:cs="Calibri"/>
                <w:color w:val="000000" w:themeColor="text1"/>
              </w:rPr>
              <w:t>-2.4</w:t>
            </w:r>
          </w:p>
        </w:tc>
      </w:tr>
      <w:tr w:rsidR="00DC4AC7" w:rsidTr="009A20AD">
        <w:trPr>
          <w:trHeight w:val="300"/>
        </w:trPr>
        <w:tc>
          <w:tcPr>
            <w:tcW w:w="1805" w:type="dxa"/>
            <w:shd w:val="clear" w:color="auto" w:fill="FFFF00"/>
          </w:tcPr>
          <w:p w:rsidR="00DC4AC7" w:rsidRDefault="00DC4AC7" w:rsidP="009A20AD">
            <w:pPr>
              <w:rPr>
                <w:rFonts w:ascii="Calibri" w:eastAsia="Calibri" w:hAnsi="Calibri" w:cs="Calibri"/>
                <w:b/>
                <w:bCs/>
                <w:color w:val="000000" w:themeColor="text1"/>
              </w:rPr>
            </w:pPr>
            <w:r w:rsidRPr="4B444336">
              <w:rPr>
                <w:rFonts w:ascii="Calibri" w:eastAsia="Calibri" w:hAnsi="Calibri" w:cs="Calibri"/>
                <w:b/>
                <w:bCs/>
                <w:color w:val="000000" w:themeColor="text1"/>
              </w:rPr>
              <w:t>Liquidity</w:t>
            </w:r>
          </w:p>
        </w:tc>
        <w:tc>
          <w:tcPr>
            <w:tcW w:w="1805" w:type="dxa"/>
            <w:shd w:val="clear" w:color="auto" w:fill="FFFF00"/>
          </w:tcPr>
          <w:p w:rsidR="00DC4AC7" w:rsidRDefault="00DC4AC7"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2019</w:t>
            </w:r>
          </w:p>
        </w:tc>
        <w:tc>
          <w:tcPr>
            <w:tcW w:w="1805" w:type="dxa"/>
            <w:shd w:val="clear" w:color="auto" w:fill="FFFF00"/>
          </w:tcPr>
          <w:p w:rsidR="00DC4AC7" w:rsidRDefault="00DC4AC7"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2018</w:t>
            </w:r>
          </w:p>
        </w:tc>
        <w:tc>
          <w:tcPr>
            <w:tcW w:w="1805" w:type="dxa"/>
            <w:shd w:val="clear" w:color="auto" w:fill="FFFF00"/>
          </w:tcPr>
          <w:p w:rsidR="00DC4AC7" w:rsidRDefault="00DC4AC7"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Difference</w:t>
            </w:r>
          </w:p>
        </w:tc>
        <w:tc>
          <w:tcPr>
            <w:tcW w:w="1805" w:type="dxa"/>
            <w:shd w:val="clear" w:color="auto" w:fill="FFFF00"/>
          </w:tcPr>
          <w:p w:rsidR="00DC4AC7" w:rsidRDefault="00DC4AC7"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Performance (%)</w:t>
            </w:r>
          </w:p>
        </w:tc>
      </w:tr>
      <w:tr w:rsidR="00DC4AC7" w:rsidTr="009A20AD">
        <w:trPr>
          <w:trHeight w:val="300"/>
        </w:trPr>
        <w:tc>
          <w:tcPr>
            <w:tcW w:w="1805" w:type="dxa"/>
          </w:tcPr>
          <w:p w:rsidR="00DC4AC7" w:rsidRDefault="00DC4AC7" w:rsidP="009A20AD">
            <w:pPr>
              <w:rPr>
                <w:rFonts w:ascii="Calibri" w:eastAsia="Calibri" w:hAnsi="Calibri" w:cs="Calibri"/>
                <w:color w:val="000000" w:themeColor="text1"/>
              </w:rPr>
            </w:pPr>
            <w:r w:rsidRPr="4B444336">
              <w:rPr>
                <w:rFonts w:ascii="Calibri" w:eastAsia="Calibri" w:hAnsi="Calibri" w:cs="Calibri"/>
                <w:color w:val="000000" w:themeColor="text1"/>
              </w:rPr>
              <w:t>Current ratio</w:t>
            </w:r>
          </w:p>
        </w:tc>
        <w:tc>
          <w:tcPr>
            <w:tcW w:w="1805" w:type="dxa"/>
          </w:tcPr>
          <w:p w:rsidR="00DC4AC7" w:rsidRDefault="00DC4AC7" w:rsidP="009A20AD">
            <w:pPr>
              <w:jc w:val="right"/>
            </w:pPr>
            <w:r w:rsidRPr="4B444336">
              <w:rPr>
                <w:rFonts w:ascii="Calibri" w:eastAsia="Calibri" w:hAnsi="Calibri" w:cs="Calibri"/>
                <w:color w:val="000000" w:themeColor="text1"/>
              </w:rPr>
              <w:t>1.9</w:t>
            </w:r>
          </w:p>
        </w:tc>
        <w:tc>
          <w:tcPr>
            <w:tcW w:w="1805" w:type="dxa"/>
          </w:tcPr>
          <w:p w:rsidR="00DC4AC7" w:rsidRDefault="00DC4AC7" w:rsidP="009A20AD">
            <w:pPr>
              <w:jc w:val="right"/>
            </w:pPr>
            <w:r w:rsidRPr="4B444336">
              <w:rPr>
                <w:rFonts w:ascii="Calibri" w:eastAsia="Calibri" w:hAnsi="Calibri" w:cs="Calibri"/>
                <w:color w:val="000000" w:themeColor="text1"/>
              </w:rPr>
              <w:t>1.8</w:t>
            </w:r>
          </w:p>
        </w:tc>
        <w:tc>
          <w:tcPr>
            <w:tcW w:w="1805" w:type="dxa"/>
          </w:tcPr>
          <w:p w:rsidR="00DC4AC7" w:rsidRDefault="00DC4AC7" w:rsidP="009A20AD">
            <w:pPr>
              <w:jc w:val="right"/>
            </w:pPr>
            <w:r w:rsidRPr="4B444336">
              <w:rPr>
                <w:rFonts w:ascii="Calibri" w:eastAsia="Calibri" w:hAnsi="Calibri" w:cs="Calibri"/>
                <w:color w:val="000000" w:themeColor="text1"/>
              </w:rPr>
              <w:t>0.1</w:t>
            </w:r>
          </w:p>
        </w:tc>
        <w:tc>
          <w:tcPr>
            <w:tcW w:w="1805" w:type="dxa"/>
          </w:tcPr>
          <w:p w:rsidR="00DC4AC7" w:rsidRDefault="00DC4AC7" w:rsidP="009A20AD">
            <w:pPr>
              <w:jc w:val="right"/>
            </w:pPr>
            <w:r w:rsidRPr="4B444336">
              <w:rPr>
                <w:rFonts w:ascii="Calibri" w:eastAsia="Calibri" w:hAnsi="Calibri" w:cs="Calibri"/>
                <w:color w:val="000000" w:themeColor="text1"/>
              </w:rPr>
              <w:t>5.6</w:t>
            </w:r>
          </w:p>
        </w:tc>
      </w:tr>
      <w:tr w:rsidR="00DC4AC7" w:rsidTr="009A20AD">
        <w:trPr>
          <w:trHeight w:val="300"/>
        </w:trPr>
        <w:tc>
          <w:tcPr>
            <w:tcW w:w="1805" w:type="dxa"/>
          </w:tcPr>
          <w:p w:rsidR="00DC4AC7" w:rsidRDefault="00DC4AC7" w:rsidP="009A20AD">
            <w:pPr>
              <w:rPr>
                <w:rFonts w:ascii="Calibri" w:eastAsia="Calibri" w:hAnsi="Calibri" w:cs="Calibri"/>
                <w:color w:val="000000" w:themeColor="text1"/>
              </w:rPr>
            </w:pPr>
            <w:r w:rsidRPr="4B444336">
              <w:rPr>
                <w:rFonts w:ascii="Calibri" w:eastAsia="Calibri" w:hAnsi="Calibri" w:cs="Calibri"/>
                <w:color w:val="000000" w:themeColor="text1"/>
              </w:rPr>
              <w:t>Acid test</w:t>
            </w:r>
          </w:p>
        </w:tc>
        <w:tc>
          <w:tcPr>
            <w:tcW w:w="1805" w:type="dxa"/>
          </w:tcPr>
          <w:p w:rsidR="00DC4AC7" w:rsidRDefault="00DC4AC7" w:rsidP="009A20AD">
            <w:pPr>
              <w:jc w:val="right"/>
            </w:pPr>
            <w:r w:rsidRPr="4B444336">
              <w:rPr>
                <w:rFonts w:ascii="Calibri" w:eastAsia="Calibri" w:hAnsi="Calibri" w:cs="Calibri"/>
                <w:color w:val="000000" w:themeColor="text1"/>
              </w:rPr>
              <w:t>1.2</w:t>
            </w:r>
          </w:p>
        </w:tc>
        <w:tc>
          <w:tcPr>
            <w:tcW w:w="1805" w:type="dxa"/>
          </w:tcPr>
          <w:p w:rsidR="00DC4AC7" w:rsidRDefault="00DC4AC7" w:rsidP="009A20AD">
            <w:pPr>
              <w:jc w:val="right"/>
            </w:pPr>
            <w:r w:rsidRPr="4B444336">
              <w:rPr>
                <w:rFonts w:ascii="Calibri" w:eastAsia="Calibri" w:hAnsi="Calibri" w:cs="Calibri"/>
                <w:color w:val="000000" w:themeColor="text1"/>
              </w:rPr>
              <w:t>1.1</w:t>
            </w:r>
          </w:p>
        </w:tc>
        <w:tc>
          <w:tcPr>
            <w:tcW w:w="1805" w:type="dxa"/>
          </w:tcPr>
          <w:p w:rsidR="00DC4AC7" w:rsidRDefault="00DC4AC7" w:rsidP="009A20AD">
            <w:pPr>
              <w:jc w:val="right"/>
            </w:pPr>
            <w:r w:rsidRPr="4B444336">
              <w:rPr>
                <w:rFonts w:ascii="Calibri" w:eastAsia="Calibri" w:hAnsi="Calibri" w:cs="Calibri"/>
                <w:color w:val="000000" w:themeColor="text1"/>
              </w:rPr>
              <w:t>0.1</w:t>
            </w:r>
          </w:p>
        </w:tc>
        <w:tc>
          <w:tcPr>
            <w:tcW w:w="1805" w:type="dxa"/>
          </w:tcPr>
          <w:p w:rsidR="00DC4AC7" w:rsidRDefault="00DC4AC7" w:rsidP="009A20AD">
            <w:pPr>
              <w:jc w:val="right"/>
            </w:pPr>
            <w:r w:rsidRPr="4B444336">
              <w:rPr>
                <w:rFonts w:ascii="Calibri" w:eastAsia="Calibri" w:hAnsi="Calibri" w:cs="Calibri"/>
                <w:color w:val="000000" w:themeColor="text1"/>
              </w:rPr>
              <w:t>9.1</w:t>
            </w:r>
          </w:p>
        </w:tc>
      </w:tr>
      <w:tr w:rsidR="00DC4AC7" w:rsidTr="009A20AD">
        <w:trPr>
          <w:trHeight w:val="300"/>
        </w:trPr>
        <w:tc>
          <w:tcPr>
            <w:tcW w:w="1805" w:type="dxa"/>
          </w:tcPr>
          <w:p w:rsidR="00DC4AC7" w:rsidRDefault="00DC4AC7" w:rsidP="009A20AD">
            <w:pPr>
              <w:rPr>
                <w:rFonts w:ascii="Calibri" w:eastAsia="Calibri" w:hAnsi="Calibri" w:cs="Calibri"/>
                <w:color w:val="000000" w:themeColor="text1"/>
              </w:rPr>
            </w:pPr>
            <w:r w:rsidRPr="4B444336">
              <w:rPr>
                <w:rFonts w:ascii="Calibri" w:eastAsia="Calibri" w:hAnsi="Calibri" w:cs="Calibri"/>
                <w:color w:val="000000" w:themeColor="text1"/>
              </w:rPr>
              <w:t>Creditor days</w:t>
            </w:r>
          </w:p>
        </w:tc>
        <w:tc>
          <w:tcPr>
            <w:tcW w:w="1805" w:type="dxa"/>
          </w:tcPr>
          <w:p w:rsidR="00DC4AC7" w:rsidRDefault="00DC4AC7" w:rsidP="009A20AD">
            <w:pPr>
              <w:jc w:val="right"/>
            </w:pPr>
            <w:r w:rsidRPr="4B444336">
              <w:rPr>
                <w:rFonts w:ascii="Calibri" w:eastAsia="Calibri" w:hAnsi="Calibri" w:cs="Calibri"/>
                <w:color w:val="000000" w:themeColor="text1"/>
              </w:rPr>
              <w:t>87</w:t>
            </w:r>
          </w:p>
        </w:tc>
        <w:tc>
          <w:tcPr>
            <w:tcW w:w="1805" w:type="dxa"/>
          </w:tcPr>
          <w:p w:rsidR="00DC4AC7" w:rsidRDefault="00DC4AC7" w:rsidP="009A20AD">
            <w:pPr>
              <w:jc w:val="right"/>
            </w:pPr>
            <w:r w:rsidRPr="4B444336">
              <w:rPr>
                <w:rFonts w:ascii="Calibri" w:eastAsia="Calibri" w:hAnsi="Calibri" w:cs="Calibri"/>
                <w:color w:val="000000" w:themeColor="text1"/>
              </w:rPr>
              <w:t>84</w:t>
            </w:r>
          </w:p>
        </w:tc>
        <w:tc>
          <w:tcPr>
            <w:tcW w:w="1805" w:type="dxa"/>
          </w:tcPr>
          <w:p w:rsidR="00DC4AC7" w:rsidRDefault="00DC4AC7" w:rsidP="009A20AD">
            <w:pPr>
              <w:jc w:val="right"/>
            </w:pPr>
            <w:r>
              <w:rPr>
                <w:rFonts w:ascii="Calibri" w:eastAsia="Calibri" w:hAnsi="Calibri" w:cs="Calibri"/>
                <w:color w:val="000000" w:themeColor="text1"/>
              </w:rPr>
              <w:t>3</w:t>
            </w:r>
          </w:p>
        </w:tc>
        <w:tc>
          <w:tcPr>
            <w:tcW w:w="1805" w:type="dxa"/>
          </w:tcPr>
          <w:p w:rsidR="00DC4AC7" w:rsidRDefault="00DC4AC7" w:rsidP="009A20AD">
            <w:pPr>
              <w:jc w:val="right"/>
            </w:pPr>
            <w:r w:rsidRPr="4B444336">
              <w:rPr>
                <w:rFonts w:ascii="Calibri" w:eastAsia="Calibri" w:hAnsi="Calibri" w:cs="Calibri"/>
                <w:color w:val="000000" w:themeColor="text1"/>
              </w:rPr>
              <w:t>3.6</w:t>
            </w:r>
          </w:p>
        </w:tc>
      </w:tr>
      <w:tr w:rsidR="00DC4AC7" w:rsidTr="009A20AD">
        <w:trPr>
          <w:trHeight w:val="300"/>
        </w:trPr>
        <w:tc>
          <w:tcPr>
            <w:tcW w:w="1805" w:type="dxa"/>
          </w:tcPr>
          <w:p w:rsidR="00DC4AC7" w:rsidRDefault="00DC4AC7" w:rsidP="009A20AD">
            <w:pPr>
              <w:rPr>
                <w:rFonts w:ascii="Calibri" w:eastAsia="Calibri" w:hAnsi="Calibri" w:cs="Calibri"/>
                <w:color w:val="000000" w:themeColor="text1"/>
              </w:rPr>
            </w:pPr>
            <w:r w:rsidRPr="4B444336">
              <w:rPr>
                <w:rFonts w:ascii="Calibri" w:eastAsia="Calibri" w:hAnsi="Calibri" w:cs="Calibri"/>
                <w:color w:val="000000" w:themeColor="text1"/>
              </w:rPr>
              <w:t>Debtors days</w:t>
            </w:r>
          </w:p>
        </w:tc>
        <w:tc>
          <w:tcPr>
            <w:tcW w:w="1805" w:type="dxa"/>
          </w:tcPr>
          <w:p w:rsidR="00DC4AC7" w:rsidRDefault="00DC4AC7" w:rsidP="009A20AD">
            <w:pPr>
              <w:jc w:val="right"/>
            </w:pPr>
            <w:r w:rsidRPr="4B444336">
              <w:rPr>
                <w:rFonts w:ascii="Calibri" w:eastAsia="Calibri" w:hAnsi="Calibri" w:cs="Calibri"/>
                <w:color w:val="000000" w:themeColor="text1"/>
              </w:rPr>
              <w:t>60</w:t>
            </w:r>
          </w:p>
        </w:tc>
        <w:tc>
          <w:tcPr>
            <w:tcW w:w="1805" w:type="dxa"/>
          </w:tcPr>
          <w:p w:rsidR="00DC4AC7" w:rsidRDefault="00DC4AC7" w:rsidP="009A20AD">
            <w:pPr>
              <w:jc w:val="right"/>
            </w:pPr>
            <w:r w:rsidRPr="4B444336">
              <w:rPr>
                <w:rFonts w:ascii="Calibri" w:eastAsia="Calibri" w:hAnsi="Calibri" w:cs="Calibri"/>
                <w:color w:val="000000" w:themeColor="text1"/>
              </w:rPr>
              <w:t>61</w:t>
            </w:r>
          </w:p>
        </w:tc>
        <w:tc>
          <w:tcPr>
            <w:tcW w:w="1805" w:type="dxa"/>
          </w:tcPr>
          <w:p w:rsidR="00DC4AC7" w:rsidRDefault="00DC4AC7" w:rsidP="009A20AD">
            <w:pPr>
              <w:jc w:val="right"/>
            </w:pPr>
            <w:r w:rsidRPr="4B444336">
              <w:rPr>
                <w:rFonts w:ascii="Calibri" w:eastAsia="Calibri" w:hAnsi="Calibri" w:cs="Calibri"/>
                <w:color w:val="000000" w:themeColor="text1"/>
              </w:rPr>
              <w:t>-1</w:t>
            </w:r>
          </w:p>
        </w:tc>
        <w:tc>
          <w:tcPr>
            <w:tcW w:w="1805" w:type="dxa"/>
          </w:tcPr>
          <w:p w:rsidR="00DC4AC7" w:rsidRDefault="00DC4AC7" w:rsidP="009A20AD">
            <w:pPr>
              <w:jc w:val="right"/>
            </w:pPr>
            <w:r w:rsidRPr="4B444336">
              <w:rPr>
                <w:rFonts w:ascii="Calibri" w:eastAsia="Calibri" w:hAnsi="Calibri" w:cs="Calibri"/>
                <w:color w:val="000000" w:themeColor="text1"/>
              </w:rPr>
              <w:t>-1.6</w:t>
            </w:r>
          </w:p>
        </w:tc>
      </w:tr>
      <w:tr w:rsidR="00DC4AC7" w:rsidTr="009A20AD">
        <w:trPr>
          <w:trHeight w:val="300"/>
        </w:trPr>
        <w:tc>
          <w:tcPr>
            <w:tcW w:w="1805" w:type="dxa"/>
            <w:shd w:val="clear" w:color="auto" w:fill="FFFF00"/>
          </w:tcPr>
          <w:p w:rsidR="00DC4AC7" w:rsidRDefault="00DC4AC7" w:rsidP="009A20AD">
            <w:pPr>
              <w:rPr>
                <w:rFonts w:ascii="Calibri" w:eastAsia="Calibri" w:hAnsi="Calibri" w:cs="Calibri"/>
                <w:b/>
                <w:bCs/>
                <w:color w:val="000000" w:themeColor="text1"/>
                <w:sz w:val="24"/>
                <w:szCs w:val="24"/>
              </w:rPr>
            </w:pPr>
            <w:r w:rsidRPr="4B444336">
              <w:rPr>
                <w:rFonts w:ascii="Calibri" w:eastAsia="Calibri" w:hAnsi="Calibri" w:cs="Calibri"/>
                <w:b/>
                <w:bCs/>
                <w:color w:val="000000" w:themeColor="text1"/>
                <w:sz w:val="24"/>
                <w:szCs w:val="24"/>
              </w:rPr>
              <w:t>Capital Structure</w:t>
            </w:r>
          </w:p>
        </w:tc>
        <w:tc>
          <w:tcPr>
            <w:tcW w:w="1805" w:type="dxa"/>
            <w:shd w:val="clear" w:color="auto" w:fill="FFFF00"/>
          </w:tcPr>
          <w:p w:rsidR="00DC4AC7" w:rsidRDefault="00DC4AC7"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2019</w:t>
            </w:r>
          </w:p>
        </w:tc>
        <w:tc>
          <w:tcPr>
            <w:tcW w:w="1805" w:type="dxa"/>
            <w:shd w:val="clear" w:color="auto" w:fill="FFFF00"/>
          </w:tcPr>
          <w:p w:rsidR="00DC4AC7" w:rsidRDefault="00DC4AC7"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2018</w:t>
            </w:r>
          </w:p>
        </w:tc>
        <w:tc>
          <w:tcPr>
            <w:tcW w:w="1805" w:type="dxa"/>
            <w:shd w:val="clear" w:color="auto" w:fill="FFFF00"/>
          </w:tcPr>
          <w:p w:rsidR="00DC4AC7" w:rsidRDefault="00DC4AC7"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Difference</w:t>
            </w:r>
          </w:p>
        </w:tc>
        <w:tc>
          <w:tcPr>
            <w:tcW w:w="1805" w:type="dxa"/>
            <w:shd w:val="clear" w:color="auto" w:fill="FFFF00"/>
          </w:tcPr>
          <w:p w:rsidR="00DC4AC7" w:rsidRDefault="00DC4AC7"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Performance (%)</w:t>
            </w:r>
          </w:p>
        </w:tc>
      </w:tr>
      <w:tr w:rsidR="00DC4AC7" w:rsidTr="009A20AD">
        <w:trPr>
          <w:trHeight w:val="300"/>
        </w:trPr>
        <w:tc>
          <w:tcPr>
            <w:tcW w:w="1805" w:type="dxa"/>
          </w:tcPr>
          <w:p w:rsidR="00DC4AC7" w:rsidRDefault="00DC4AC7" w:rsidP="009A20AD">
            <w:pPr>
              <w:rPr>
                <w:rFonts w:ascii="Calibri" w:eastAsia="Calibri" w:hAnsi="Calibri" w:cs="Calibri"/>
                <w:color w:val="000000" w:themeColor="text1"/>
              </w:rPr>
            </w:pPr>
            <w:r w:rsidRPr="4B444336">
              <w:rPr>
                <w:rFonts w:ascii="Calibri" w:eastAsia="Calibri" w:hAnsi="Calibri" w:cs="Calibri"/>
                <w:color w:val="000000" w:themeColor="text1"/>
              </w:rPr>
              <w:t xml:space="preserve">GEARING-Debt to equity </w:t>
            </w:r>
          </w:p>
        </w:tc>
        <w:tc>
          <w:tcPr>
            <w:tcW w:w="1805" w:type="dxa"/>
          </w:tcPr>
          <w:p w:rsidR="00DC4AC7" w:rsidRDefault="00DC4AC7" w:rsidP="009A20AD">
            <w:pPr>
              <w:jc w:val="right"/>
            </w:pPr>
            <w:r w:rsidRPr="4B444336">
              <w:rPr>
                <w:rFonts w:ascii="Calibri" w:eastAsia="Calibri" w:hAnsi="Calibri" w:cs="Calibri"/>
                <w:color w:val="000000" w:themeColor="text1"/>
              </w:rPr>
              <w:t>41.5</w:t>
            </w:r>
          </w:p>
        </w:tc>
        <w:tc>
          <w:tcPr>
            <w:tcW w:w="1805" w:type="dxa"/>
          </w:tcPr>
          <w:p w:rsidR="00DC4AC7" w:rsidRDefault="00DC4AC7" w:rsidP="009A20AD">
            <w:pPr>
              <w:jc w:val="right"/>
            </w:pPr>
            <w:r w:rsidRPr="4B444336">
              <w:rPr>
                <w:rFonts w:ascii="Calibri" w:eastAsia="Calibri" w:hAnsi="Calibri" w:cs="Calibri"/>
                <w:color w:val="000000" w:themeColor="text1"/>
              </w:rPr>
              <w:t>61.3</w:t>
            </w:r>
          </w:p>
        </w:tc>
        <w:tc>
          <w:tcPr>
            <w:tcW w:w="1805" w:type="dxa"/>
          </w:tcPr>
          <w:p w:rsidR="00DC4AC7" w:rsidRDefault="00DC4AC7" w:rsidP="009A20AD">
            <w:pPr>
              <w:jc w:val="right"/>
            </w:pPr>
            <w:r w:rsidRPr="4B444336">
              <w:rPr>
                <w:rFonts w:ascii="Calibri" w:eastAsia="Calibri" w:hAnsi="Calibri" w:cs="Calibri"/>
                <w:color w:val="000000" w:themeColor="text1"/>
              </w:rPr>
              <w:t>-20</w:t>
            </w:r>
          </w:p>
        </w:tc>
        <w:tc>
          <w:tcPr>
            <w:tcW w:w="1805" w:type="dxa"/>
          </w:tcPr>
          <w:p w:rsidR="00DC4AC7" w:rsidRDefault="00DC4AC7" w:rsidP="009A20AD">
            <w:pPr>
              <w:jc w:val="right"/>
            </w:pPr>
            <w:r w:rsidRPr="4B444336">
              <w:rPr>
                <w:rFonts w:ascii="Calibri" w:eastAsia="Calibri" w:hAnsi="Calibri" w:cs="Calibri"/>
                <w:color w:val="000000" w:themeColor="text1"/>
              </w:rPr>
              <w:t>-19.9</w:t>
            </w:r>
          </w:p>
        </w:tc>
      </w:tr>
      <w:tr w:rsidR="00DC4AC7" w:rsidTr="009A20AD">
        <w:trPr>
          <w:trHeight w:val="300"/>
        </w:trPr>
        <w:tc>
          <w:tcPr>
            <w:tcW w:w="1805" w:type="dxa"/>
          </w:tcPr>
          <w:p w:rsidR="00DC4AC7" w:rsidRDefault="00DC4AC7" w:rsidP="009A20AD">
            <w:pPr>
              <w:rPr>
                <w:rFonts w:ascii="Calibri" w:eastAsia="Calibri" w:hAnsi="Calibri" w:cs="Calibri"/>
                <w:color w:val="000000" w:themeColor="text1"/>
              </w:rPr>
            </w:pPr>
            <w:r w:rsidRPr="4B444336">
              <w:rPr>
                <w:rFonts w:ascii="Calibri" w:eastAsia="Calibri" w:hAnsi="Calibri" w:cs="Calibri"/>
                <w:color w:val="000000" w:themeColor="text1"/>
              </w:rPr>
              <w:t>GEARING-Debt to capital</w:t>
            </w:r>
          </w:p>
        </w:tc>
        <w:tc>
          <w:tcPr>
            <w:tcW w:w="1805" w:type="dxa"/>
          </w:tcPr>
          <w:p w:rsidR="00DC4AC7" w:rsidRDefault="00DC4AC7" w:rsidP="009A20AD">
            <w:pPr>
              <w:jc w:val="right"/>
            </w:pPr>
            <w:r w:rsidRPr="4B444336">
              <w:rPr>
                <w:rFonts w:ascii="Calibri" w:eastAsia="Calibri" w:hAnsi="Calibri" w:cs="Calibri"/>
                <w:color w:val="000000" w:themeColor="text1"/>
              </w:rPr>
              <w:t>29.3</w:t>
            </w:r>
          </w:p>
        </w:tc>
        <w:tc>
          <w:tcPr>
            <w:tcW w:w="1805" w:type="dxa"/>
          </w:tcPr>
          <w:p w:rsidR="00DC4AC7" w:rsidRDefault="00DC4AC7" w:rsidP="009A20AD">
            <w:pPr>
              <w:jc w:val="right"/>
            </w:pPr>
            <w:r w:rsidRPr="4B444336">
              <w:rPr>
                <w:rFonts w:ascii="Calibri" w:eastAsia="Calibri" w:hAnsi="Calibri" w:cs="Calibri"/>
                <w:color w:val="000000" w:themeColor="text1"/>
              </w:rPr>
              <w:t>38</w:t>
            </w:r>
          </w:p>
        </w:tc>
        <w:tc>
          <w:tcPr>
            <w:tcW w:w="1805" w:type="dxa"/>
          </w:tcPr>
          <w:p w:rsidR="00DC4AC7" w:rsidRDefault="00DC4AC7" w:rsidP="009A20AD">
            <w:pPr>
              <w:jc w:val="right"/>
            </w:pPr>
            <w:r w:rsidRPr="4B444336">
              <w:rPr>
                <w:rFonts w:ascii="Calibri" w:eastAsia="Calibri" w:hAnsi="Calibri" w:cs="Calibri"/>
                <w:color w:val="000000" w:themeColor="text1"/>
              </w:rPr>
              <w:t>-9</w:t>
            </w:r>
          </w:p>
        </w:tc>
        <w:tc>
          <w:tcPr>
            <w:tcW w:w="1805" w:type="dxa"/>
          </w:tcPr>
          <w:p w:rsidR="00DC4AC7" w:rsidRDefault="00DC4AC7" w:rsidP="009A20AD">
            <w:pPr>
              <w:jc w:val="right"/>
            </w:pPr>
            <w:r w:rsidRPr="4B444336">
              <w:rPr>
                <w:rFonts w:ascii="Calibri" w:eastAsia="Calibri" w:hAnsi="Calibri" w:cs="Calibri"/>
                <w:color w:val="000000" w:themeColor="text1"/>
              </w:rPr>
              <w:t>-8.7</w:t>
            </w:r>
          </w:p>
        </w:tc>
      </w:tr>
      <w:tr w:rsidR="00DC4AC7" w:rsidTr="009A20AD">
        <w:trPr>
          <w:trHeight w:val="300"/>
        </w:trPr>
        <w:tc>
          <w:tcPr>
            <w:tcW w:w="1805" w:type="dxa"/>
          </w:tcPr>
          <w:p w:rsidR="00DC4AC7" w:rsidRDefault="00DC4AC7" w:rsidP="009A20AD">
            <w:pPr>
              <w:rPr>
                <w:rFonts w:ascii="Calibri" w:eastAsia="Calibri" w:hAnsi="Calibri" w:cs="Calibri"/>
                <w:color w:val="000000" w:themeColor="text1"/>
              </w:rPr>
            </w:pPr>
            <w:r w:rsidRPr="4B444336">
              <w:rPr>
                <w:rFonts w:ascii="Calibri" w:eastAsia="Calibri" w:hAnsi="Calibri" w:cs="Calibri"/>
                <w:color w:val="000000" w:themeColor="text1"/>
              </w:rPr>
              <w:t>Interest cover</w:t>
            </w:r>
          </w:p>
        </w:tc>
        <w:tc>
          <w:tcPr>
            <w:tcW w:w="1805" w:type="dxa"/>
          </w:tcPr>
          <w:p w:rsidR="00DC4AC7" w:rsidRDefault="00DC4AC7" w:rsidP="009A20AD">
            <w:pPr>
              <w:jc w:val="right"/>
            </w:pPr>
            <w:r w:rsidRPr="4B444336">
              <w:rPr>
                <w:rFonts w:ascii="Calibri" w:eastAsia="Calibri" w:hAnsi="Calibri" w:cs="Calibri"/>
                <w:color w:val="000000" w:themeColor="text1"/>
              </w:rPr>
              <w:t>12</w:t>
            </w:r>
          </w:p>
        </w:tc>
        <w:tc>
          <w:tcPr>
            <w:tcW w:w="1805" w:type="dxa"/>
          </w:tcPr>
          <w:p w:rsidR="00DC4AC7" w:rsidRDefault="00DC4AC7" w:rsidP="009A20AD">
            <w:pPr>
              <w:jc w:val="right"/>
            </w:pPr>
            <w:r w:rsidRPr="4B444336">
              <w:rPr>
                <w:rFonts w:ascii="Calibri" w:eastAsia="Calibri" w:hAnsi="Calibri" w:cs="Calibri"/>
                <w:color w:val="000000" w:themeColor="text1"/>
              </w:rPr>
              <w:t>8.2</w:t>
            </w:r>
          </w:p>
        </w:tc>
        <w:tc>
          <w:tcPr>
            <w:tcW w:w="1805" w:type="dxa"/>
          </w:tcPr>
          <w:p w:rsidR="00DC4AC7" w:rsidRDefault="00DC4AC7" w:rsidP="009A20AD">
            <w:pPr>
              <w:jc w:val="right"/>
            </w:pPr>
            <w:r w:rsidRPr="4B444336">
              <w:rPr>
                <w:rFonts w:ascii="Calibri" w:eastAsia="Calibri" w:hAnsi="Calibri" w:cs="Calibri"/>
                <w:color w:val="000000" w:themeColor="text1"/>
              </w:rPr>
              <w:t>4</w:t>
            </w:r>
          </w:p>
        </w:tc>
        <w:tc>
          <w:tcPr>
            <w:tcW w:w="1805" w:type="dxa"/>
          </w:tcPr>
          <w:p w:rsidR="00DC4AC7" w:rsidRDefault="00DC4AC7" w:rsidP="009A20AD">
            <w:pPr>
              <w:jc w:val="right"/>
            </w:pPr>
            <w:r w:rsidRPr="4B444336">
              <w:rPr>
                <w:rFonts w:ascii="Calibri" w:eastAsia="Calibri" w:hAnsi="Calibri" w:cs="Calibri"/>
                <w:color w:val="000000" w:themeColor="text1"/>
              </w:rPr>
              <w:t>46.3</w:t>
            </w:r>
          </w:p>
        </w:tc>
      </w:tr>
      <w:tr w:rsidR="00DC4AC7" w:rsidTr="009A20AD">
        <w:trPr>
          <w:trHeight w:val="300"/>
        </w:trPr>
        <w:tc>
          <w:tcPr>
            <w:tcW w:w="1805" w:type="dxa"/>
            <w:shd w:val="clear" w:color="auto" w:fill="FFFF00"/>
          </w:tcPr>
          <w:p w:rsidR="00DC4AC7" w:rsidRDefault="00DC4AC7" w:rsidP="009A20AD">
            <w:pPr>
              <w:rPr>
                <w:rFonts w:ascii="Calibri" w:eastAsia="Calibri" w:hAnsi="Calibri" w:cs="Calibri"/>
                <w:b/>
                <w:bCs/>
                <w:color w:val="000000" w:themeColor="text1"/>
                <w:sz w:val="24"/>
                <w:szCs w:val="24"/>
              </w:rPr>
            </w:pPr>
            <w:r w:rsidRPr="4B444336">
              <w:rPr>
                <w:rFonts w:ascii="Calibri" w:eastAsia="Calibri" w:hAnsi="Calibri" w:cs="Calibri"/>
                <w:b/>
                <w:bCs/>
                <w:color w:val="000000" w:themeColor="text1"/>
                <w:sz w:val="24"/>
                <w:szCs w:val="24"/>
              </w:rPr>
              <w:t>Investment</w:t>
            </w:r>
          </w:p>
        </w:tc>
        <w:tc>
          <w:tcPr>
            <w:tcW w:w="1805" w:type="dxa"/>
            <w:shd w:val="clear" w:color="auto" w:fill="FFFF00"/>
          </w:tcPr>
          <w:p w:rsidR="00DC4AC7" w:rsidRDefault="00DC4AC7"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2019</w:t>
            </w:r>
          </w:p>
        </w:tc>
        <w:tc>
          <w:tcPr>
            <w:tcW w:w="1805" w:type="dxa"/>
            <w:shd w:val="clear" w:color="auto" w:fill="FFFF00"/>
          </w:tcPr>
          <w:p w:rsidR="00DC4AC7" w:rsidRDefault="00DC4AC7"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2018</w:t>
            </w:r>
          </w:p>
        </w:tc>
        <w:tc>
          <w:tcPr>
            <w:tcW w:w="1805" w:type="dxa"/>
            <w:shd w:val="clear" w:color="auto" w:fill="FFFF00"/>
          </w:tcPr>
          <w:p w:rsidR="00DC4AC7" w:rsidRDefault="00DC4AC7"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Difference</w:t>
            </w:r>
          </w:p>
        </w:tc>
        <w:tc>
          <w:tcPr>
            <w:tcW w:w="1805" w:type="dxa"/>
            <w:shd w:val="clear" w:color="auto" w:fill="FFFF00"/>
          </w:tcPr>
          <w:p w:rsidR="00DC4AC7" w:rsidRDefault="00DC4AC7"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Performance (%)</w:t>
            </w:r>
          </w:p>
        </w:tc>
      </w:tr>
      <w:tr w:rsidR="00DC4AC7" w:rsidTr="009A20AD">
        <w:trPr>
          <w:trHeight w:val="300"/>
        </w:trPr>
        <w:tc>
          <w:tcPr>
            <w:tcW w:w="1805" w:type="dxa"/>
          </w:tcPr>
          <w:p w:rsidR="00DC4AC7" w:rsidRDefault="00DC4AC7" w:rsidP="009A20AD">
            <w:pPr>
              <w:rPr>
                <w:rFonts w:ascii="Calibri" w:eastAsia="Calibri" w:hAnsi="Calibri" w:cs="Calibri"/>
                <w:color w:val="000000" w:themeColor="text1"/>
              </w:rPr>
            </w:pPr>
            <w:r w:rsidRPr="4B444336">
              <w:rPr>
                <w:rFonts w:ascii="Calibri" w:eastAsia="Calibri" w:hAnsi="Calibri" w:cs="Calibri"/>
                <w:color w:val="000000" w:themeColor="text1"/>
              </w:rPr>
              <w:t>Earnings per share (EPS)</w:t>
            </w:r>
          </w:p>
        </w:tc>
        <w:tc>
          <w:tcPr>
            <w:tcW w:w="1805" w:type="dxa"/>
          </w:tcPr>
          <w:p w:rsidR="00DC4AC7" w:rsidRDefault="00DC4AC7" w:rsidP="009A20AD">
            <w:pPr>
              <w:jc w:val="right"/>
            </w:pPr>
            <w:r w:rsidRPr="4B444336">
              <w:rPr>
                <w:rFonts w:ascii="Calibri" w:eastAsia="Calibri" w:hAnsi="Calibri" w:cs="Calibri"/>
                <w:color w:val="000000" w:themeColor="text1"/>
              </w:rPr>
              <w:t>63</w:t>
            </w:r>
          </w:p>
        </w:tc>
        <w:tc>
          <w:tcPr>
            <w:tcW w:w="1805" w:type="dxa"/>
          </w:tcPr>
          <w:p w:rsidR="00DC4AC7" w:rsidRDefault="00DC4AC7" w:rsidP="009A20AD">
            <w:pPr>
              <w:jc w:val="right"/>
            </w:pPr>
            <w:r w:rsidRPr="4B444336">
              <w:rPr>
                <w:rFonts w:ascii="Calibri" w:eastAsia="Calibri" w:hAnsi="Calibri" w:cs="Calibri"/>
                <w:color w:val="000000" w:themeColor="text1"/>
              </w:rPr>
              <w:t>51</w:t>
            </w:r>
          </w:p>
        </w:tc>
        <w:tc>
          <w:tcPr>
            <w:tcW w:w="1805" w:type="dxa"/>
          </w:tcPr>
          <w:p w:rsidR="00DC4AC7" w:rsidRDefault="00DC4AC7" w:rsidP="009A20AD">
            <w:pPr>
              <w:jc w:val="right"/>
            </w:pPr>
            <w:r w:rsidRPr="4B444336">
              <w:rPr>
                <w:rFonts w:ascii="Calibri" w:eastAsia="Calibri" w:hAnsi="Calibri" w:cs="Calibri"/>
                <w:color w:val="000000" w:themeColor="text1"/>
              </w:rPr>
              <w:t>12</w:t>
            </w:r>
          </w:p>
        </w:tc>
        <w:tc>
          <w:tcPr>
            <w:tcW w:w="1805" w:type="dxa"/>
          </w:tcPr>
          <w:p w:rsidR="00DC4AC7" w:rsidRDefault="00DC4AC7" w:rsidP="009A20AD">
            <w:pPr>
              <w:jc w:val="right"/>
            </w:pPr>
            <w:r w:rsidRPr="4B444336">
              <w:rPr>
                <w:rFonts w:ascii="Calibri" w:eastAsia="Calibri" w:hAnsi="Calibri" w:cs="Calibri"/>
                <w:color w:val="000000" w:themeColor="text1"/>
              </w:rPr>
              <w:t>23.5</w:t>
            </w:r>
          </w:p>
        </w:tc>
      </w:tr>
      <w:tr w:rsidR="00DC4AC7" w:rsidTr="009A20AD">
        <w:trPr>
          <w:trHeight w:val="300"/>
        </w:trPr>
        <w:tc>
          <w:tcPr>
            <w:tcW w:w="1805" w:type="dxa"/>
          </w:tcPr>
          <w:p w:rsidR="00DC4AC7" w:rsidRDefault="00DC4AC7" w:rsidP="009A20AD">
            <w:pPr>
              <w:rPr>
                <w:rFonts w:ascii="Calibri" w:eastAsia="Calibri" w:hAnsi="Calibri" w:cs="Calibri"/>
                <w:color w:val="000000" w:themeColor="text1"/>
              </w:rPr>
            </w:pPr>
            <w:r w:rsidRPr="4B444336">
              <w:rPr>
                <w:rFonts w:ascii="Calibri" w:eastAsia="Calibri" w:hAnsi="Calibri" w:cs="Calibri"/>
                <w:color w:val="000000" w:themeColor="text1"/>
              </w:rPr>
              <w:t>Price earnings ratio (PER)</w:t>
            </w:r>
          </w:p>
        </w:tc>
        <w:tc>
          <w:tcPr>
            <w:tcW w:w="1805" w:type="dxa"/>
          </w:tcPr>
          <w:p w:rsidR="00DC4AC7" w:rsidRDefault="00DC4AC7" w:rsidP="009A20AD">
            <w:pPr>
              <w:jc w:val="right"/>
            </w:pPr>
            <w:r w:rsidRPr="4B444336">
              <w:rPr>
                <w:rFonts w:ascii="Calibri" w:eastAsia="Calibri" w:hAnsi="Calibri" w:cs="Calibri"/>
                <w:color w:val="000000" w:themeColor="text1"/>
              </w:rPr>
              <w:t>5.6</w:t>
            </w:r>
          </w:p>
        </w:tc>
        <w:tc>
          <w:tcPr>
            <w:tcW w:w="1805" w:type="dxa"/>
          </w:tcPr>
          <w:p w:rsidR="00DC4AC7" w:rsidRDefault="00DC4AC7" w:rsidP="009A20AD">
            <w:pPr>
              <w:jc w:val="right"/>
            </w:pPr>
            <w:r w:rsidRPr="4B444336">
              <w:rPr>
                <w:rFonts w:ascii="Calibri" w:eastAsia="Calibri" w:hAnsi="Calibri" w:cs="Calibri"/>
                <w:color w:val="000000" w:themeColor="text1"/>
              </w:rPr>
              <w:t>5.4</w:t>
            </w:r>
          </w:p>
        </w:tc>
        <w:tc>
          <w:tcPr>
            <w:tcW w:w="1805" w:type="dxa"/>
          </w:tcPr>
          <w:p w:rsidR="00DC4AC7" w:rsidRDefault="00DC4AC7" w:rsidP="009A20AD">
            <w:pPr>
              <w:jc w:val="right"/>
            </w:pPr>
            <w:r w:rsidRPr="4B444336">
              <w:rPr>
                <w:rFonts w:ascii="Calibri" w:eastAsia="Calibri" w:hAnsi="Calibri" w:cs="Calibri"/>
                <w:color w:val="000000" w:themeColor="text1"/>
              </w:rPr>
              <w:t>0.2</w:t>
            </w:r>
          </w:p>
        </w:tc>
        <w:tc>
          <w:tcPr>
            <w:tcW w:w="1805" w:type="dxa"/>
          </w:tcPr>
          <w:p w:rsidR="00DC4AC7" w:rsidRDefault="00DC4AC7" w:rsidP="009A20AD">
            <w:pPr>
              <w:jc w:val="right"/>
            </w:pPr>
            <w:r w:rsidRPr="4B444336">
              <w:rPr>
                <w:rFonts w:ascii="Calibri" w:eastAsia="Calibri" w:hAnsi="Calibri" w:cs="Calibri"/>
                <w:color w:val="000000" w:themeColor="text1"/>
              </w:rPr>
              <w:t>3.7</w:t>
            </w:r>
          </w:p>
        </w:tc>
      </w:tr>
      <w:tr w:rsidR="00DC4AC7" w:rsidTr="009A20AD">
        <w:trPr>
          <w:trHeight w:val="300"/>
        </w:trPr>
        <w:tc>
          <w:tcPr>
            <w:tcW w:w="1805" w:type="dxa"/>
          </w:tcPr>
          <w:p w:rsidR="00DC4AC7" w:rsidRDefault="00DC4AC7" w:rsidP="009A20AD">
            <w:pPr>
              <w:rPr>
                <w:rFonts w:ascii="Calibri" w:eastAsia="Calibri" w:hAnsi="Calibri" w:cs="Calibri"/>
                <w:color w:val="000000" w:themeColor="text1"/>
              </w:rPr>
            </w:pPr>
            <w:r w:rsidRPr="4B444336">
              <w:rPr>
                <w:rFonts w:ascii="Calibri" w:eastAsia="Calibri" w:hAnsi="Calibri" w:cs="Calibri"/>
                <w:color w:val="000000" w:themeColor="text1"/>
              </w:rPr>
              <w:t>Dividends per share (DPS)</w:t>
            </w:r>
          </w:p>
        </w:tc>
        <w:tc>
          <w:tcPr>
            <w:tcW w:w="1805" w:type="dxa"/>
          </w:tcPr>
          <w:p w:rsidR="00DC4AC7" w:rsidRDefault="00DC4AC7" w:rsidP="009A20AD">
            <w:pPr>
              <w:jc w:val="right"/>
            </w:pPr>
            <w:r w:rsidRPr="4B444336">
              <w:rPr>
                <w:rFonts w:ascii="Calibri" w:eastAsia="Calibri" w:hAnsi="Calibri" w:cs="Calibri"/>
                <w:color w:val="000000" w:themeColor="text1"/>
              </w:rPr>
              <w:t>33</w:t>
            </w:r>
          </w:p>
        </w:tc>
        <w:tc>
          <w:tcPr>
            <w:tcW w:w="1805" w:type="dxa"/>
          </w:tcPr>
          <w:p w:rsidR="00DC4AC7" w:rsidRDefault="00DC4AC7" w:rsidP="009A20AD">
            <w:pPr>
              <w:jc w:val="right"/>
            </w:pPr>
            <w:r w:rsidRPr="4B444336">
              <w:rPr>
                <w:rFonts w:ascii="Calibri" w:eastAsia="Calibri" w:hAnsi="Calibri" w:cs="Calibri"/>
                <w:color w:val="000000" w:themeColor="text1"/>
              </w:rPr>
              <w:t>30</w:t>
            </w:r>
          </w:p>
        </w:tc>
        <w:tc>
          <w:tcPr>
            <w:tcW w:w="1805" w:type="dxa"/>
          </w:tcPr>
          <w:p w:rsidR="00DC4AC7" w:rsidRDefault="00DC4AC7" w:rsidP="009A20AD">
            <w:pPr>
              <w:jc w:val="right"/>
            </w:pPr>
            <w:r w:rsidRPr="4B444336">
              <w:rPr>
                <w:rFonts w:ascii="Calibri" w:eastAsia="Calibri" w:hAnsi="Calibri" w:cs="Calibri"/>
                <w:color w:val="000000" w:themeColor="text1"/>
              </w:rPr>
              <w:t>3</w:t>
            </w:r>
          </w:p>
        </w:tc>
        <w:tc>
          <w:tcPr>
            <w:tcW w:w="1805" w:type="dxa"/>
          </w:tcPr>
          <w:p w:rsidR="00DC4AC7" w:rsidRDefault="00DC4AC7" w:rsidP="009A20AD">
            <w:pPr>
              <w:jc w:val="right"/>
            </w:pPr>
            <w:r w:rsidRPr="4B444336">
              <w:rPr>
                <w:rFonts w:ascii="Calibri" w:eastAsia="Calibri" w:hAnsi="Calibri" w:cs="Calibri"/>
                <w:color w:val="000000" w:themeColor="text1"/>
              </w:rPr>
              <w:t>10</w:t>
            </w:r>
          </w:p>
        </w:tc>
      </w:tr>
      <w:tr w:rsidR="00DC4AC7" w:rsidTr="009A20AD">
        <w:trPr>
          <w:trHeight w:val="300"/>
        </w:trPr>
        <w:tc>
          <w:tcPr>
            <w:tcW w:w="1805" w:type="dxa"/>
          </w:tcPr>
          <w:p w:rsidR="00DC4AC7" w:rsidRDefault="00DC4AC7" w:rsidP="009A20AD">
            <w:pPr>
              <w:rPr>
                <w:rFonts w:ascii="Calibri" w:eastAsia="Calibri" w:hAnsi="Calibri" w:cs="Calibri"/>
                <w:color w:val="000000" w:themeColor="text1"/>
              </w:rPr>
            </w:pPr>
            <w:r w:rsidRPr="4B444336">
              <w:rPr>
                <w:rFonts w:ascii="Calibri" w:eastAsia="Calibri" w:hAnsi="Calibri" w:cs="Calibri"/>
                <w:color w:val="000000" w:themeColor="text1"/>
              </w:rPr>
              <w:t>Dividends % pay out</w:t>
            </w:r>
          </w:p>
        </w:tc>
        <w:tc>
          <w:tcPr>
            <w:tcW w:w="1805" w:type="dxa"/>
          </w:tcPr>
          <w:p w:rsidR="00DC4AC7" w:rsidRDefault="00DC4AC7" w:rsidP="009A20AD">
            <w:pPr>
              <w:jc w:val="right"/>
            </w:pPr>
            <w:r w:rsidRPr="4B444336">
              <w:rPr>
                <w:rFonts w:ascii="Calibri" w:eastAsia="Calibri" w:hAnsi="Calibri" w:cs="Calibri"/>
                <w:color w:val="000000" w:themeColor="text1"/>
              </w:rPr>
              <w:t>52.4</w:t>
            </w:r>
          </w:p>
        </w:tc>
        <w:tc>
          <w:tcPr>
            <w:tcW w:w="1805" w:type="dxa"/>
          </w:tcPr>
          <w:p w:rsidR="00DC4AC7" w:rsidRDefault="00DC4AC7" w:rsidP="009A20AD">
            <w:pPr>
              <w:jc w:val="right"/>
            </w:pPr>
            <w:r w:rsidRPr="4B444336">
              <w:rPr>
                <w:rFonts w:ascii="Calibri" w:eastAsia="Calibri" w:hAnsi="Calibri" w:cs="Calibri"/>
                <w:color w:val="000000" w:themeColor="text1"/>
              </w:rPr>
              <w:t>58.8</w:t>
            </w:r>
          </w:p>
        </w:tc>
        <w:tc>
          <w:tcPr>
            <w:tcW w:w="1805" w:type="dxa"/>
          </w:tcPr>
          <w:p w:rsidR="00DC4AC7" w:rsidRDefault="00DC4AC7" w:rsidP="009A20AD">
            <w:pPr>
              <w:jc w:val="right"/>
            </w:pPr>
            <w:r w:rsidRPr="4B444336">
              <w:rPr>
                <w:rFonts w:ascii="Calibri" w:eastAsia="Calibri" w:hAnsi="Calibri" w:cs="Calibri"/>
                <w:color w:val="000000" w:themeColor="text1"/>
              </w:rPr>
              <w:t>-6</w:t>
            </w:r>
          </w:p>
        </w:tc>
        <w:tc>
          <w:tcPr>
            <w:tcW w:w="1805" w:type="dxa"/>
          </w:tcPr>
          <w:p w:rsidR="00DC4AC7" w:rsidRDefault="00DC4AC7" w:rsidP="009A20AD">
            <w:pPr>
              <w:jc w:val="right"/>
            </w:pPr>
            <w:r w:rsidRPr="4B444336">
              <w:rPr>
                <w:rFonts w:ascii="Calibri" w:eastAsia="Calibri" w:hAnsi="Calibri" w:cs="Calibri"/>
                <w:color w:val="000000" w:themeColor="text1"/>
              </w:rPr>
              <w:t>-11</w:t>
            </w:r>
          </w:p>
        </w:tc>
      </w:tr>
    </w:tbl>
    <w:p w:rsidR="00DC4AC7" w:rsidRDefault="00DC4AC7" w:rsidP="00DC4AC7"/>
    <w:p w:rsidR="00DC4AC7" w:rsidRDefault="00DC4AC7" w:rsidP="00DC4AC7">
      <w:pPr>
        <w:rPr>
          <w:rFonts w:ascii="Arial" w:hAnsi="Arial" w:cs="Arial"/>
          <w:sz w:val="24"/>
        </w:rPr>
      </w:pPr>
      <w:r>
        <w:rPr>
          <w:rFonts w:ascii="Arial" w:hAnsi="Arial" w:cs="Arial"/>
          <w:sz w:val="24"/>
        </w:rPr>
        <w:t>Ratio analysis is a modern technique of having a clear insight for the business’ general overview. Ratio families help for improving the firm’s performance by regularly monitoring the relation between the figures and compare them in order to increase the productivity.</w:t>
      </w:r>
    </w:p>
    <w:p w:rsidR="00DC4AC7" w:rsidRDefault="00DC4AC7" w:rsidP="00DC4AC7">
      <w:pPr>
        <w:rPr>
          <w:rFonts w:ascii="Arial" w:hAnsi="Arial" w:cs="Arial"/>
          <w:sz w:val="24"/>
        </w:rPr>
      </w:pPr>
      <w:r>
        <w:rPr>
          <w:rFonts w:ascii="Arial" w:hAnsi="Arial" w:cs="Arial"/>
          <w:sz w:val="24"/>
        </w:rPr>
        <w:t>Profitability ratio family shows the ability of the company to generate earnings in relation of its revenues, assets, capital employed.</w:t>
      </w:r>
    </w:p>
    <w:p w:rsidR="00DC4AC7" w:rsidRDefault="00DC4AC7" w:rsidP="00DC4AC7">
      <w:pPr>
        <w:rPr>
          <w:rFonts w:ascii="Arial" w:hAnsi="Arial" w:cs="Arial"/>
          <w:sz w:val="24"/>
        </w:rPr>
      </w:pPr>
      <w:r>
        <w:rPr>
          <w:rFonts w:ascii="Arial" w:hAnsi="Arial" w:cs="Arial"/>
          <w:sz w:val="24"/>
        </w:rPr>
        <w:t>Efficiency indicated to the way of how good the company use its assets to gain the profit.</w:t>
      </w:r>
    </w:p>
    <w:p w:rsidR="00DC4AC7" w:rsidRDefault="00DC4AC7" w:rsidP="00DC4AC7">
      <w:pPr>
        <w:jc w:val="center"/>
        <w:rPr>
          <w:rFonts w:ascii="Arial" w:hAnsi="Arial" w:cs="Arial"/>
          <w:sz w:val="24"/>
        </w:rPr>
      </w:pPr>
      <w:r>
        <w:rPr>
          <w:rFonts w:ascii="Arial" w:hAnsi="Arial" w:cs="Arial"/>
          <w:sz w:val="24"/>
        </w:rPr>
        <w:t>2</w:t>
      </w:r>
    </w:p>
    <w:p w:rsidR="00DC4AC7" w:rsidRDefault="00DC4AC7" w:rsidP="00DC4AC7">
      <w:pPr>
        <w:rPr>
          <w:rFonts w:ascii="Arial" w:hAnsi="Arial" w:cs="Arial"/>
          <w:sz w:val="24"/>
        </w:rPr>
      </w:pPr>
      <w:r>
        <w:rPr>
          <w:rFonts w:ascii="Arial" w:hAnsi="Arial" w:cs="Arial"/>
          <w:sz w:val="24"/>
        </w:rPr>
        <w:lastRenderedPageBreak/>
        <w:t>Liquidity show the ability of the firm to pay back its debt obligations.</w:t>
      </w:r>
    </w:p>
    <w:p w:rsidR="00DC4AC7" w:rsidRDefault="00DC4AC7" w:rsidP="00DC4AC7">
      <w:pPr>
        <w:rPr>
          <w:rFonts w:ascii="Arial" w:hAnsi="Arial" w:cs="Arial"/>
          <w:sz w:val="24"/>
        </w:rPr>
      </w:pPr>
      <w:r>
        <w:rPr>
          <w:rFonts w:ascii="Arial" w:hAnsi="Arial" w:cs="Arial"/>
          <w:sz w:val="24"/>
        </w:rPr>
        <w:t>Capital structure identifies the relation between the debt (loans) and equity (common stock).</w:t>
      </w:r>
    </w:p>
    <w:p w:rsidR="00DC4AC7" w:rsidRDefault="00DC4AC7" w:rsidP="00DC4AC7">
      <w:pPr>
        <w:rPr>
          <w:rFonts w:ascii="Arial" w:hAnsi="Arial" w:cs="Arial"/>
          <w:sz w:val="24"/>
        </w:rPr>
      </w:pPr>
      <w:r>
        <w:rPr>
          <w:rFonts w:ascii="Arial" w:hAnsi="Arial" w:cs="Arial"/>
          <w:sz w:val="24"/>
        </w:rPr>
        <w:t>Investment ratio illustrate the connection between the money invested and the profit generated from them.</w:t>
      </w:r>
    </w:p>
    <w:p w:rsidR="00DC4AC7" w:rsidRDefault="00DC4AC7" w:rsidP="00DC4AC7"/>
    <w:p w:rsidR="00DC4AC7" w:rsidRPr="00ED5FC1" w:rsidRDefault="00DC4AC7" w:rsidP="00DC4AC7">
      <w:pPr>
        <w:jc w:val="center"/>
        <w:rPr>
          <w:rFonts w:ascii="Arial" w:hAnsi="Arial" w:cs="Arial"/>
          <w:sz w:val="24"/>
        </w:rPr>
      </w:pPr>
      <w:r>
        <w:rPr>
          <w:rFonts w:ascii="Arial" w:hAnsi="Arial" w:cs="Arial"/>
          <w:sz w:val="24"/>
        </w:rPr>
        <w:t>Profitability</w:t>
      </w:r>
    </w:p>
    <w:p w:rsidR="00DC4AC7" w:rsidRPr="005C4ECD" w:rsidRDefault="00DC4AC7" w:rsidP="00DC4AC7">
      <w:pPr>
        <w:rPr>
          <w:rFonts w:ascii="Arial" w:hAnsi="Arial" w:cs="Arial"/>
          <w:sz w:val="24"/>
        </w:rPr>
      </w:pPr>
      <w:r w:rsidRPr="00052D55">
        <w:rPr>
          <w:rFonts w:ascii="Arial" w:hAnsi="Arial" w:cs="Arial"/>
          <w:b/>
          <w:sz w:val="24"/>
        </w:rPr>
        <w:t xml:space="preserve">ROCE </w:t>
      </w:r>
      <w:r w:rsidRPr="005C4ECD">
        <w:rPr>
          <w:rFonts w:ascii="Arial" w:hAnsi="Arial" w:cs="Arial"/>
          <w:sz w:val="24"/>
        </w:rPr>
        <w:t>is ratio that indicates to the profit earned in relation to capital employed</w:t>
      </w:r>
      <w:r w:rsidR="0032108E">
        <w:rPr>
          <w:rFonts w:ascii="Arial" w:hAnsi="Arial" w:cs="Arial"/>
          <w:sz w:val="24"/>
        </w:rPr>
        <w:t>.</w:t>
      </w:r>
    </w:p>
    <w:tbl>
      <w:tblPr>
        <w:tblStyle w:val="a3"/>
        <w:tblW w:w="0" w:type="auto"/>
        <w:tblLayout w:type="fixed"/>
        <w:tblLook w:val="04A0" w:firstRow="1" w:lastRow="0" w:firstColumn="1" w:lastColumn="0" w:noHBand="0" w:noVBand="1"/>
      </w:tblPr>
      <w:tblGrid>
        <w:gridCol w:w="1805"/>
        <w:gridCol w:w="1805"/>
        <w:gridCol w:w="1805"/>
        <w:gridCol w:w="1805"/>
        <w:gridCol w:w="1805"/>
      </w:tblGrid>
      <w:tr w:rsidR="00DC4AC7" w:rsidTr="009A20AD">
        <w:trPr>
          <w:trHeight w:val="300"/>
        </w:trPr>
        <w:tc>
          <w:tcPr>
            <w:tcW w:w="1805" w:type="dxa"/>
            <w:shd w:val="clear" w:color="auto" w:fill="FFFF00"/>
          </w:tcPr>
          <w:p w:rsidR="00DC4AC7" w:rsidRDefault="00DC4AC7" w:rsidP="009A20AD">
            <w:pPr>
              <w:rPr>
                <w:rFonts w:ascii="Calibri" w:eastAsia="Calibri" w:hAnsi="Calibri" w:cs="Calibri"/>
                <w:b/>
                <w:bCs/>
                <w:color w:val="000000" w:themeColor="text1"/>
                <w:sz w:val="24"/>
                <w:szCs w:val="24"/>
              </w:rPr>
            </w:pPr>
            <w:r w:rsidRPr="4B444336">
              <w:rPr>
                <w:rFonts w:ascii="Calibri" w:eastAsia="Calibri" w:hAnsi="Calibri" w:cs="Calibri"/>
                <w:b/>
                <w:bCs/>
                <w:color w:val="000000" w:themeColor="text1"/>
                <w:sz w:val="24"/>
                <w:szCs w:val="24"/>
              </w:rPr>
              <w:t>Profitability</w:t>
            </w:r>
          </w:p>
        </w:tc>
        <w:tc>
          <w:tcPr>
            <w:tcW w:w="1805" w:type="dxa"/>
            <w:shd w:val="clear" w:color="auto" w:fill="FFFF00"/>
          </w:tcPr>
          <w:p w:rsidR="00DC4AC7" w:rsidRDefault="00DC4AC7" w:rsidP="009A20AD">
            <w:pPr>
              <w:rPr>
                <w:rFonts w:ascii="Calibri" w:eastAsia="Calibri" w:hAnsi="Calibri" w:cs="Calibri"/>
                <w:b/>
                <w:bCs/>
                <w:color w:val="000000" w:themeColor="text1"/>
              </w:rPr>
            </w:pPr>
            <w:r w:rsidRPr="4B444336">
              <w:rPr>
                <w:rFonts w:ascii="Calibri" w:eastAsia="Calibri" w:hAnsi="Calibri" w:cs="Calibri"/>
                <w:b/>
                <w:bCs/>
                <w:color w:val="000000" w:themeColor="text1"/>
              </w:rPr>
              <w:t>2019</w:t>
            </w:r>
          </w:p>
        </w:tc>
        <w:tc>
          <w:tcPr>
            <w:tcW w:w="1805" w:type="dxa"/>
            <w:shd w:val="clear" w:color="auto" w:fill="FFFF00"/>
          </w:tcPr>
          <w:p w:rsidR="00DC4AC7" w:rsidRDefault="00DC4AC7" w:rsidP="009A20AD">
            <w:pPr>
              <w:rPr>
                <w:rFonts w:ascii="Calibri" w:eastAsia="Calibri" w:hAnsi="Calibri" w:cs="Calibri"/>
                <w:b/>
                <w:bCs/>
                <w:color w:val="000000" w:themeColor="text1"/>
              </w:rPr>
            </w:pPr>
            <w:r w:rsidRPr="4B444336">
              <w:rPr>
                <w:rFonts w:ascii="Calibri" w:eastAsia="Calibri" w:hAnsi="Calibri" w:cs="Calibri"/>
                <w:b/>
                <w:bCs/>
                <w:color w:val="000000" w:themeColor="text1"/>
              </w:rPr>
              <w:t>2018</w:t>
            </w:r>
          </w:p>
        </w:tc>
        <w:tc>
          <w:tcPr>
            <w:tcW w:w="1805" w:type="dxa"/>
            <w:shd w:val="clear" w:color="auto" w:fill="FFFF00"/>
          </w:tcPr>
          <w:p w:rsidR="00DC4AC7" w:rsidRDefault="00DC4AC7" w:rsidP="009A20AD">
            <w:pPr>
              <w:rPr>
                <w:rFonts w:ascii="Calibri" w:eastAsia="Calibri" w:hAnsi="Calibri" w:cs="Calibri"/>
                <w:b/>
                <w:bCs/>
                <w:color w:val="000000" w:themeColor="text1"/>
              </w:rPr>
            </w:pPr>
            <w:r w:rsidRPr="4B444336">
              <w:rPr>
                <w:rFonts w:ascii="Calibri" w:eastAsia="Calibri" w:hAnsi="Calibri" w:cs="Calibri"/>
                <w:b/>
                <w:bCs/>
                <w:color w:val="000000" w:themeColor="text1"/>
              </w:rPr>
              <w:t>Difference</w:t>
            </w:r>
          </w:p>
        </w:tc>
        <w:tc>
          <w:tcPr>
            <w:tcW w:w="1805" w:type="dxa"/>
            <w:shd w:val="clear" w:color="auto" w:fill="FFFF00"/>
          </w:tcPr>
          <w:p w:rsidR="00DC4AC7" w:rsidRDefault="00DC4AC7" w:rsidP="009A20AD">
            <w:pPr>
              <w:rPr>
                <w:rFonts w:ascii="Calibri" w:eastAsia="Calibri" w:hAnsi="Calibri" w:cs="Calibri"/>
                <w:b/>
                <w:bCs/>
                <w:color w:val="000000" w:themeColor="text1"/>
              </w:rPr>
            </w:pPr>
            <w:r w:rsidRPr="4B444336">
              <w:rPr>
                <w:rFonts w:ascii="Calibri" w:eastAsia="Calibri" w:hAnsi="Calibri" w:cs="Calibri"/>
                <w:b/>
                <w:bCs/>
                <w:color w:val="000000" w:themeColor="text1"/>
              </w:rPr>
              <w:t>Performance (%)</w:t>
            </w:r>
          </w:p>
        </w:tc>
      </w:tr>
      <w:tr w:rsidR="00DC4AC7" w:rsidTr="009A20AD">
        <w:trPr>
          <w:trHeight w:val="300"/>
        </w:trPr>
        <w:tc>
          <w:tcPr>
            <w:tcW w:w="1805" w:type="dxa"/>
          </w:tcPr>
          <w:p w:rsidR="00DC4AC7" w:rsidRDefault="00DC4AC7" w:rsidP="009A20AD">
            <w:pPr>
              <w:rPr>
                <w:rFonts w:ascii="Calibri" w:eastAsia="Calibri" w:hAnsi="Calibri" w:cs="Calibri"/>
                <w:color w:val="000000" w:themeColor="text1"/>
              </w:rPr>
            </w:pPr>
            <w:r w:rsidRPr="4B444336">
              <w:rPr>
                <w:rFonts w:ascii="Calibri" w:eastAsia="Calibri" w:hAnsi="Calibri" w:cs="Calibri"/>
                <w:color w:val="000000" w:themeColor="text1"/>
              </w:rPr>
              <w:t>ROCE</w:t>
            </w:r>
          </w:p>
        </w:tc>
        <w:tc>
          <w:tcPr>
            <w:tcW w:w="1805" w:type="dxa"/>
          </w:tcPr>
          <w:p w:rsidR="00DC4AC7" w:rsidRDefault="00DC4AC7" w:rsidP="009A20AD">
            <w:pPr>
              <w:jc w:val="right"/>
              <w:rPr>
                <w:rFonts w:ascii="Calibri" w:eastAsia="Calibri" w:hAnsi="Calibri" w:cs="Calibri"/>
                <w:color w:val="000000" w:themeColor="text1"/>
              </w:rPr>
            </w:pPr>
            <w:r w:rsidRPr="4B444336">
              <w:rPr>
                <w:rFonts w:ascii="Calibri" w:eastAsia="Calibri" w:hAnsi="Calibri" w:cs="Calibri"/>
                <w:color w:val="000000" w:themeColor="text1"/>
              </w:rPr>
              <w:t>35.2</w:t>
            </w:r>
          </w:p>
        </w:tc>
        <w:tc>
          <w:tcPr>
            <w:tcW w:w="1805" w:type="dxa"/>
          </w:tcPr>
          <w:p w:rsidR="00DC4AC7" w:rsidRDefault="00DC4AC7" w:rsidP="009A20AD">
            <w:pPr>
              <w:jc w:val="right"/>
              <w:rPr>
                <w:rFonts w:ascii="Calibri" w:eastAsia="Calibri" w:hAnsi="Calibri" w:cs="Calibri"/>
                <w:color w:val="000000" w:themeColor="text1"/>
              </w:rPr>
            </w:pPr>
            <w:r w:rsidRPr="4B444336">
              <w:rPr>
                <w:rFonts w:ascii="Calibri" w:eastAsia="Calibri" w:hAnsi="Calibri" w:cs="Calibri"/>
                <w:color w:val="000000" w:themeColor="text1"/>
              </w:rPr>
              <w:t>31.2</w:t>
            </w:r>
          </w:p>
        </w:tc>
        <w:tc>
          <w:tcPr>
            <w:tcW w:w="1805" w:type="dxa"/>
          </w:tcPr>
          <w:p w:rsidR="00DC4AC7" w:rsidRDefault="00DC4AC7" w:rsidP="009A20AD">
            <w:pPr>
              <w:jc w:val="right"/>
              <w:rPr>
                <w:rFonts w:ascii="Calibri" w:eastAsia="Calibri" w:hAnsi="Calibri" w:cs="Calibri"/>
                <w:color w:val="000000" w:themeColor="text1"/>
              </w:rPr>
            </w:pPr>
            <w:r w:rsidRPr="4B444336">
              <w:rPr>
                <w:rFonts w:ascii="Calibri" w:eastAsia="Calibri" w:hAnsi="Calibri" w:cs="Calibri"/>
                <w:color w:val="000000" w:themeColor="text1"/>
              </w:rPr>
              <w:t>4</w:t>
            </w:r>
          </w:p>
        </w:tc>
        <w:tc>
          <w:tcPr>
            <w:tcW w:w="1805" w:type="dxa"/>
          </w:tcPr>
          <w:p w:rsidR="00DC4AC7" w:rsidRDefault="00DC4AC7" w:rsidP="009A20AD">
            <w:pPr>
              <w:jc w:val="right"/>
              <w:rPr>
                <w:rFonts w:ascii="Calibri" w:eastAsia="Calibri" w:hAnsi="Calibri" w:cs="Calibri"/>
                <w:color w:val="000000" w:themeColor="text1"/>
              </w:rPr>
            </w:pPr>
            <w:r w:rsidRPr="4B444336">
              <w:rPr>
                <w:rFonts w:ascii="Calibri" w:eastAsia="Calibri" w:hAnsi="Calibri" w:cs="Calibri"/>
                <w:color w:val="000000" w:themeColor="text1"/>
              </w:rPr>
              <w:t>4</w:t>
            </w:r>
          </w:p>
        </w:tc>
      </w:tr>
    </w:tbl>
    <w:p w:rsidR="00DC4AC7" w:rsidRDefault="00DC4AC7" w:rsidP="00DC4AC7">
      <w:r w:rsidRPr="005C4ECD">
        <w:rPr>
          <w:rFonts w:ascii="Arial" w:hAnsi="Arial" w:cs="Arial"/>
          <w:sz w:val="24"/>
        </w:rPr>
        <w:t>As it is shown up in the table, the ROCE is improved with 4% compared to 2018. This is a good result, however could be even better if the weak points are outlined and improved</w:t>
      </w:r>
      <w:r>
        <w:t>.</w:t>
      </w:r>
    </w:p>
    <w:p w:rsidR="00DC4AC7" w:rsidRDefault="00DC4AC7" w:rsidP="00DC4AC7">
      <w:pPr>
        <w:rPr>
          <w:rFonts w:ascii="Arial" w:hAnsi="Arial" w:cs="Arial"/>
          <w:sz w:val="24"/>
        </w:rPr>
      </w:pPr>
      <w:r w:rsidRPr="0033398F">
        <w:rPr>
          <w:rFonts w:ascii="Arial" w:hAnsi="Arial" w:cs="Arial"/>
          <w:sz w:val="24"/>
        </w:rPr>
        <w:t>ROCE =</w:t>
      </w:r>
      <w:r w:rsidRPr="0033398F">
        <w:rPr>
          <w:rFonts w:ascii="Arial" w:hAnsi="Arial" w:cs="Arial"/>
          <w:b/>
          <w:sz w:val="20"/>
        </w:rPr>
        <w:t xml:space="preserve"> </w:t>
      </w:r>
      <w:r w:rsidRPr="0033398F">
        <w:rPr>
          <w:b/>
          <w:sz w:val="20"/>
        </w:rPr>
        <w:t xml:space="preserve">   </w:t>
      </w:r>
      <w:r w:rsidRPr="0033398F">
        <w:rPr>
          <w:rFonts w:ascii="Arial" w:hAnsi="Arial" w:cs="Arial"/>
          <w:sz w:val="24"/>
        </w:rPr>
        <w:t>Net profit</w:t>
      </w:r>
      <w:r w:rsidRPr="005C4ECD">
        <w:rPr>
          <w:rFonts w:ascii="Arial" w:hAnsi="Arial" w:cs="Arial"/>
          <w:sz w:val="24"/>
        </w:rPr>
        <w:t xml:space="preserve"> 23.5% / </w:t>
      </w:r>
      <w:r w:rsidRPr="0033398F">
        <w:rPr>
          <w:rFonts w:ascii="Arial" w:hAnsi="Arial" w:cs="Arial"/>
          <w:sz w:val="24"/>
        </w:rPr>
        <w:t xml:space="preserve">Capital Employed </w:t>
      </w:r>
      <w:r w:rsidRPr="005C4ECD">
        <w:rPr>
          <w:rFonts w:ascii="Arial" w:hAnsi="Arial" w:cs="Arial"/>
          <w:sz w:val="24"/>
        </w:rPr>
        <w:t>3.8%</w:t>
      </w:r>
    </w:p>
    <w:p w:rsidR="00DC4AC7" w:rsidRDefault="00DC4AC7" w:rsidP="00DC4AC7">
      <w:pPr>
        <w:rPr>
          <w:rFonts w:ascii="Arial" w:hAnsi="Arial" w:cs="Arial"/>
          <w:sz w:val="24"/>
        </w:rPr>
      </w:pPr>
      <w:r>
        <w:rPr>
          <w:rFonts w:ascii="Arial" w:hAnsi="Arial" w:cs="Arial"/>
          <w:sz w:val="24"/>
        </w:rPr>
        <w:t xml:space="preserve">Those ratios clearly identify that both net profit and Capital employed increased compare to previous year. </w:t>
      </w:r>
    </w:p>
    <w:p w:rsidR="00DC4AC7" w:rsidRDefault="00DC4AC7" w:rsidP="00DC4AC7">
      <w:pPr>
        <w:rPr>
          <w:rFonts w:ascii="Arial" w:hAnsi="Arial" w:cs="Arial"/>
          <w:sz w:val="24"/>
        </w:rPr>
      </w:pPr>
      <w:r w:rsidRPr="0033398F">
        <w:rPr>
          <w:rFonts w:ascii="Arial" w:hAnsi="Arial" w:cs="Arial"/>
          <w:sz w:val="24"/>
        </w:rPr>
        <w:t>Net Profit</w:t>
      </w:r>
      <w:r>
        <w:rPr>
          <w:rFonts w:ascii="Arial" w:hAnsi="Arial" w:cs="Arial"/>
          <w:sz w:val="24"/>
        </w:rPr>
        <w:t>= Sales Revenue (+9.9%)-Cost of Sales (+9.9%) or</w:t>
      </w:r>
    </w:p>
    <w:p w:rsidR="00DC4AC7" w:rsidRDefault="00DC4AC7" w:rsidP="00DC4AC7">
      <w:pPr>
        <w:rPr>
          <w:rFonts w:ascii="Arial" w:hAnsi="Arial" w:cs="Arial"/>
          <w:sz w:val="24"/>
        </w:rPr>
      </w:pPr>
      <w:r>
        <w:rPr>
          <w:rFonts w:ascii="Arial" w:hAnsi="Arial" w:cs="Arial"/>
          <w:sz w:val="24"/>
        </w:rPr>
        <w:t>Gross profit (+9.9%)-Operating costs (-5%)   x100</w:t>
      </w:r>
    </w:p>
    <w:p w:rsidR="00DC4AC7" w:rsidRDefault="00DC4AC7" w:rsidP="00DC4AC7">
      <w:pPr>
        <w:rPr>
          <w:rFonts w:ascii="Arial" w:hAnsi="Arial" w:cs="Arial"/>
          <w:sz w:val="24"/>
        </w:rPr>
      </w:pPr>
      <w:r>
        <w:rPr>
          <w:rFonts w:ascii="Arial" w:hAnsi="Arial" w:cs="Arial"/>
          <w:sz w:val="24"/>
        </w:rPr>
        <w:t xml:space="preserve">It is showing that there is rise of the sales with nearly 10% but the cost of sale also increased with 10% which means that the improvement in Sales is at the same level as its costs. However, because of the significant drop of the operating cost with -5% generated net profit is improved. </w:t>
      </w:r>
    </w:p>
    <w:p w:rsidR="00DC4AC7" w:rsidRPr="00C000CE" w:rsidRDefault="00DC4AC7" w:rsidP="00DC4AC7">
      <w:pPr>
        <w:rPr>
          <w:rFonts w:ascii="Arial" w:hAnsi="Arial" w:cs="Arial"/>
          <w:sz w:val="24"/>
        </w:rPr>
      </w:pPr>
      <w:r w:rsidRPr="0033398F">
        <w:rPr>
          <w:rFonts w:ascii="Arial" w:hAnsi="Arial" w:cs="Arial"/>
          <w:sz w:val="24"/>
        </w:rPr>
        <w:t>Capital Employed</w:t>
      </w:r>
      <w:r>
        <w:rPr>
          <w:rFonts w:ascii="Arial" w:hAnsi="Arial" w:cs="Arial"/>
          <w:sz w:val="24"/>
        </w:rPr>
        <w:t>= total assets (6.6%)- current liabilities (14.3%). The analysis of the bottom part of ROCE tells us that the company’s assets increased, however the liabilities risen even more-which means that Rangemaster have more to pay in overdrafts or other payables compare to 2018.</w:t>
      </w:r>
    </w:p>
    <w:p w:rsidR="00DC4AC7" w:rsidRDefault="00DC4AC7" w:rsidP="00DC4AC7">
      <w:pPr>
        <w:rPr>
          <w:rFonts w:ascii="Arial" w:hAnsi="Arial" w:cs="Arial"/>
          <w:sz w:val="24"/>
        </w:rPr>
      </w:pPr>
      <w:r>
        <w:rPr>
          <w:rFonts w:ascii="Arial" w:hAnsi="Arial" w:cs="Arial"/>
          <w:sz w:val="24"/>
        </w:rPr>
        <w:t>The company need to plan how to cut its cost of sales.</w:t>
      </w:r>
    </w:p>
    <w:p w:rsidR="00DC4AC7" w:rsidRDefault="00DC4AC7" w:rsidP="00DC4AC7">
      <w:pPr>
        <w:rPr>
          <w:rFonts w:ascii="Arial" w:hAnsi="Arial" w:cs="Arial"/>
          <w:sz w:val="24"/>
        </w:rPr>
      </w:pPr>
    </w:p>
    <w:p w:rsidR="00DC4AC7" w:rsidRPr="00052D55" w:rsidRDefault="00DC4AC7" w:rsidP="00DC4AC7">
      <w:pPr>
        <w:rPr>
          <w:rFonts w:ascii="Arial" w:hAnsi="Arial" w:cs="Arial"/>
          <w:sz w:val="24"/>
          <w:lang w:val="en-US"/>
        </w:rPr>
      </w:pPr>
      <w:r w:rsidRPr="00D43916">
        <w:rPr>
          <w:rFonts w:ascii="Arial" w:hAnsi="Arial" w:cs="Arial"/>
          <w:b/>
          <w:sz w:val="24"/>
        </w:rPr>
        <w:t>Asset</w:t>
      </w:r>
      <w:r>
        <w:rPr>
          <w:rFonts w:ascii="Arial" w:hAnsi="Arial" w:cs="Arial"/>
          <w:sz w:val="24"/>
        </w:rPr>
        <w:t xml:space="preserve"> turnover indicates to the revenue earned per £1</w:t>
      </w:r>
      <w:r>
        <w:rPr>
          <w:rFonts w:ascii="Arial" w:hAnsi="Arial" w:cs="Arial"/>
          <w:sz w:val="24"/>
          <w:lang w:val="en-US"/>
        </w:rPr>
        <w:t xml:space="preserve"> of Capital employed </w:t>
      </w:r>
    </w:p>
    <w:tbl>
      <w:tblPr>
        <w:tblStyle w:val="a3"/>
        <w:tblW w:w="9025" w:type="dxa"/>
        <w:tblLayout w:type="fixed"/>
        <w:tblLook w:val="04A0" w:firstRow="1" w:lastRow="0" w:firstColumn="1" w:lastColumn="0" w:noHBand="0" w:noVBand="1"/>
      </w:tblPr>
      <w:tblGrid>
        <w:gridCol w:w="1805"/>
        <w:gridCol w:w="1805"/>
        <w:gridCol w:w="1805"/>
        <w:gridCol w:w="1805"/>
        <w:gridCol w:w="1805"/>
      </w:tblGrid>
      <w:tr w:rsidR="00DC4AC7" w:rsidTr="009A20AD">
        <w:trPr>
          <w:trHeight w:val="300"/>
        </w:trPr>
        <w:tc>
          <w:tcPr>
            <w:tcW w:w="1805" w:type="dxa"/>
            <w:shd w:val="clear" w:color="auto" w:fill="FFFF00"/>
          </w:tcPr>
          <w:p w:rsidR="00DC4AC7" w:rsidRDefault="00DC4AC7" w:rsidP="009A20AD">
            <w:pPr>
              <w:rPr>
                <w:rFonts w:ascii="Calibri" w:eastAsia="Calibri" w:hAnsi="Calibri" w:cs="Calibri"/>
                <w:b/>
                <w:bCs/>
                <w:color w:val="000000" w:themeColor="text1"/>
                <w:sz w:val="24"/>
                <w:szCs w:val="24"/>
              </w:rPr>
            </w:pPr>
            <w:r w:rsidRPr="4B444336">
              <w:rPr>
                <w:rFonts w:ascii="Calibri" w:eastAsia="Calibri" w:hAnsi="Calibri" w:cs="Calibri"/>
                <w:b/>
                <w:bCs/>
                <w:color w:val="000000" w:themeColor="text1"/>
                <w:sz w:val="24"/>
                <w:szCs w:val="24"/>
              </w:rPr>
              <w:t>Profitability</w:t>
            </w:r>
          </w:p>
        </w:tc>
        <w:tc>
          <w:tcPr>
            <w:tcW w:w="1805" w:type="dxa"/>
            <w:shd w:val="clear" w:color="auto" w:fill="FFFF00"/>
          </w:tcPr>
          <w:p w:rsidR="00DC4AC7" w:rsidRDefault="00DC4AC7" w:rsidP="009A20AD">
            <w:pPr>
              <w:rPr>
                <w:rFonts w:ascii="Calibri" w:eastAsia="Calibri" w:hAnsi="Calibri" w:cs="Calibri"/>
                <w:b/>
                <w:bCs/>
                <w:color w:val="000000" w:themeColor="text1"/>
              </w:rPr>
            </w:pPr>
            <w:r w:rsidRPr="4B444336">
              <w:rPr>
                <w:rFonts w:ascii="Calibri" w:eastAsia="Calibri" w:hAnsi="Calibri" w:cs="Calibri"/>
                <w:b/>
                <w:bCs/>
                <w:color w:val="000000" w:themeColor="text1"/>
              </w:rPr>
              <w:t>2019</w:t>
            </w:r>
          </w:p>
        </w:tc>
        <w:tc>
          <w:tcPr>
            <w:tcW w:w="1805" w:type="dxa"/>
            <w:shd w:val="clear" w:color="auto" w:fill="FFFF00"/>
          </w:tcPr>
          <w:p w:rsidR="00DC4AC7" w:rsidRDefault="00DC4AC7" w:rsidP="009A20AD">
            <w:pPr>
              <w:rPr>
                <w:rFonts w:ascii="Calibri" w:eastAsia="Calibri" w:hAnsi="Calibri" w:cs="Calibri"/>
                <w:b/>
                <w:bCs/>
                <w:color w:val="000000" w:themeColor="text1"/>
              </w:rPr>
            </w:pPr>
            <w:r w:rsidRPr="4B444336">
              <w:rPr>
                <w:rFonts w:ascii="Calibri" w:eastAsia="Calibri" w:hAnsi="Calibri" w:cs="Calibri"/>
                <w:b/>
                <w:bCs/>
                <w:color w:val="000000" w:themeColor="text1"/>
              </w:rPr>
              <w:t>2018</w:t>
            </w:r>
          </w:p>
        </w:tc>
        <w:tc>
          <w:tcPr>
            <w:tcW w:w="1805" w:type="dxa"/>
            <w:shd w:val="clear" w:color="auto" w:fill="FFFF00"/>
          </w:tcPr>
          <w:p w:rsidR="00DC4AC7" w:rsidRDefault="00DC4AC7" w:rsidP="009A20AD">
            <w:pPr>
              <w:rPr>
                <w:rFonts w:ascii="Calibri" w:eastAsia="Calibri" w:hAnsi="Calibri" w:cs="Calibri"/>
                <w:b/>
                <w:bCs/>
                <w:color w:val="000000" w:themeColor="text1"/>
              </w:rPr>
            </w:pPr>
            <w:r w:rsidRPr="4B444336">
              <w:rPr>
                <w:rFonts w:ascii="Calibri" w:eastAsia="Calibri" w:hAnsi="Calibri" w:cs="Calibri"/>
                <w:b/>
                <w:bCs/>
                <w:color w:val="000000" w:themeColor="text1"/>
              </w:rPr>
              <w:t>Difference</w:t>
            </w:r>
          </w:p>
        </w:tc>
        <w:tc>
          <w:tcPr>
            <w:tcW w:w="1805" w:type="dxa"/>
            <w:shd w:val="clear" w:color="auto" w:fill="FFFF00"/>
          </w:tcPr>
          <w:p w:rsidR="00DC4AC7" w:rsidRDefault="00DC4AC7" w:rsidP="009A20AD">
            <w:pPr>
              <w:rPr>
                <w:rFonts w:ascii="Calibri" w:eastAsia="Calibri" w:hAnsi="Calibri" w:cs="Calibri"/>
                <w:b/>
                <w:bCs/>
                <w:color w:val="000000" w:themeColor="text1"/>
              </w:rPr>
            </w:pPr>
            <w:r w:rsidRPr="4B444336">
              <w:rPr>
                <w:rFonts w:ascii="Calibri" w:eastAsia="Calibri" w:hAnsi="Calibri" w:cs="Calibri"/>
                <w:b/>
                <w:bCs/>
                <w:color w:val="000000" w:themeColor="text1"/>
              </w:rPr>
              <w:t>Performance (%)</w:t>
            </w:r>
          </w:p>
        </w:tc>
      </w:tr>
      <w:tr w:rsidR="00DC4AC7" w:rsidTr="009A20AD">
        <w:trPr>
          <w:trHeight w:val="300"/>
        </w:trPr>
        <w:tc>
          <w:tcPr>
            <w:tcW w:w="1805" w:type="dxa"/>
          </w:tcPr>
          <w:p w:rsidR="00DC4AC7" w:rsidRDefault="00DC4AC7" w:rsidP="009A20AD">
            <w:pPr>
              <w:rPr>
                <w:rFonts w:ascii="Calibri" w:eastAsia="Calibri" w:hAnsi="Calibri" w:cs="Calibri"/>
                <w:color w:val="000000" w:themeColor="text1"/>
              </w:rPr>
            </w:pPr>
            <w:r w:rsidRPr="4B444336">
              <w:rPr>
                <w:rFonts w:ascii="Calibri" w:eastAsia="Calibri" w:hAnsi="Calibri" w:cs="Calibri"/>
                <w:color w:val="000000" w:themeColor="text1"/>
              </w:rPr>
              <w:t>Asset turnover</w:t>
            </w:r>
          </w:p>
        </w:tc>
        <w:tc>
          <w:tcPr>
            <w:tcW w:w="1805" w:type="dxa"/>
          </w:tcPr>
          <w:p w:rsidR="00DC4AC7" w:rsidRDefault="00DC4AC7" w:rsidP="009A20AD">
            <w:pPr>
              <w:jc w:val="right"/>
            </w:pPr>
            <w:r w:rsidRPr="4B444336">
              <w:rPr>
                <w:rFonts w:ascii="Calibri" w:eastAsia="Calibri" w:hAnsi="Calibri" w:cs="Calibri"/>
                <w:color w:val="000000" w:themeColor="text1"/>
              </w:rPr>
              <w:t>1.8</w:t>
            </w:r>
          </w:p>
        </w:tc>
        <w:tc>
          <w:tcPr>
            <w:tcW w:w="1805" w:type="dxa"/>
          </w:tcPr>
          <w:p w:rsidR="00DC4AC7" w:rsidRDefault="00DC4AC7" w:rsidP="009A20AD">
            <w:pPr>
              <w:jc w:val="right"/>
            </w:pPr>
            <w:r w:rsidRPr="4B444336">
              <w:rPr>
                <w:rFonts w:ascii="Calibri" w:eastAsia="Calibri" w:hAnsi="Calibri" w:cs="Calibri"/>
                <w:color w:val="000000" w:themeColor="text1"/>
              </w:rPr>
              <w:t>1.7</w:t>
            </w:r>
          </w:p>
        </w:tc>
        <w:tc>
          <w:tcPr>
            <w:tcW w:w="1805" w:type="dxa"/>
          </w:tcPr>
          <w:p w:rsidR="00DC4AC7" w:rsidRDefault="00DC4AC7" w:rsidP="009A20AD">
            <w:pPr>
              <w:jc w:val="right"/>
            </w:pPr>
            <w:r w:rsidRPr="4B444336">
              <w:rPr>
                <w:rFonts w:ascii="Calibri" w:eastAsia="Calibri" w:hAnsi="Calibri" w:cs="Calibri"/>
                <w:color w:val="000000" w:themeColor="text1"/>
              </w:rPr>
              <w:t>0.1</w:t>
            </w:r>
          </w:p>
        </w:tc>
        <w:tc>
          <w:tcPr>
            <w:tcW w:w="1805" w:type="dxa"/>
          </w:tcPr>
          <w:p w:rsidR="00DC4AC7" w:rsidRDefault="00DC4AC7" w:rsidP="009A20AD">
            <w:pPr>
              <w:jc w:val="right"/>
            </w:pPr>
            <w:r w:rsidRPr="4B444336">
              <w:rPr>
                <w:rFonts w:ascii="Calibri" w:eastAsia="Calibri" w:hAnsi="Calibri" w:cs="Calibri"/>
                <w:color w:val="000000" w:themeColor="text1"/>
              </w:rPr>
              <w:t>5.9</w:t>
            </w:r>
          </w:p>
        </w:tc>
      </w:tr>
    </w:tbl>
    <w:p w:rsidR="00DC4AC7" w:rsidRDefault="00DC4AC7" w:rsidP="00DC4AC7">
      <w:pPr>
        <w:rPr>
          <w:rFonts w:ascii="Arial" w:hAnsi="Arial" w:cs="Arial"/>
          <w:sz w:val="24"/>
        </w:rPr>
      </w:pPr>
      <w:r>
        <w:rPr>
          <w:rFonts w:ascii="Arial" w:hAnsi="Arial" w:cs="Arial"/>
          <w:sz w:val="24"/>
        </w:rPr>
        <w:t>Asset turnover has raised which indicated that the company generate 1,8pence profit for every £1 asset invested. This is a positive sign which show that company is operated efficiently and the performance is improved with nearly 6%.</w:t>
      </w:r>
    </w:p>
    <w:p w:rsidR="00DC4AC7" w:rsidRDefault="00DC4AC7" w:rsidP="00DC4AC7">
      <w:pPr>
        <w:jc w:val="center"/>
        <w:rPr>
          <w:rFonts w:ascii="Arial" w:hAnsi="Arial" w:cs="Arial"/>
          <w:sz w:val="24"/>
        </w:rPr>
      </w:pPr>
      <w:r>
        <w:rPr>
          <w:rFonts w:ascii="Arial" w:hAnsi="Arial" w:cs="Arial"/>
          <w:sz w:val="24"/>
        </w:rPr>
        <w:t>3</w:t>
      </w:r>
    </w:p>
    <w:p w:rsidR="0032108E" w:rsidRDefault="0032108E" w:rsidP="00DC4AC7">
      <w:pPr>
        <w:rPr>
          <w:rFonts w:ascii="Arial" w:hAnsi="Arial" w:cs="Arial"/>
          <w:sz w:val="24"/>
        </w:rPr>
      </w:pPr>
    </w:p>
    <w:p w:rsidR="00DC4AC7" w:rsidRDefault="00DC4AC7" w:rsidP="00DC4AC7">
      <w:pPr>
        <w:rPr>
          <w:rFonts w:ascii="Arial" w:hAnsi="Arial" w:cs="Arial"/>
          <w:sz w:val="24"/>
        </w:rPr>
      </w:pPr>
      <w:r w:rsidRPr="0033398F">
        <w:rPr>
          <w:rFonts w:ascii="Arial" w:hAnsi="Arial" w:cs="Arial"/>
          <w:sz w:val="24"/>
        </w:rPr>
        <w:lastRenderedPageBreak/>
        <w:t>Asset turnover</w:t>
      </w:r>
      <w:r w:rsidRPr="00D43916">
        <w:rPr>
          <w:rFonts w:ascii="Arial" w:hAnsi="Arial" w:cs="Arial"/>
          <w:sz w:val="24"/>
        </w:rPr>
        <w:t>=</w:t>
      </w:r>
      <w:r>
        <w:rPr>
          <w:rFonts w:ascii="Arial" w:hAnsi="Arial" w:cs="Arial"/>
          <w:sz w:val="24"/>
        </w:rPr>
        <w:t xml:space="preserve"> Revenue (+9.9%) / Capital employed (+3.8%)</w:t>
      </w:r>
    </w:p>
    <w:p w:rsidR="00DC4AC7" w:rsidRDefault="00DC4AC7" w:rsidP="00DC4AC7">
      <w:pPr>
        <w:rPr>
          <w:rFonts w:ascii="Arial" w:hAnsi="Arial" w:cs="Arial"/>
          <w:sz w:val="24"/>
        </w:rPr>
      </w:pPr>
      <w:r>
        <w:rPr>
          <w:rFonts w:ascii="Arial" w:hAnsi="Arial" w:cs="Arial"/>
          <w:sz w:val="24"/>
        </w:rPr>
        <w:t>Both ratios increased compare to previous year 2018. Here, there are only three elements available to analyse. The break down for sales revenue is not provided by the financial statement and that is the reason why the analyse will be limited. However, we still made some analytical comments on what we have so far. Additionally, the capital employed also improved and those are positive outcomes all around.</w:t>
      </w:r>
    </w:p>
    <w:p w:rsidR="00DC4AC7" w:rsidRDefault="00DC4AC7" w:rsidP="00DC4AC7">
      <w:pPr>
        <w:rPr>
          <w:rFonts w:ascii="Arial" w:hAnsi="Arial" w:cs="Arial"/>
          <w:sz w:val="24"/>
          <w:lang w:val="en-US"/>
        </w:rPr>
      </w:pPr>
      <w:r w:rsidRPr="0033398F">
        <w:rPr>
          <w:rFonts w:ascii="Arial" w:hAnsi="Arial" w:cs="Arial"/>
          <w:b/>
          <w:sz w:val="24"/>
        </w:rPr>
        <w:t>Gross profit</w:t>
      </w:r>
      <w:r>
        <w:rPr>
          <w:rFonts w:ascii="Arial" w:hAnsi="Arial" w:cs="Arial"/>
          <w:sz w:val="24"/>
        </w:rPr>
        <w:t xml:space="preserve"> margin shows how well the firm bought and sell or how much gross profit make for every £1</w:t>
      </w:r>
      <w:r>
        <w:rPr>
          <w:rFonts w:ascii="Arial" w:hAnsi="Arial" w:cs="Arial"/>
          <w:sz w:val="24"/>
          <w:lang w:val="en-US"/>
        </w:rPr>
        <w:t xml:space="preserve"> of its sales.</w:t>
      </w:r>
    </w:p>
    <w:tbl>
      <w:tblPr>
        <w:tblStyle w:val="a3"/>
        <w:tblW w:w="9025" w:type="dxa"/>
        <w:tblLayout w:type="fixed"/>
        <w:tblLook w:val="04A0" w:firstRow="1" w:lastRow="0" w:firstColumn="1" w:lastColumn="0" w:noHBand="0" w:noVBand="1"/>
      </w:tblPr>
      <w:tblGrid>
        <w:gridCol w:w="1805"/>
        <w:gridCol w:w="1805"/>
        <w:gridCol w:w="1805"/>
        <w:gridCol w:w="1805"/>
        <w:gridCol w:w="1805"/>
      </w:tblGrid>
      <w:tr w:rsidR="00DC4AC7" w:rsidTr="009A20AD">
        <w:trPr>
          <w:trHeight w:val="300"/>
        </w:trPr>
        <w:tc>
          <w:tcPr>
            <w:tcW w:w="1805" w:type="dxa"/>
            <w:shd w:val="clear" w:color="auto" w:fill="FFFF00"/>
          </w:tcPr>
          <w:p w:rsidR="00DC4AC7" w:rsidRDefault="00DC4AC7" w:rsidP="009A20AD">
            <w:pPr>
              <w:rPr>
                <w:rFonts w:ascii="Calibri" w:eastAsia="Calibri" w:hAnsi="Calibri" w:cs="Calibri"/>
                <w:b/>
                <w:bCs/>
                <w:color w:val="000000" w:themeColor="text1"/>
                <w:sz w:val="24"/>
                <w:szCs w:val="24"/>
              </w:rPr>
            </w:pPr>
            <w:r w:rsidRPr="4B444336">
              <w:rPr>
                <w:rFonts w:ascii="Calibri" w:eastAsia="Calibri" w:hAnsi="Calibri" w:cs="Calibri"/>
                <w:b/>
                <w:bCs/>
                <w:color w:val="000000" w:themeColor="text1"/>
                <w:sz w:val="24"/>
                <w:szCs w:val="24"/>
              </w:rPr>
              <w:t>Profitability</w:t>
            </w:r>
          </w:p>
        </w:tc>
        <w:tc>
          <w:tcPr>
            <w:tcW w:w="1805" w:type="dxa"/>
            <w:shd w:val="clear" w:color="auto" w:fill="FFFF00"/>
          </w:tcPr>
          <w:p w:rsidR="00DC4AC7" w:rsidRDefault="00DC4AC7" w:rsidP="009A20AD">
            <w:pPr>
              <w:rPr>
                <w:rFonts w:ascii="Calibri" w:eastAsia="Calibri" w:hAnsi="Calibri" w:cs="Calibri"/>
                <w:b/>
                <w:bCs/>
                <w:color w:val="000000" w:themeColor="text1"/>
              </w:rPr>
            </w:pPr>
            <w:r w:rsidRPr="4B444336">
              <w:rPr>
                <w:rFonts w:ascii="Calibri" w:eastAsia="Calibri" w:hAnsi="Calibri" w:cs="Calibri"/>
                <w:b/>
                <w:bCs/>
                <w:color w:val="000000" w:themeColor="text1"/>
              </w:rPr>
              <w:t>2019</w:t>
            </w:r>
          </w:p>
        </w:tc>
        <w:tc>
          <w:tcPr>
            <w:tcW w:w="1805" w:type="dxa"/>
            <w:shd w:val="clear" w:color="auto" w:fill="FFFF00"/>
          </w:tcPr>
          <w:p w:rsidR="00DC4AC7" w:rsidRDefault="00DC4AC7" w:rsidP="009A20AD">
            <w:pPr>
              <w:rPr>
                <w:rFonts w:ascii="Calibri" w:eastAsia="Calibri" w:hAnsi="Calibri" w:cs="Calibri"/>
                <w:b/>
                <w:bCs/>
                <w:color w:val="000000" w:themeColor="text1"/>
              </w:rPr>
            </w:pPr>
            <w:r w:rsidRPr="4B444336">
              <w:rPr>
                <w:rFonts w:ascii="Calibri" w:eastAsia="Calibri" w:hAnsi="Calibri" w:cs="Calibri"/>
                <w:b/>
                <w:bCs/>
                <w:color w:val="000000" w:themeColor="text1"/>
              </w:rPr>
              <w:t>2018</w:t>
            </w:r>
          </w:p>
        </w:tc>
        <w:tc>
          <w:tcPr>
            <w:tcW w:w="1805" w:type="dxa"/>
            <w:shd w:val="clear" w:color="auto" w:fill="FFFF00"/>
          </w:tcPr>
          <w:p w:rsidR="00DC4AC7" w:rsidRDefault="00DC4AC7" w:rsidP="009A20AD">
            <w:pPr>
              <w:rPr>
                <w:rFonts w:ascii="Calibri" w:eastAsia="Calibri" w:hAnsi="Calibri" w:cs="Calibri"/>
                <w:b/>
                <w:bCs/>
                <w:color w:val="000000" w:themeColor="text1"/>
              </w:rPr>
            </w:pPr>
            <w:r w:rsidRPr="4B444336">
              <w:rPr>
                <w:rFonts w:ascii="Calibri" w:eastAsia="Calibri" w:hAnsi="Calibri" w:cs="Calibri"/>
                <w:b/>
                <w:bCs/>
                <w:color w:val="000000" w:themeColor="text1"/>
              </w:rPr>
              <w:t>Difference</w:t>
            </w:r>
          </w:p>
        </w:tc>
        <w:tc>
          <w:tcPr>
            <w:tcW w:w="1805" w:type="dxa"/>
            <w:shd w:val="clear" w:color="auto" w:fill="FFFF00"/>
          </w:tcPr>
          <w:p w:rsidR="00DC4AC7" w:rsidRDefault="00DC4AC7" w:rsidP="009A20AD">
            <w:pPr>
              <w:rPr>
                <w:rFonts w:ascii="Calibri" w:eastAsia="Calibri" w:hAnsi="Calibri" w:cs="Calibri"/>
                <w:b/>
                <w:bCs/>
                <w:color w:val="000000" w:themeColor="text1"/>
              </w:rPr>
            </w:pPr>
            <w:r w:rsidRPr="4B444336">
              <w:rPr>
                <w:rFonts w:ascii="Calibri" w:eastAsia="Calibri" w:hAnsi="Calibri" w:cs="Calibri"/>
                <w:b/>
                <w:bCs/>
                <w:color w:val="000000" w:themeColor="text1"/>
              </w:rPr>
              <w:t>Performance (%)</w:t>
            </w:r>
          </w:p>
        </w:tc>
      </w:tr>
      <w:tr w:rsidR="00DC4AC7" w:rsidTr="009A20AD">
        <w:trPr>
          <w:trHeight w:val="300"/>
        </w:trPr>
        <w:tc>
          <w:tcPr>
            <w:tcW w:w="1805" w:type="dxa"/>
          </w:tcPr>
          <w:p w:rsidR="00DC4AC7" w:rsidRDefault="00DC4AC7" w:rsidP="009A20AD">
            <w:pPr>
              <w:rPr>
                <w:rFonts w:ascii="Calibri" w:eastAsia="Calibri" w:hAnsi="Calibri" w:cs="Calibri"/>
                <w:color w:val="000000" w:themeColor="text1"/>
              </w:rPr>
            </w:pPr>
            <w:r w:rsidRPr="4B444336">
              <w:rPr>
                <w:rFonts w:ascii="Calibri" w:eastAsia="Calibri" w:hAnsi="Calibri" w:cs="Calibri"/>
                <w:color w:val="000000" w:themeColor="text1"/>
              </w:rPr>
              <w:t>Gross profit %</w:t>
            </w:r>
          </w:p>
        </w:tc>
        <w:tc>
          <w:tcPr>
            <w:tcW w:w="1805" w:type="dxa"/>
          </w:tcPr>
          <w:p w:rsidR="00DC4AC7" w:rsidRDefault="00DC4AC7" w:rsidP="009A20AD">
            <w:pPr>
              <w:jc w:val="right"/>
            </w:pPr>
            <w:r w:rsidRPr="4B444336">
              <w:rPr>
                <w:rFonts w:ascii="Calibri" w:eastAsia="Calibri" w:hAnsi="Calibri" w:cs="Calibri"/>
                <w:color w:val="000000" w:themeColor="text1"/>
              </w:rPr>
              <w:t>26.8</w:t>
            </w:r>
          </w:p>
        </w:tc>
        <w:tc>
          <w:tcPr>
            <w:tcW w:w="1805" w:type="dxa"/>
          </w:tcPr>
          <w:p w:rsidR="00DC4AC7" w:rsidRDefault="00DC4AC7" w:rsidP="009A20AD">
            <w:pPr>
              <w:jc w:val="right"/>
            </w:pPr>
            <w:r w:rsidRPr="4B444336">
              <w:rPr>
                <w:rFonts w:ascii="Calibri" w:eastAsia="Calibri" w:hAnsi="Calibri" w:cs="Calibri"/>
                <w:color w:val="000000" w:themeColor="text1"/>
              </w:rPr>
              <w:t>26.81</w:t>
            </w:r>
          </w:p>
        </w:tc>
        <w:tc>
          <w:tcPr>
            <w:tcW w:w="1805" w:type="dxa"/>
          </w:tcPr>
          <w:p w:rsidR="00DC4AC7" w:rsidRDefault="00DC4AC7" w:rsidP="009A20AD">
            <w:pPr>
              <w:jc w:val="right"/>
            </w:pPr>
            <w:r w:rsidRPr="4B444336">
              <w:rPr>
                <w:rFonts w:ascii="Calibri" w:eastAsia="Calibri" w:hAnsi="Calibri" w:cs="Calibri"/>
                <w:color w:val="000000" w:themeColor="text1"/>
              </w:rPr>
              <w:t>-0.01</w:t>
            </w:r>
          </w:p>
        </w:tc>
        <w:tc>
          <w:tcPr>
            <w:tcW w:w="1805" w:type="dxa"/>
          </w:tcPr>
          <w:p w:rsidR="00DC4AC7" w:rsidRDefault="00DC4AC7" w:rsidP="009A20AD">
            <w:pPr>
              <w:jc w:val="right"/>
            </w:pPr>
            <w:r w:rsidRPr="4B444336">
              <w:rPr>
                <w:rFonts w:ascii="Calibri" w:eastAsia="Calibri" w:hAnsi="Calibri" w:cs="Calibri"/>
                <w:color w:val="000000" w:themeColor="text1"/>
              </w:rPr>
              <w:t>-0.01</w:t>
            </w:r>
          </w:p>
        </w:tc>
      </w:tr>
    </w:tbl>
    <w:p w:rsidR="00DC4AC7" w:rsidRDefault="00DC4AC7" w:rsidP="00DC4AC7">
      <w:pPr>
        <w:rPr>
          <w:rFonts w:ascii="Arial" w:hAnsi="Arial" w:cs="Arial"/>
          <w:sz w:val="24"/>
          <w:lang w:val="en-US"/>
        </w:rPr>
      </w:pPr>
      <w:r>
        <w:rPr>
          <w:rFonts w:ascii="Arial" w:hAnsi="Arial" w:cs="Arial"/>
          <w:sz w:val="24"/>
          <w:lang w:val="en-US"/>
        </w:rPr>
        <w:t>The gross profit margin is a common size ratio which, especially, a small business owner should pay more attention. For Rangemaster, Gross profit turnover stays in the same level as in previous year, even drop with minor figure. Even though, this minor decline seems safe, staying at the same level is not a positive sign for the firm.</w:t>
      </w:r>
    </w:p>
    <w:p w:rsidR="00DC4AC7" w:rsidRDefault="00DC4AC7" w:rsidP="00DC4AC7">
      <w:pPr>
        <w:rPr>
          <w:rFonts w:ascii="Arial" w:hAnsi="Arial" w:cs="Arial"/>
          <w:sz w:val="24"/>
          <w:lang w:val="en-US"/>
        </w:rPr>
      </w:pPr>
      <w:r>
        <w:rPr>
          <w:rFonts w:ascii="Arial" w:hAnsi="Arial" w:cs="Arial"/>
          <w:sz w:val="24"/>
          <w:lang w:val="en-US"/>
        </w:rPr>
        <w:t>Gross profit turnover = Gross profit (+9.8%) / Revenue (+9.9%) x100</w:t>
      </w:r>
    </w:p>
    <w:p w:rsidR="00DC4AC7" w:rsidRDefault="00DC4AC7" w:rsidP="00DC4AC7">
      <w:pPr>
        <w:rPr>
          <w:rFonts w:ascii="Arial" w:hAnsi="Arial" w:cs="Arial"/>
          <w:sz w:val="24"/>
          <w:lang w:val="en-US"/>
        </w:rPr>
      </w:pPr>
      <w:r>
        <w:rPr>
          <w:rFonts w:ascii="Arial" w:hAnsi="Arial" w:cs="Arial"/>
          <w:sz w:val="24"/>
          <w:lang w:val="en-US"/>
        </w:rPr>
        <w:t>Although the growth of the Gross profit margin with 9.8%, it is clear that the sales revenue or the supply costs of “goods” also increased even more (0.01%) so both margins “overlap” each other with no progression. Due to lack of detailed information about the sales the analyses couldn’t go any further.</w:t>
      </w:r>
    </w:p>
    <w:p w:rsidR="00DC4AC7" w:rsidRDefault="00DC4AC7" w:rsidP="00DC4AC7">
      <w:pPr>
        <w:rPr>
          <w:rFonts w:ascii="Arial" w:hAnsi="Arial" w:cs="Arial"/>
          <w:sz w:val="24"/>
          <w:lang w:val="en-US"/>
        </w:rPr>
      </w:pPr>
      <w:r w:rsidRPr="005B3E40">
        <w:rPr>
          <w:rFonts w:ascii="Arial" w:hAnsi="Arial" w:cs="Arial"/>
          <w:b/>
          <w:sz w:val="24"/>
          <w:lang w:val="en-US"/>
        </w:rPr>
        <w:t>Net Operating Profit</w:t>
      </w:r>
      <w:r>
        <w:rPr>
          <w:rFonts w:ascii="Arial" w:hAnsi="Arial" w:cs="Arial"/>
          <w:sz w:val="24"/>
          <w:lang w:val="en-US"/>
        </w:rPr>
        <w:t xml:space="preserve"> margin indicates to the profit earned by firm’s operations in relation with the revenue generated.</w:t>
      </w:r>
    </w:p>
    <w:tbl>
      <w:tblPr>
        <w:tblStyle w:val="a3"/>
        <w:tblW w:w="9025" w:type="dxa"/>
        <w:tblLayout w:type="fixed"/>
        <w:tblLook w:val="04A0" w:firstRow="1" w:lastRow="0" w:firstColumn="1" w:lastColumn="0" w:noHBand="0" w:noVBand="1"/>
      </w:tblPr>
      <w:tblGrid>
        <w:gridCol w:w="1805"/>
        <w:gridCol w:w="1805"/>
        <w:gridCol w:w="1805"/>
        <w:gridCol w:w="1805"/>
        <w:gridCol w:w="1805"/>
      </w:tblGrid>
      <w:tr w:rsidR="00DC4AC7" w:rsidTr="009A20AD">
        <w:trPr>
          <w:trHeight w:val="300"/>
        </w:trPr>
        <w:tc>
          <w:tcPr>
            <w:tcW w:w="1805" w:type="dxa"/>
            <w:shd w:val="clear" w:color="auto" w:fill="FFFF00"/>
          </w:tcPr>
          <w:p w:rsidR="00DC4AC7" w:rsidRDefault="00DC4AC7" w:rsidP="009A20AD">
            <w:pPr>
              <w:rPr>
                <w:rFonts w:ascii="Calibri" w:eastAsia="Calibri" w:hAnsi="Calibri" w:cs="Calibri"/>
                <w:b/>
                <w:bCs/>
                <w:color w:val="000000" w:themeColor="text1"/>
                <w:sz w:val="24"/>
                <w:szCs w:val="24"/>
              </w:rPr>
            </w:pPr>
            <w:r w:rsidRPr="4B444336">
              <w:rPr>
                <w:rFonts w:ascii="Calibri" w:eastAsia="Calibri" w:hAnsi="Calibri" w:cs="Calibri"/>
                <w:b/>
                <w:bCs/>
                <w:color w:val="000000" w:themeColor="text1"/>
                <w:sz w:val="24"/>
                <w:szCs w:val="24"/>
              </w:rPr>
              <w:t>Profitability</w:t>
            </w:r>
          </w:p>
        </w:tc>
        <w:tc>
          <w:tcPr>
            <w:tcW w:w="1805" w:type="dxa"/>
            <w:shd w:val="clear" w:color="auto" w:fill="FFFF00"/>
          </w:tcPr>
          <w:p w:rsidR="00DC4AC7" w:rsidRDefault="00DC4AC7" w:rsidP="009A20AD">
            <w:pPr>
              <w:rPr>
                <w:rFonts w:ascii="Calibri" w:eastAsia="Calibri" w:hAnsi="Calibri" w:cs="Calibri"/>
                <w:b/>
                <w:bCs/>
                <w:color w:val="000000" w:themeColor="text1"/>
              </w:rPr>
            </w:pPr>
            <w:r w:rsidRPr="4B444336">
              <w:rPr>
                <w:rFonts w:ascii="Calibri" w:eastAsia="Calibri" w:hAnsi="Calibri" w:cs="Calibri"/>
                <w:b/>
                <w:bCs/>
                <w:color w:val="000000" w:themeColor="text1"/>
              </w:rPr>
              <w:t>2019</w:t>
            </w:r>
          </w:p>
        </w:tc>
        <w:tc>
          <w:tcPr>
            <w:tcW w:w="1805" w:type="dxa"/>
            <w:shd w:val="clear" w:color="auto" w:fill="FFFF00"/>
          </w:tcPr>
          <w:p w:rsidR="00DC4AC7" w:rsidRDefault="00DC4AC7" w:rsidP="009A20AD">
            <w:pPr>
              <w:rPr>
                <w:rFonts w:ascii="Calibri" w:eastAsia="Calibri" w:hAnsi="Calibri" w:cs="Calibri"/>
                <w:b/>
                <w:bCs/>
                <w:color w:val="000000" w:themeColor="text1"/>
              </w:rPr>
            </w:pPr>
            <w:r w:rsidRPr="4B444336">
              <w:rPr>
                <w:rFonts w:ascii="Calibri" w:eastAsia="Calibri" w:hAnsi="Calibri" w:cs="Calibri"/>
                <w:b/>
                <w:bCs/>
                <w:color w:val="000000" w:themeColor="text1"/>
              </w:rPr>
              <w:t>2018</w:t>
            </w:r>
          </w:p>
        </w:tc>
        <w:tc>
          <w:tcPr>
            <w:tcW w:w="1805" w:type="dxa"/>
            <w:shd w:val="clear" w:color="auto" w:fill="FFFF00"/>
          </w:tcPr>
          <w:p w:rsidR="00DC4AC7" w:rsidRDefault="00DC4AC7" w:rsidP="009A20AD">
            <w:pPr>
              <w:rPr>
                <w:rFonts w:ascii="Calibri" w:eastAsia="Calibri" w:hAnsi="Calibri" w:cs="Calibri"/>
                <w:b/>
                <w:bCs/>
                <w:color w:val="000000" w:themeColor="text1"/>
              </w:rPr>
            </w:pPr>
            <w:r w:rsidRPr="4B444336">
              <w:rPr>
                <w:rFonts w:ascii="Calibri" w:eastAsia="Calibri" w:hAnsi="Calibri" w:cs="Calibri"/>
                <w:b/>
                <w:bCs/>
                <w:color w:val="000000" w:themeColor="text1"/>
              </w:rPr>
              <w:t>Difference</w:t>
            </w:r>
          </w:p>
        </w:tc>
        <w:tc>
          <w:tcPr>
            <w:tcW w:w="1805" w:type="dxa"/>
            <w:shd w:val="clear" w:color="auto" w:fill="FFFF00"/>
          </w:tcPr>
          <w:p w:rsidR="00DC4AC7" w:rsidRDefault="00DC4AC7" w:rsidP="009A20AD">
            <w:pPr>
              <w:rPr>
                <w:rFonts w:ascii="Calibri" w:eastAsia="Calibri" w:hAnsi="Calibri" w:cs="Calibri"/>
                <w:b/>
                <w:bCs/>
                <w:color w:val="000000" w:themeColor="text1"/>
              </w:rPr>
            </w:pPr>
            <w:r w:rsidRPr="4B444336">
              <w:rPr>
                <w:rFonts w:ascii="Calibri" w:eastAsia="Calibri" w:hAnsi="Calibri" w:cs="Calibri"/>
                <w:b/>
                <w:bCs/>
                <w:color w:val="000000" w:themeColor="text1"/>
              </w:rPr>
              <w:t>Performance (%)</w:t>
            </w:r>
          </w:p>
        </w:tc>
      </w:tr>
      <w:tr w:rsidR="00DC4AC7" w:rsidTr="009A20AD">
        <w:trPr>
          <w:trHeight w:val="300"/>
        </w:trPr>
        <w:tc>
          <w:tcPr>
            <w:tcW w:w="1805" w:type="dxa"/>
          </w:tcPr>
          <w:p w:rsidR="00DC4AC7" w:rsidRDefault="00DC4AC7" w:rsidP="009A20AD">
            <w:pPr>
              <w:rPr>
                <w:rFonts w:ascii="Calibri" w:eastAsia="Calibri" w:hAnsi="Calibri" w:cs="Calibri"/>
                <w:color w:val="000000" w:themeColor="text1"/>
              </w:rPr>
            </w:pPr>
            <w:r w:rsidRPr="4B444336">
              <w:rPr>
                <w:rFonts w:ascii="Calibri" w:eastAsia="Calibri" w:hAnsi="Calibri" w:cs="Calibri"/>
                <w:color w:val="000000" w:themeColor="text1"/>
              </w:rPr>
              <w:t>Net operating profit %</w:t>
            </w:r>
          </w:p>
        </w:tc>
        <w:tc>
          <w:tcPr>
            <w:tcW w:w="1805" w:type="dxa"/>
          </w:tcPr>
          <w:p w:rsidR="00DC4AC7" w:rsidRDefault="00DC4AC7" w:rsidP="009A20AD">
            <w:pPr>
              <w:jc w:val="right"/>
            </w:pPr>
            <w:r w:rsidRPr="4B444336">
              <w:rPr>
                <w:rFonts w:ascii="Calibri" w:eastAsia="Calibri" w:hAnsi="Calibri" w:cs="Calibri"/>
                <w:color w:val="000000" w:themeColor="text1"/>
              </w:rPr>
              <w:t>19.2</w:t>
            </w:r>
          </w:p>
        </w:tc>
        <w:tc>
          <w:tcPr>
            <w:tcW w:w="1805" w:type="dxa"/>
          </w:tcPr>
          <w:p w:rsidR="00DC4AC7" w:rsidRDefault="00DC4AC7" w:rsidP="009A20AD">
            <w:pPr>
              <w:jc w:val="right"/>
            </w:pPr>
            <w:r w:rsidRPr="4B444336">
              <w:rPr>
                <w:rFonts w:ascii="Calibri" w:eastAsia="Calibri" w:hAnsi="Calibri" w:cs="Calibri"/>
                <w:color w:val="000000" w:themeColor="text1"/>
              </w:rPr>
              <w:t>18</w:t>
            </w:r>
          </w:p>
        </w:tc>
        <w:tc>
          <w:tcPr>
            <w:tcW w:w="1805" w:type="dxa"/>
          </w:tcPr>
          <w:p w:rsidR="00DC4AC7" w:rsidRDefault="00DC4AC7" w:rsidP="009A20AD">
            <w:pPr>
              <w:jc w:val="right"/>
            </w:pPr>
            <w:r w:rsidRPr="4B444336">
              <w:rPr>
                <w:rFonts w:ascii="Calibri" w:eastAsia="Calibri" w:hAnsi="Calibri" w:cs="Calibri"/>
                <w:color w:val="000000" w:themeColor="text1"/>
              </w:rPr>
              <w:t>1.2</w:t>
            </w:r>
          </w:p>
        </w:tc>
        <w:tc>
          <w:tcPr>
            <w:tcW w:w="1805" w:type="dxa"/>
          </w:tcPr>
          <w:p w:rsidR="00DC4AC7" w:rsidRDefault="00DC4AC7" w:rsidP="009A20AD">
            <w:pPr>
              <w:jc w:val="right"/>
            </w:pPr>
            <w:r w:rsidRPr="4B444336">
              <w:rPr>
                <w:rFonts w:ascii="Calibri" w:eastAsia="Calibri" w:hAnsi="Calibri" w:cs="Calibri"/>
                <w:color w:val="000000" w:themeColor="text1"/>
              </w:rPr>
              <w:t>1.2</w:t>
            </w:r>
          </w:p>
        </w:tc>
      </w:tr>
    </w:tbl>
    <w:p w:rsidR="00DC4AC7" w:rsidRDefault="00DC4AC7" w:rsidP="00DC4AC7">
      <w:pPr>
        <w:rPr>
          <w:rFonts w:ascii="Arial" w:hAnsi="Arial" w:cs="Arial"/>
          <w:sz w:val="24"/>
          <w:lang w:val="en-US"/>
        </w:rPr>
      </w:pPr>
      <w:r>
        <w:rPr>
          <w:rFonts w:ascii="Arial" w:hAnsi="Arial" w:cs="Arial"/>
          <w:sz w:val="24"/>
          <w:lang w:val="en-US"/>
        </w:rPr>
        <w:t xml:space="preserve"> The enlargement is noticeable- the company generate clear profit from its sales, which is a positive indicator of a Rangemaster’s performance.</w:t>
      </w:r>
    </w:p>
    <w:p w:rsidR="00DC4AC7" w:rsidRDefault="00DC4AC7" w:rsidP="00DC4AC7">
      <w:pPr>
        <w:rPr>
          <w:rFonts w:ascii="Arial" w:hAnsi="Arial" w:cs="Arial"/>
          <w:sz w:val="24"/>
          <w:lang w:val="en-US"/>
        </w:rPr>
      </w:pPr>
      <w:r>
        <w:rPr>
          <w:rFonts w:ascii="Arial" w:hAnsi="Arial" w:cs="Arial"/>
          <w:sz w:val="24"/>
          <w:lang w:val="en-US"/>
        </w:rPr>
        <w:t>Net operating Profit= Operating profit (+17.1%) / Turnover (+9.9%) or even with greater details:</w:t>
      </w:r>
    </w:p>
    <w:p w:rsidR="00DC4AC7" w:rsidRDefault="00DC4AC7" w:rsidP="00DC4AC7">
      <w:pPr>
        <w:rPr>
          <w:rFonts w:ascii="Arial" w:hAnsi="Arial" w:cs="Arial"/>
          <w:sz w:val="24"/>
          <w:lang w:val="en-US"/>
        </w:rPr>
      </w:pPr>
      <w:r>
        <w:rPr>
          <w:rFonts w:ascii="Arial" w:hAnsi="Arial" w:cs="Arial"/>
          <w:sz w:val="24"/>
          <w:lang w:val="en-US"/>
        </w:rPr>
        <w:t>Net profit=Revenue-cost of goods -Operating costs- Interests and taxes/Revenue</w:t>
      </w:r>
    </w:p>
    <w:p w:rsidR="00DC4AC7" w:rsidRDefault="00DC4AC7" w:rsidP="00DC4AC7">
      <w:pPr>
        <w:rPr>
          <w:rFonts w:ascii="Arial" w:hAnsi="Arial" w:cs="Arial"/>
          <w:sz w:val="24"/>
          <w:lang w:val="en-US"/>
        </w:rPr>
      </w:pPr>
      <w:r>
        <w:rPr>
          <w:rFonts w:ascii="Arial" w:hAnsi="Arial" w:cs="Arial"/>
          <w:sz w:val="24"/>
          <w:lang w:val="en-US"/>
        </w:rPr>
        <w:t>The firm successfully drop the operating costs with-5% along with the finance cost with -20% which is a very good indicator for the company- while generating a profit cutting the operating costs. But the payments for the taxes are increased (+19%). However, this is a positive tendency because paying more taxes means the firm generate more than the previous year, raise its credit score and give more to the society to be improved along with business.</w:t>
      </w:r>
    </w:p>
    <w:p w:rsidR="00DC4AC7" w:rsidRDefault="00DC4AC7" w:rsidP="00DC4AC7">
      <w:pPr>
        <w:rPr>
          <w:rFonts w:ascii="Arial" w:hAnsi="Arial" w:cs="Arial"/>
          <w:sz w:val="24"/>
        </w:rPr>
      </w:pPr>
    </w:p>
    <w:p w:rsidR="00DC4AC7" w:rsidRDefault="00DC4AC7" w:rsidP="00DC4AC7">
      <w:pPr>
        <w:jc w:val="center"/>
        <w:rPr>
          <w:rFonts w:ascii="Arial" w:hAnsi="Arial" w:cs="Arial"/>
          <w:sz w:val="24"/>
        </w:rPr>
      </w:pPr>
      <w:r>
        <w:rPr>
          <w:rFonts w:ascii="Arial" w:hAnsi="Arial" w:cs="Arial"/>
          <w:sz w:val="24"/>
        </w:rPr>
        <w:t>4</w:t>
      </w:r>
    </w:p>
    <w:p w:rsidR="00DC4AC7" w:rsidRDefault="00DC4AC7" w:rsidP="00DC4AC7">
      <w:pPr>
        <w:jc w:val="center"/>
        <w:rPr>
          <w:rFonts w:ascii="Arial" w:hAnsi="Arial" w:cs="Arial"/>
          <w:sz w:val="24"/>
        </w:rPr>
      </w:pPr>
    </w:p>
    <w:p w:rsidR="00DC4AC7" w:rsidRDefault="00DC4AC7" w:rsidP="00DC4AC7">
      <w:pPr>
        <w:jc w:val="center"/>
        <w:rPr>
          <w:rFonts w:ascii="Arial" w:hAnsi="Arial" w:cs="Arial"/>
          <w:sz w:val="24"/>
          <w:lang w:val="en-US"/>
        </w:rPr>
      </w:pPr>
      <w:r>
        <w:rPr>
          <w:rFonts w:ascii="Arial" w:hAnsi="Arial" w:cs="Arial"/>
          <w:sz w:val="24"/>
          <w:lang w:val="en-US"/>
        </w:rPr>
        <w:lastRenderedPageBreak/>
        <w:t>Efficiency</w:t>
      </w:r>
    </w:p>
    <w:p w:rsidR="00DC4AC7" w:rsidRDefault="00DC4AC7" w:rsidP="00DC4AC7">
      <w:pPr>
        <w:rPr>
          <w:rFonts w:ascii="Arial" w:hAnsi="Arial" w:cs="Arial"/>
          <w:sz w:val="24"/>
          <w:lang w:val="en-US"/>
        </w:rPr>
      </w:pPr>
      <w:r w:rsidRPr="00ED5FC1">
        <w:rPr>
          <w:rFonts w:ascii="Arial" w:hAnsi="Arial" w:cs="Arial"/>
          <w:b/>
          <w:sz w:val="24"/>
          <w:lang w:val="en-US"/>
        </w:rPr>
        <w:t>Inventory tur</w:t>
      </w:r>
      <w:r>
        <w:rPr>
          <w:rFonts w:ascii="Arial" w:hAnsi="Arial" w:cs="Arial"/>
          <w:b/>
          <w:sz w:val="24"/>
          <w:lang w:val="en-US"/>
        </w:rPr>
        <w:t>n</w:t>
      </w:r>
      <w:r w:rsidRPr="00ED5FC1">
        <w:rPr>
          <w:rFonts w:ascii="Arial" w:hAnsi="Arial" w:cs="Arial"/>
          <w:b/>
          <w:sz w:val="24"/>
          <w:lang w:val="en-US"/>
        </w:rPr>
        <w:t>over</w:t>
      </w:r>
      <w:r>
        <w:rPr>
          <w:rFonts w:ascii="Arial" w:hAnsi="Arial" w:cs="Arial"/>
          <w:sz w:val="24"/>
          <w:lang w:val="en-US"/>
        </w:rPr>
        <w:t xml:space="preserve"> ratio shows how many days takes to the firm to turn its stock efficiency in to sales.</w:t>
      </w:r>
    </w:p>
    <w:tbl>
      <w:tblPr>
        <w:tblStyle w:val="a3"/>
        <w:tblW w:w="9025" w:type="dxa"/>
        <w:tblLayout w:type="fixed"/>
        <w:tblLook w:val="04A0" w:firstRow="1" w:lastRow="0" w:firstColumn="1" w:lastColumn="0" w:noHBand="0" w:noVBand="1"/>
      </w:tblPr>
      <w:tblGrid>
        <w:gridCol w:w="1805"/>
        <w:gridCol w:w="1805"/>
        <w:gridCol w:w="1805"/>
        <w:gridCol w:w="1805"/>
        <w:gridCol w:w="1805"/>
      </w:tblGrid>
      <w:tr w:rsidR="00DC4AC7" w:rsidTr="009A20AD">
        <w:trPr>
          <w:trHeight w:val="300"/>
        </w:trPr>
        <w:tc>
          <w:tcPr>
            <w:tcW w:w="1805" w:type="dxa"/>
            <w:shd w:val="clear" w:color="auto" w:fill="FFFF00"/>
          </w:tcPr>
          <w:p w:rsidR="00DC4AC7" w:rsidRDefault="00DC4AC7" w:rsidP="009A20AD">
            <w:pPr>
              <w:rPr>
                <w:rFonts w:ascii="Calibri" w:eastAsia="Calibri" w:hAnsi="Calibri" w:cs="Calibri"/>
                <w:b/>
                <w:bCs/>
                <w:color w:val="000000" w:themeColor="text1"/>
                <w:sz w:val="24"/>
                <w:szCs w:val="24"/>
              </w:rPr>
            </w:pPr>
            <w:r w:rsidRPr="4B444336">
              <w:rPr>
                <w:rFonts w:ascii="Calibri" w:eastAsia="Calibri" w:hAnsi="Calibri" w:cs="Calibri"/>
                <w:b/>
                <w:bCs/>
                <w:color w:val="000000" w:themeColor="text1"/>
                <w:sz w:val="24"/>
                <w:szCs w:val="24"/>
              </w:rPr>
              <w:t>Efficiency</w:t>
            </w:r>
          </w:p>
        </w:tc>
        <w:tc>
          <w:tcPr>
            <w:tcW w:w="1805" w:type="dxa"/>
            <w:shd w:val="clear" w:color="auto" w:fill="FFFF00"/>
          </w:tcPr>
          <w:p w:rsidR="00DC4AC7" w:rsidRDefault="00DC4AC7"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2019</w:t>
            </w:r>
          </w:p>
        </w:tc>
        <w:tc>
          <w:tcPr>
            <w:tcW w:w="1805" w:type="dxa"/>
            <w:shd w:val="clear" w:color="auto" w:fill="FFFF00"/>
          </w:tcPr>
          <w:p w:rsidR="00DC4AC7" w:rsidRDefault="00DC4AC7"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2018</w:t>
            </w:r>
          </w:p>
        </w:tc>
        <w:tc>
          <w:tcPr>
            <w:tcW w:w="1805" w:type="dxa"/>
            <w:shd w:val="clear" w:color="auto" w:fill="FFFF00"/>
          </w:tcPr>
          <w:p w:rsidR="00DC4AC7" w:rsidRDefault="00DC4AC7"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Difference</w:t>
            </w:r>
          </w:p>
        </w:tc>
        <w:tc>
          <w:tcPr>
            <w:tcW w:w="1805" w:type="dxa"/>
            <w:shd w:val="clear" w:color="auto" w:fill="FFFF00"/>
          </w:tcPr>
          <w:p w:rsidR="00DC4AC7" w:rsidRDefault="00DC4AC7"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Performance (%)</w:t>
            </w:r>
          </w:p>
        </w:tc>
      </w:tr>
      <w:tr w:rsidR="00DC4AC7" w:rsidTr="009A20AD">
        <w:trPr>
          <w:trHeight w:val="300"/>
        </w:trPr>
        <w:tc>
          <w:tcPr>
            <w:tcW w:w="1805" w:type="dxa"/>
          </w:tcPr>
          <w:p w:rsidR="00DC4AC7" w:rsidRDefault="00DC4AC7" w:rsidP="009A20AD">
            <w:pPr>
              <w:rPr>
                <w:rFonts w:ascii="Calibri" w:eastAsia="Calibri" w:hAnsi="Calibri" w:cs="Calibri"/>
                <w:color w:val="000000" w:themeColor="text1"/>
              </w:rPr>
            </w:pPr>
            <w:r w:rsidRPr="4B444336">
              <w:rPr>
                <w:rFonts w:ascii="Calibri" w:eastAsia="Calibri" w:hAnsi="Calibri" w:cs="Calibri"/>
                <w:color w:val="000000" w:themeColor="text1"/>
              </w:rPr>
              <w:t>Inventory turnover (days)</w:t>
            </w:r>
          </w:p>
        </w:tc>
        <w:tc>
          <w:tcPr>
            <w:tcW w:w="1805" w:type="dxa"/>
          </w:tcPr>
          <w:p w:rsidR="00DC4AC7" w:rsidRDefault="00DC4AC7" w:rsidP="009A20AD">
            <w:pPr>
              <w:jc w:val="right"/>
            </w:pPr>
            <w:r w:rsidRPr="4B444336">
              <w:rPr>
                <w:rFonts w:ascii="Calibri" w:eastAsia="Calibri" w:hAnsi="Calibri" w:cs="Calibri"/>
                <w:color w:val="000000" w:themeColor="text1"/>
              </w:rPr>
              <w:t>73.8</w:t>
            </w:r>
          </w:p>
        </w:tc>
        <w:tc>
          <w:tcPr>
            <w:tcW w:w="1805" w:type="dxa"/>
          </w:tcPr>
          <w:p w:rsidR="00DC4AC7" w:rsidRDefault="00DC4AC7" w:rsidP="009A20AD">
            <w:pPr>
              <w:jc w:val="right"/>
            </w:pPr>
            <w:r w:rsidRPr="4B444336">
              <w:rPr>
                <w:rFonts w:ascii="Calibri" w:eastAsia="Calibri" w:hAnsi="Calibri" w:cs="Calibri"/>
                <w:color w:val="000000" w:themeColor="text1"/>
              </w:rPr>
              <w:t>75.6</w:t>
            </w:r>
          </w:p>
        </w:tc>
        <w:tc>
          <w:tcPr>
            <w:tcW w:w="1805" w:type="dxa"/>
          </w:tcPr>
          <w:p w:rsidR="00DC4AC7" w:rsidRDefault="00DC4AC7" w:rsidP="009A20AD">
            <w:pPr>
              <w:jc w:val="right"/>
            </w:pPr>
            <w:r w:rsidRPr="4B444336">
              <w:rPr>
                <w:rFonts w:ascii="Calibri" w:eastAsia="Calibri" w:hAnsi="Calibri" w:cs="Calibri"/>
                <w:color w:val="000000" w:themeColor="text1"/>
              </w:rPr>
              <w:t>-1.8</w:t>
            </w:r>
          </w:p>
        </w:tc>
        <w:tc>
          <w:tcPr>
            <w:tcW w:w="1805" w:type="dxa"/>
          </w:tcPr>
          <w:p w:rsidR="00DC4AC7" w:rsidRDefault="00DC4AC7" w:rsidP="009A20AD">
            <w:pPr>
              <w:jc w:val="right"/>
            </w:pPr>
            <w:r w:rsidRPr="4B444336">
              <w:rPr>
                <w:rFonts w:ascii="Calibri" w:eastAsia="Calibri" w:hAnsi="Calibri" w:cs="Calibri"/>
                <w:color w:val="000000" w:themeColor="text1"/>
              </w:rPr>
              <w:t>-2.4</w:t>
            </w:r>
          </w:p>
        </w:tc>
      </w:tr>
    </w:tbl>
    <w:p w:rsidR="00DC4AC7" w:rsidRDefault="00DC4AC7" w:rsidP="00DC4AC7">
      <w:pPr>
        <w:rPr>
          <w:rFonts w:ascii="Arial" w:hAnsi="Arial" w:cs="Arial"/>
          <w:sz w:val="24"/>
          <w:lang w:val="en-US"/>
        </w:rPr>
      </w:pPr>
      <w:r>
        <w:rPr>
          <w:rFonts w:ascii="Arial" w:hAnsi="Arial" w:cs="Arial"/>
          <w:sz w:val="24"/>
          <w:lang w:val="en-US"/>
        </w:rPr>
        <w:t>The result is negative however that is a positive sign for the company. The reason is the compare to year 2018 where turning the inventory which even sometimes can a raw material in to cash, took to Rangemaster average 75.6 days, in 2019 this period is reduced to 73.8 days. This brings to conclusion that the firm bettered its performance on using its and selling its inventories. This progress is very important for company as a Rangemaster, because it is a manufacturing firm which means that selling its production takes longer time rather than a grocery selling companies.</w:t>
      </w:r>
    </w:p>
    <w:p w:rsidR="00DC4AC7" w:rsidRDefault="00DC4AC7" w:rsidP="00DC4AC7">
      <w:pPr>
        <w:rPr>
          <w:rFonts w:ascii="Arial" w:hAnsi="Arial" w:cs="Arial"/>
          <w:sz w:val="24"/>
          <w:lang w:val="en-US"/>
        </w:rPr>
      </w:pPr>
      <w:r w:rsidRPr="001F65EF">
        <w:rPr>
          <w:rFonts w:ascii="Arial" w:hAnsi="Arial" w:cs="Arial"/>
          <w:b/>
          <w:sz w:val="24"/>
          <w:lang w:val="en-US"/>
        </w:rPr>
        <w:t>Non-current asset turnover</w:t>
      </w:r>
      <w:r>
        <w:rPr>
          <w:rFonts w:ascii="Arial" w:hAnsi="Arial" w:cs="Arial"/>
          <w:b/>
          <w:sz w:val="24"/>
          <w:lang w:val="en-US"/>
        </w:rPr>
        <w:t xml:space="preserve"> </w:t>
      </w:r>
      <w:r>
        <w:rPr>
          <w:rFonts w:ascii="Arial" w:hAnsi="Arial" w:cs="Arial"/>
          <w:sz w:val="24"/>
          <w:lang w:val="en-US"/>
        </w:rPr>
        <w:t xml:space="preserve">indicates to how many </w:t>
      </w:r>
      <w:r>
        <w:rPr>
          <w:rFonts w:ascii="Arial" w:hAnsi="Arial" w:cs="Arial"/>
          <w:sz w:val="24"/>
        </w:rPr>
        <w:t>£</w:t>
      </w:r>
      <w:r>
        <w:rPr>
          <w:rFonts w:ascii="Arial" w:hAnsi="Arial" w:cs="Arial"/>
          <w:sz w:val="24"/>
          <w:lang w:val="en-US"/>
        </w:rPr>
        <w:t>s are earned per £1 non-current asset.</w:t>
      </w:r>
    </w:p>
    <w:tbl>
      <w:tblPr>
        <w:tblStyle w:val="a3"/>
        <w:tblW w:w="0" w:type="auto"/>
        <w:tblLayout w:type="fixed"/>
        <w:tblLook w:val="04A0" w:firstRow="1" w:lastRow="0" w:firstColumn="1" w:lastColumn="0" w:noHBand="0" w:noVBand="1"/>
      </w:tblPr>
      <w:tblGrid>
        <w:gridCol w:w="1805"/>
        <w:gridCol w:w="1805"/>
        <w:gridCol w:w="1805"/>
        <w:gridCol w:w="1805"/>
        <w:gridCol w:w="1805"/>
      </w:tblGrid>
      <w:tr w:rsidR="00DC4AC7" w:rsidTr="009A20AD">
        <w:trPr>
          <w:trHeight w:val="300"/>
        </w:trPr>
        <w:tc>
          <w:tcPr>
            <w:tcW w:w="1805" w:type="dxa"/>
            <w:shd w:val="clear" w:color="auto" w:fill="FFFF00"/>
          </w:tcPr>
          <w:p w:rsidR="00DC4AC7" w:rsidRDefault="00DC4AC7" w:rsidP="009A20AD">
            <w:pPr>
              <w:rPr>
                <w:rFonts w:ascii="Calibri" w:eastAsia="Calibri" w:hAnsi="Calibri" w:cs="Calibri"/>
                <w:b/>
                <w:bCs/>
                <w:color w:val="000000" w:themeColor="text1"/>
                <w:sz w:val="24"/>
                <w:szCs w:val="24"/>
              </w:rPr>
            </w:pPr>
            <w:r w:rsidRPr="4B444336">
              <w:rPr>
                <w:rFonts w:ascii="Calibri" w:eastAsia="Calibri" w:hAnsi="Calibri" w:cs="Calibri"/>
                <w:b/>
                <w:bCs/>
                <w:color w:val="000000" w:themeColor="text1"/>
                <w:sz w:val="24"/>
                <w:szCs w:val="24"/>
              </w:rPr>
              <w:t>Efficiency</w:t>
            </w:r>
          </w:p>
        </w:tc>
        <w:tc>
          <w:tcPr>
            <w:tcW w:w="1805" w:type="dxa"/>
            <w:shd w:val="clear" w:color="auto" w:fill="FFFF00"/>
          </w:tcPr>
          <w:p w:rsidR="00DC4AC7" w:rsidRDefault="00DC4AC7"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2019</w:t>
            </w:r>
          </w:p>
        </w:tc>
        <w:tc>
          <w:tcPr>
            <w:tcW w:w="1805" w:type="dxa"/>
            <w:shd w:val="clear" w:color="auto" w:fill="FFFF00"/>
          </w:tcPr>
          <w:p w:rsidR="00DC4AC7" w:rsidRDefault="00DC4AC7"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2018</w:t>
            </w:r>
          </w:p>
        </w:tc>
        <w:tc>
          <w:tcPr>
            <w:tcW w:w="1805" w:type="dxa"/>
            <w:shd w:val="clear" w:color="auto" w:fill="FFFF00"/>
          </w:tcPr>
          <w:p w:rsidR="00DC4AC7" w:rsidRDefault="00DC4AC7"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Difference</w:t>
            </w:r>
          </w:p>
        </w:tc>
        <w:tc>
          <w:tcPr>
            <w:tcW w:w="1805" w:type="dxa"/>
            <w:shd w:val="clear" w:color="auto" w:fill="FFFF00"/>
          </w:tcPr>
          <w:p w:rsidR="00DC4AC7" w:rsidRDefault="00DC4AC7"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Performance (%)</w:t>
            </w:r>
          </w:p>
        </w:tc>
      </w:tr>
      <w:tr w:rsidR="00DC4AC7" w:rsidTr="009A20AD">
        <w:trPr>
          <w:trHeight w:val="300"/>
        </w:trPr>
        <w:tc>
          <w:tcPr>
            <w:tcW w:w="1805" w:type="dxa"/>
          </w:tcPr>
          <w:p w:rsidR="00DC4AC7" w:rsidRDefault="00DC4AC7" w:rsidP="009A20AD">
            <w:pPr>
              <w:rPr>
                <w:rFonts w:ascii="Calibri" w:eastAsia="Calibri" w:hAnsi="Calibri" w:cs="Calibri"/>
                <w:color w:val="000000" w:themeColor="text1"/>
              </w:rPr>
            </w:pPr>
            <w:r w:rsidRPr="4B444336">
              <w:rPr>
                <w:rFonts w:ascii="Calibri" w:eastAsia="Calibri" w:hAnsi="Calibri" w:cs="Calibri"/>
                <w:color w:val="000000" w:themeColor="text1"/>
              </w:rPr>
              <w:t>Non-current asset turnover</w:t>
            </w:r>
          </w:p>
        </w:tc>
        <w:tc>
          <w:tcPr>
            <w:tcW w:w="1805" w:type="dxa"/>
          </w:tcPr>
          <w:p w:rsidR="00DC4AC7" w:rsidRDefault="00DC4AC7" w:rsidP="009A20AD">
            <w:pPr>
              <w:jc w:val="right"/>
            </w:pPr>
            <w:r w:rsidRPr="4B444336">
              <w:rPr>
                <w:rFonts w:ascii="Calibri" w:eastAsia="Calibri" w:hAnsi="Calibri" w:cs="Calibri"/>
                <w:color w:val="000000" w:themeColor="text1"/>
              </w:rPr>
              <w:t>2.9</w:t>
            </w:r>
          </w:p>
        </w:tc>
        <w:tc>
          <w:tcPr>
            <w:tcW w:w="1805" w:type="dxa"/>
          </w:tcPr>
          <w:p w:rsidR="00DC4AC7" w:rsidRDefault="00DC4AC7" w:rsidP="009A20AD">
            <w:pPr>
              <w:jc w:val="right"/>
            </w:pPr>
            <w:r w:rsidRPr="4B444336">
              <w:rPr>
                <w:rFonts w:ascii="Calibri" w:eastAsia="Calibri" w:hAnsi="Calibri" w:cs="Calibri"/>
                <w:color w:val="000000" w:themeColor="text1"/>
              </w:rPr>
              <w:t>2.5</w:t>
            </w:r>
          </w:p>
        </w:tc>
        <w:tc>
          <w:tcPr>
            <w:tcW w:w="1805" w:type="dxa"/>
          </w:tcPr>
          <w:p w:rsidR="00DC4AC7" w:rsidRDefault="00DC4AC7" w:rsidP="009A20AD">
            <w:pPr>
              <w:jc w:val="right"/>
            </w:pPr>
            <w:r w:rsidRPr="4B444336">
              <w:rPr>
                <w:rFonts w:ascii="Calibri" w:eastAsia="Calibri" w:hAnsi="Calibri" w:cs="Calibri"/>
                <w:color w:val="000000" w:themeColor="text1"/>
              </w:rPr>
              <w:t>0.4</w:t>
            </w:r>
          </w:p>
        </w:tc>
        <w:tc>
          <w:tcPr>
            <w:tcW w:w="1805" w:type="dxa"/>
          </w:tcPr>
          <w:p w:rsidR="00DC4AC7" w:rsidRDefault="00DC4AC7" w:rsidP="009A20AD">
            <w:pPr>
              <w:jc w:val="right"/>
            </w:pPr>
            <w:r w:rsidRPr="4B444336">
              <w:rPr>
                <w:rFonts w:ascii="Calibri" w:eastAsia="Calibri" w:hAnsi="Calibri" w:cs="Calibri"/>
                <w:color w:val="000000" w:themeColor="text1"/>
              </w:rPr>
              <w:t>15.6</w:t>
            </w:r>
          </w:p>
        </w:tc>
      </w:tr>
    </w:tbl>
    <w:p w:rsidR="00DC4AC7" w:rsidRDefault="00DC4AC7" w:rsidP="00DC4AC7">
      <w:pPr>
        <w:rPr>
          <w:rFonts w:ascii="Arial" w:hAnsi="Arial" w:cs="Arial"/>
          <w:sz w:val="24"/>
          <w:lang w:val="en-US"/>
        </w:rPr>
      </w:pPr>
      <w:r>
        <w:rPr>
          <w:rFonts w:ascii="Arial" w:hAnsi="Arial" w:cs="Arial"/>
          <w:sz w:val="24"/>
          <w:lang w:val="en-US"/>
        </w:rPr>
        <w:t>The result illustrates a significant rise of non-current asset turnover ratio with 15.6% compare to year 2018 which is a very positive sign for the company’s performance. With other words, for every pound (£) non-current asset turnover in Rangemaster PLC is generating 2.9 p of sales of revenue for every pound of non-current investment. The higher the non-current asset turnover, the greater the efficiency of non-current asset being used. Unfortunately, there are only three components available to analyze, other than that the business invested less in its equipment’s (-4.9%) rather than in 2018.</w:t>
      </w:r>
    </w:p>
    <w:p w:rsidR="00DC4AC7" w:rsidRDefault="00DC4AC7" w:rsidP="00DC4AC7">
      <w:pPr>
        <w:jc w:val="center"/>
        <w:rPr>
          <w:rFonts w:ascii="Arial" w:hAnsi="Arial" w:cs="Arial"/>
          <w:sz w:val="24"/>
          <w:lang w:val="en-US"/>
        </w:rPr>
      </w:pPr>
      <w:r>
        <w:rPr>
          <w:rFonts w:ascii="Arial" w:hAnsi="Arial" w:cs="Arial"/>
          <w:sz w:val="24"/>
          <w:lang w:val="en-US"/>
        </w:rPr>
        <w:t>Liquidity</w:t>
      </w:r>
    </w:p>
    <w:p w:rsidR="00DC4AC7" w:rsidRDefault="00DC4AC7" w:rsidP="00DC4AC7">
      <w:pPr>
        <w:rPr>
          <w:rFonts w:ascii="Arial" w:hAnsi="Arial" w:cs="Arial"/>
          <w:sz w:val="24"/>
          <w:lang w:val="en-US"/>
        </w:rPr>
      </w:pPr>
      <w:r w:rsidRPr="00A57CF5">
        <w:rPr>
          <w:rFonts w:ascii="Arial" w:hAnsi="Arial" w:cs="Arial"/>
          <w:b/>
          <w:sz w:val="24"/>
          <w:lang w:val="en-US"/>
        </w:rPr>
        <w:t>Current ratio</w:t>
      </w:r>
      <w:r>
        <w:rPr>
          <w:rFonts w:ascii="Arial" w:hAnsi="Arial" w:cs="Arial"/>
          <w:b/>
          <w:sz w:val="24"/>
          <w:lang w:val="en-US"/>
        </w:rPr>
        <w:t xml:space="preserve"> </w:t>
      </w:r>
      <w:r>
        <w:rPr>
          <w:rFonts w:ascii="Arial" w:hAnsi="Arial" w:cs="Arial"/>
          <w:sz w:val="24"/>
          <w:lang w:val="en-US"/>
        </w:rPr>
        <w:t>shows how well the company manage its cash flow. The best level is 2:1 and also is sign of strength.</w:t>
      </w:r>
    </w:p>
    <w:tbl>
      <w:tblPr>
        <w:tblStyle w:val="a3"/>
        <w:tblW w:w="0" w:type="auto"/>
        <w:tblLayout w:type="fixed"/>
        <w:tblLook w:val="04A0" w:firstRow="1" w:lastRow="0" w:firstColumn="1" w:lastColumn="0" w:noHBand="0" w:noVBand="1"/>
      </w:tblPr>
      <w:tblGrid>
        <w:gridCol w:w="1805"/>
        <w:gridCol w:w="1805"/>
        <w:gridCol w:w="1805"/>
        <w:gridCol w:w="1805"/>
        <w:gridCol w:w="1805"/>
      </w:tblGrid>
      <w:tr w:rsidR="00DC4AC7" w:rsidTr="009A20AD">
        <w:trPr>
          <w:trHeight w:val="300"/>
        </w:trPr>
        <w:tc>
          <w:tcPr>
            <w:tcW w:w="1805" w:type="dxa"/>
            <w:shd w:val="clear" w:color="auto" w:fill="FFFF00"/>
          </w:tcPr>
          <w:p w:rsidR="00DC4AC7" w:rsidRDefault="00DC4AC7" w:rsidP="009A20AD">
            <w:pPr>
              <w:rPr>
                <w:rFonts w:ascii="Calibri" w:eastAsia="Calibri" w:hAnsi="Calibri" w:cs="Calibri"/>
                <w:b/>
                <w:bCs/>
                <w:color w:val="000000" w:themeColor="text1"/>
              </w:rPr>
            </w:pPr>
            <w:r w:rsidRPr="4B444336">
              <w:rPr>
                <w:rFonts w:ascii="Calibri" w:eastAsia="Calibri" w:hAnsi="Calibri" w:cs="Calibri"/>
                <w:b/>
                <w:bCs/>
                <w:color w:val="000000" w:themeColor="text1"/>
              </w:rPr>
              <w:t>Liquidity</w:t>
            </w:r>
          </w:p>
        </w:tc>
        <w:tc>
          <w:tcPr>
            <w:tcW w:w="1805" w:type="dxa"/>
            <w:shd w:val="clear" w:color="auto" w:fill="FFFF00"/>
          </w:tcPr>
          <w:p w:rsidR="00DC4AC7" w:rsidRDefault="00DC4AC7"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2019</w:t>
            </w:r>
          </w:p>
        </w:tc>
        <w:tc>
          <w:tcPr>
            <w:tcW w:w="1805" w:type="dxa"/>
            <w:shd w:val="clear" w:color="auto" w:fill="FFFF00"/>
          </w:tcPr>
          <w:p w:rsidR="00DC4AC7" w:rsidRDefault="00DC4AC7"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2018</w:t>
            </w:r>
          </w:p>
        </w:tc>
        <w:tc>
          <w:tcPr>
            <w:tcW w:w="1805" w:type="dxa"/>
            <w:shd w:val="clear" w:color="auto" w:fill="FFFF00"/>
          </w:tcPr>
          <w:p w:rsidR="00DC4AC7" w:rsidRDefault="00DC4AC7"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Difference</w:t>
            </w:r>
          </w:p>
        </w:tc>
        <w:tc>
          <w:tcPr>
            <w:tcW w:w="1805" w:type="dxa"/>
            <w:shd w:val="clear" w:color="auto" w:fill="FFFF00"/>
          </w:tcPr>
          <w:p w:rsidR="00DC4AC7" w:rsidRDefault="00DC4AC7"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Performance (%)</w:t>
            </w:r>
          </w:p>
        </w:tc>
      </w:tr>
      <w:tr w:rsidR="00DC4AC7" w:rsidTr="009A20AD">
        <w:trPr>
          <w:trHeight w:val="300"/>
        </w:trPr>
        <w:tc>
          <w:tcPr>
            <w:tcW w:w="1805" w:type="dxa"/>
          </w:tcPr>
          <w:p w:rsidR="00DC4AC7" w:rsidRDefault="00DC4AC7" w:rsidP="009A20AD">
            <w:pPr>
              <w:rPr>
                <w:rFonts w:ascii="Calibri" w:eastAsia="Calibri" w:hAnsi="Calibri" w:cs="Calibri"/>
                <w:color w:val="000000" w:themeColor="text1"/>
              </w:rPr>
            </w:pPr>
            <w:r w:rsidRPr="4B444336">
              <w:rPr>
                <w:rFonts w:ascii="Calibri" w:eastAsia="Calibri" w:hAnsi="Calibri" w:cs="Calibri"/>
                <w:color w:val="000000" w:themeColor="text1"/>
              </w:rPr>
              <w:t>Current ratio</w:t>
            </w:r>
          </w:p>
        </w:tc>
        <w:tc>
          <w:tcPr>
            <w:tcW w:w="1805" w:type="dxa"/>
          </w:tcPr>
          <w:p w:rsidR="00DC4AC7" w:rsidRDefault="00DC4AC7" w:rsidP="009A20AD">
            <w:pPr>
              <w:jc w:val="right"/>
            </w:pPr>
            <w:r w:rsidRPr="4B444336">
              <w:rPr>
                <w:rFonts w:ascii="Calibri" w:eastAsia="Calibri" w:hAnsi="Calibri" w:cs="Calibri"/>
                <w:color w:val="000000" w:themeColor="text1"/>
              </w:rPr>
              <w:t>1.9</w:t>
            </w:r>
          </w:p>
        </w:tc>
        <w:tc>
          <w:tcPr>
            <w:tcW w:w="1805" w:type="dxa"/>
          </w:tcPr>
          <w:p w:rsidR="00DC4AC7" w:rsidRDefault="00DC4AC7" w:rsidP="009A20AD">
            <w:pPr>
              <w:jc w:val="right"/>
            </w:pPr>
            <w:r w:rsidRPr="4B444336">
              <w:rPr>
                <w:rFonts w:ascii="Calibri" w:eastAsia="Calibri" w:hAnsi="Calibri" w:cs="Calibri"/>
                <w:color w:val="000000" w:themeColor="text1"/>
              </w:rPr>
              <w:t>1.8</w:t>
            </w:r>
          </w:p>
        </w:tc>
        <w:tc>
          <w:tcPr>
            <w:tcW w:w="1805" w:type="dxa"/>
          </w:tcPr>
          <w:p w:rsidR="00DC4AC7" w:rsidRDefault="00DC4AC7" w:rsidP="009A20AD">
            <w:pPr>
              <w:jc w:val="right"/>
            </w:pPr>
            <w:r w:rsidRPr="4B444336">
              <w:rPr>
                <w:rFonts w:ascii="Calibri" w:eastAsia="Calibri" w:hAnsi="Calibri" w:cs="Calibri"/>
                <w:color w:val="000000" w:themeColor="text1"/>
              </w:rPr>
              <w:t>0.1</w:t>
            </w:r>
          </w:p>
        </w:tc>
        <w:tc>
          <w:tcPr>
            <w:tcW w:w="1805" w:type="dxa"/>
          </w:tcPr>
          <w:p w:rsidR="00DC4AC7" w:rsidRDefault="00DC4AC7" w:rsidP="009A20AD">
            <w:pPr>
              <w:jc w:val="right"/>
            </w:pPr>
            <w:r w:rsidRPr="4B444336">
              <w:rPr>
                <w:rFonts w:ascii="Calibri" w:eastAsia="Calibri" w:hAnsi="Calibri" w:cs="Calibri"/>
                <w:color w:val="000000" w:themeColor="text1"/>
              </w:rPr>
              <w:t>5.6</w:t>
            </w:r>
          </w:p>
        </w:tc>
      </w:tr>
    </w:tbl>
    <w:p w:rsidR="00DC4AC7" w:rsidRDefault="00DC4AC7" w:rsidP="00DC4AC7">
      <w:pPr>
        <w:rPr>
          <w:rFonts w:ascii="Arial" w:hAnsi="Arial" w:cs="Arial"/>
          <w:sz w:val="24"/>
          <w:lang w:val="en-US"/>
        </w:rPr>
      </w:pPr>
      <w:r>
        <w:rPr>
          <w:rFonts w:ascii="Arial" w:hAnsi="Arial" w:cs="Arial"/>
          <w:sz w:val="24"/>
          <w:lang w:val="en-US"/>
        </w:rPr>
        <w:t>The current ratio is increased with +5.6% which very positive progression. In greater details illustrates that for every £1 liability, the firm has £1,9 to pay back, which nearly double the amount 2:1.</w:t>
      </w:r>
    </w:p>
    <w:p w:rsidR="00DC4AC7" w:rsidRDefault="00DC4AC7" w:rsidP="00DC4AC7">
      <w:pPr>
        <w:rPr>
          <w:rFonts w:ascii="Arial" w:hAnsi="Arial" w:cs="Arial"/>
          <w:sz w:val="24"/>
          <w:lang w:val="en-US"/>
        </w:rPr>
      </w:pPr>
      <w:r>
        <w:rPr>
          <w:rFonts w:ascii="Arial" w:hAnsi="Arial" w:cs="Arial"/>
          <w:sz w:val="24"/>
          <w:lang w:val="en-US"/>
        </w:rPr>
        <w:t>Current ratio = Current assets (+18.4%) / Current liabilities (+14.5%),</w:t>
      </w:r>
    </w:p>
    <w:p w:rsidR="00DC4AC7" w:rsidRDefault="00DC4AC7" w:rsidP="00DC4AC7">
      <w:pPr>
        <w:rPr>
          <w:rFonts w:ascii="Arial" w:hAnsi="Arial" w:cs="Arial"/>
          <w:sz w:val="24"/>
          <w:lang w:val="en-US"/>
        </w:rPr>
      </w:pPr>
      <w:r>
        <w:rPr>
          <w:rFonts w:ascii="Arial" w:hAnsi="Arial" w:cs="Arial"/>
          <w:sz w:val="24"/>
          <w:lang w:val="en-US"/>
        </w:rPr>
        <w:t xml:space="preserve">Where current assets are represented from inventories (+7.2%), trade and other receivables (+7.9%) and bank and cash flow (+64.7%). All of them show growth, especially the bank and cash where the rise is significant level, which bring to the </w:t>
      </w:r>
    </w:p>
    <w:p w:rsidR="00DC4AC7" w:rsidRDefault="00DC4AC7" w:rsidP="00DC4AC7">
      <w:pPr>
        <w:jc w:val="center"/>
        <w:rPr>
          <w:rFonts w:ascii="Arial" w:hAnsi="Arial" w:cs="Arial"/>
          <w:sz w:val="24"/>
          <w:lang w:val="en-US"/>
        </w:rPr>
      </w:pPr>
    </w:p>
    <w:p w:rsidR="00DC4AC7" w:rsidRDefault="00DC4AC7" w:rsidP="00DC4AC7">
      <w:pPr>
        <w:jc w:val="center"/>
        <w:rPr>
          <w:rFonts w:ascii="Arial" w:hAnsi="Arial" w:cs="Arial"/>
          <w:sz w:val="24"/>
          <w:lang w:val="en-US"/>
        </w:rPr>
      </w:pPr>
      <w:r>
        <w:rPr>
          <w:rFonts w:ascii="Arial" w:hAnsi="Arial" w:cs="Arial"/>
          <w:sz w:val="24"/>
          <w:lang w:val="en-US"/>
        </w:rPr>
        <w:t>5</w:t>
      </w:r>
    </w:p>
    <w:p w:rsidR="00DC4AC7" w:rsidRDefault="00DC4AC7" w:rsidP="00DC4AC7">
      <w:pPr>
        <w:rPr>
          <w:rFonts w:ascii="Arial" w:hAnsi="Arial" w:cs="Arial"/>
          <w:sz w:val="24"/>
          <w:lang w:val="en-US"/>
        </w:rPr>
      </w:pPr>
      <w:r>
        <w:rPr>
          <w:rFonts w:ascii="Arial" w:hAnsi="Arial" w:cs="Arial"/>
          <w:sz w:val="24"/>
          <w:lang w:val="en-US"/>
        </w:rPr>
        <w:lastRenderedPageBreak/>
        <w:t>conclusion that the firm operates its cash effectively or is invested on more inventories as there some growth there as well.</w:t>
      </w:r>
    </w:p>
    <w:p w:rsidR="00DC4AC7" w:rsidRDefault="00DC4AC7" w:rsidP="00DC4AC7">
      <w:pPr>
        <w:rPr>
          <w:rFonts w:ascii="Arial" w:hAnsi="Arial" w:cs="Arial"/>
          <w:sz w:val="24"/>
          <w:lang w:val="en-US"/>
        </w:rPr>
      </w:pPr>
      <w:r>
        <w:rPr>
          <w:rFonts w:ascii="Arial" w:hAnsi="Arial" w:cs="Arial"/>
          <w:sz w:val="24"/>
          <w:lang w:val="en-US"/>
        </w:rPr>
        <w:t xml:space="preserve">The rise of bank indicator, probably, is caused by trade and receivables as this ratio indicated to total amounts owing to business for goods that are sold to private clients who pay by issued invoiced but not </w:t>
      </w:r>
      <w:r w:rsidRPr="004328C5">
        <w:rPr>
          <w:rFonts w:ascii="Arial" w:hAnsi="Arial" w:cs="Arial"/>
          <w:sz w:val="24"/>
          <w:lang w:val="en-US"/>
        </w:rPr>
        <w:t>received payments yet.</w:t>
      </w:r>
    </w:p>
    <w:p w:rsidR="00DC4AC7" w:rsidRDefault="00DC4AC7" w:rsidP="00DC4AC7">
      <w:pPr>
        <w:rPr>
          <w:rFonts w:ascii="Arial" w:hAnsi="Arial" w:cs="Arial"/>
          <w:sz w:val="24"/>
          <w:lang w:val="en-US"/>
        </w:rPr>
      </w:pPr>
      <w:r w:rsidRPr="004328C5">
        <w:rPr>
          <w:rFonts w:ascii="Arial" w:hAnsi="Arial" w:cs="Arial"/>
          <w:b/>
          <w:sz w:val="24"/>
          <w:lang w:val="en-US"/>
        </w:rPr>
        <w:t>Acid test</w:t>
      </w:r>
      <w:r>
        <w:rPr>
          <w:rFonts w:ascii="Arial" w:hAnsi="Arial" w:cs="Arial"/>
          <w:b/>
          <w:sz w:val="24"/>
          <w:lang w:val="en-US"/>
        </w:rPr>
        <w:t xml:space="preserve"> </w:t>
      </w:r>
      <w:r>
        <w:rPr>
          <w:rFonts w:ascii="Arial" w:hAnsi="Arial" w:cs="Arial"/>
          <w:sz w:val="24"/>
          <w:lang w:val="en-US"/>
        </w:rPr>
        <w:t>also called quick ratio is very similar to current ratio, check the cash avail</w:t>
      </w:r>
      <w:r w:rsidR="0010413F">
        <w:rPr>
          <w:rFonts w:ascii="Arial" w:hAnsi="Arial" w:cs="Arial"/>
          <w:sz w:val="24"/>
          <w:lang w:val="en-US"/>
        </w:rPr>
        <w:t>ability of the business,</w:t>
      </w:r>
      <w:r>
        <w:rPr>
          <w:rFonts w:ascii="Arial" w:hAnsi="Arial" w:cs="Arial"/>
          <w:sz w:val="24"/>
          <w:lang w:val="en-US"/>
        </w:rPr>
        <w:t xml:space="preserve"> without inventory</w:t>
      </w:r>
    </w:p>
    <w:tbl>
      <w:tblPr>
        <w:tblStyle w:val="a3"/>
        <w:tblW w:w="9025" w:type="dxa"/>
        <w:tblLayout w:type="fixed"/>
        <w:tblLook w:val="04A0" w:firstRow="1" w:lastRow="0" w:firstColumn="1" w:lastColumn="0" w:noHBand="0" w:noVBand="1"/>
      </w:tblPr>
      <w:tblGrid>
        <w:gridCol w:w="1805"/>
        <w:gridCol w:w="1805"/>
        <w:gridCol w:w="1805"/>
        <w:gridCol w:w="1805"/>
        <w:gridCol w:w="1805"/>
      </w:tblGrid>
      <w:tr w:rsidR="00DC4AC7" w:rsidTr="009A20AD">
        <w:trPr>
          <w:trHeight w:val="300"/>
        </w:trPr>
        <w:tc>
          <w:tcPr>
            <w:tcW w:w="1805" w:type="dxa"/>
            <w:shd w:val="clear" w:color="auto" w:fill="FFFF00"/>
          </w:tcPr>
          <w:p w:rsidR="00DC4AC7" w:rsidRDefault="00DC4AC7" w:rsidP="009A20AD">
            <w:pPr>
              <w:rPr>
                <w:rFonts w:ascii="Calibri" w:eastAsia="Calibri" w:hAnsi="Calibri" w:cs="Calibri"/>
                <w:b/>
                <w:bCs/>
                <w:color w:val="000000" w:themeColor="text1"/>
              </w:rPr>
            </w:pPr>
            <w:r w:rsidRPr="4B444336">
              <w:rPr>
                <w:rFonts w:ascii="Calibri" w:eastAsia="Calibri" w:hAnsi="Calibri" w:cs="Calibri"/>
                <w:b/>
                <w:bCs/>
                <w:color w:val="000000" w:themeColor="text1"/>
              </w:rPr>
              <w:t>Liquidity</w:t>
            </w:r>
          </w:p>
        </w:tc>
        <w:tc>
          <w:tcPr>
            <w:tcW w:w="1805" w:type="dxa"/>
            <w:shd w:val="clear" w:color="auto" w:fill="FFFF00"/>
          </w:tcPr>
          <w:p w:rsidR="00DC4AC7" w:rsidRDefault="00DC4AC7"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2019</w:t>
            </w:r>
          </w:p>
        </w:tc>
        <w:tc>
          <w:tcPr>
            <w:tcW w:w="1805" w:type="dxa"/>
            <w:shd w:val="clear" w:color="auto" w:fill="FFFF00"/>
          </w:tcPr>
          <w:p w:rsidR="00DC4AC7" w:rsidRDefault="00DC4AC7"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2018</w:t>
            </w:r>
          </w:p>
        </w:tc>
        <w:tc>
          <w:tcPr>
            <w:tcW w:w="1805" w:type="dxa"/>
            <w:shd w:val="clear" w:color="auto" w:fill="FFFF00"/>
          </w:tcPr>
          <w:p w:rsidR="00DC4AC7" w:rsidRDefault="00DC4AC7"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Difference</w:t>
            </w:r>
          </w:p>
        </w:tc>
        <w:tc>
          <w:tcPr>
            <w:tcW w:w="1805" w:type="dxa"/>
            <w:shd w:val="clear" w:color="auto" w:fill="FFFF00"/>
          </w:tcPr>
          <w:p w:rsidR="00DC4AC7" w:rsidRDefault="00DC4AC7"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Performance (%)</w:t>
            </w:r>
          </w:p>
        </w:tc>
      </w:tr>
      <w:tr w:rsidR="00DC4AC7" w:rsidTr="009A20AD">
        <w:trPr>
          <w:trHeight w:val="300"/>
        </w:trPr>
        <w:tc>
          <w:tcPr>
            <w:tcW w:w="1805" w:type="dxa"/>
          </w:tcPr>
          <w:p w:rsidR="00DC4AC7" w:rsidRDefault="00DC4AC7" w:rsidP="009A20AD">
            <w:pPr>
              <w:rPr>
                <w:rFonts w:ascii="Calibri" w:eastAsia="Calibri" w:hAnsi="Calibri" w:cs="Calibri"/>
                <w:color w:val="000000" w:themeColor="text1"/>
              </w:rPr>
            </w:pPr>
            <w:r w:rsidRPr="4B444336">
              <w:rPr>
                <w:rFonts w:ascii="Calibri" w:eastAsia="Calibri" w:hAnsi="Calibri" w:cs="Calibri"/>
                <w:color w:val="000000" w:themeColor="text1"/>
              </w:rPr>
              <w:t>Acid test</w:t>
            </w:r>
          </w:p>
        </w:tc>
        <w:tc>
          <w:tcPr>
            <w:tcW w:w="1805" w:type="dxa"/>
          </w:tcPr>
          <w:p w:rsidR="00DC4AC7" w:rsidRDefault="00DC4AC7" w:rsidP="009A20AD">
            <w:pPr>
              <w:jc w:val="right"/>
            </w:pPr>
            <w:r w:rsidRPr="4B444336">
              <w:rPr>
                <w:rFonts w:ascii="Calibri" w:eastAsia="Calibri" w:hAnsi="Calibri" w:cs="Calibri"/>
                <w:color w:val="000000" w:themeColor="text1"/>
              </w:rPr>
              <w:t>1.2</w:t>
            </w:r>
          </w:p>
        </w:tc>
        <w:tc>
          <w:tcPr>
            <w:tcW w:w="1805" w:type="dxa"/>
          </w:tcPr>
          <w:p w:rsidR="00DC4AC7" w:rsidRDefault="00DC4AC7" w:rsidP="009A20AD">
            <w:pPr>
              <w:jc w:val="right"/>
            </w:pPr>
            <w:r w:rsidRPr="4B444336">
              <w:rPr>
                <w:rFonts w:ascii="Calibri" w:eastAsia="Calibri" w:hAnsi="Calibri" w:cs="Calibri"/>
                <w:color w:val="000000" w:themeColor="text1"/>
              </w:rPr>
              <w:t>1.1</w:t>
            </w:r>
          </w:p>
        </w:tc>
        <w:tc>
          <w:tcPr>
            <w:tcW w:w="1805" w:type="dxa"/>
          </w:tcPr>
          <w:p w:rsidR="00DC4AC7" w:rsidRDefault="00DC4AC7" w:rsidP="009A20AD">
            <w:pPr>
              <w:jc w:val="right"/>
            </w:pPr>
            <w:r w:rsidRPr="4B444336">
              <w:rPr>
                <w:rFonts w:ascii="Calibri" w:eastAsia="Calibri" w:hAnsi="Calibri" w:cs="Calibri"/>
                <w:color w:val="000000" w:themeColor="text1"/>
              </w:rPr>
              <w:t>0.1</w:t>
            </w:r>
          </w:p>
        </w:tc>
        <w:tc>
          <w:tcPr>
            <w:tcW w:w="1805" w:type="dxa"/>
          </w:tcPr>
          <w:p w:rsidR="00DC4AC7" w:rsidRDefault="00DC4AC7" w:rsidP="009A20AD">
            <w:pPr>
              <w:jc w:val="right"/>
            </w:pPr>
            <w:r w:rsidRPr="4B444336">
              <w:rPr>
                <w:rFonts w:ascii="Calibri" w:eastAsia="Calibri" w:hAnsi="Calibri" w:cs="Calibri"/>
                <w:color w:val="000000" w:themeColor="text1"/>
              </w:rPr>
              <w:t>9.1</w:t>
            </w:r>
          </w:p>
        </w:tc>
      </w:tr>
    </w:tbl>
    <w:p w:rsidR="00DC4AC7" w:rsidRDefault="00DC4AC7" w:rsidP="00DC4AC7">
      <w:pPr>
        <w:rPr>
          <w:rFonts w:ascii="Arial" w:hAnsi="Arial" w:cs="Arial"/>
          <w:sz w:val="24"/>
          <w:lang w:val="en-US"/>
        </w:rPr>
      </w:pPr>
      <w:r>
        <w:rPr>
          <w:rFonts w:ascii="Arial" w:hAnsi="Arial" w:cs="Arial"/>
          <w:sz w:val="24"/>
          <w:lang w:val="en-US"/>
        </w:rPr>
        <w:t>There is a satisfied level of growth from +9.1% compared to the previous year and also means that the business can meet its obligations even contrary conditions accurse related to inventories. The preferable position from 1:1 is met and the company can meet its debts 1.2 times in 2019.</w:t>
      </w:r>
    </w:p>
    <w:p w:rsidR="00DC4AC7" w:rsidRDefault="00DC4AC7" w:rsidP="00DC4AC7">
      <w:pPr>
        <w:rPr>
          <w:rFonts w:ascii="Arial" w:hAnsi="Arial" w:cs="Arial"/>
          <w:sz w:val="24"/>
          <w:lang w:val="en-US"/>
        </w:rPr>
      </w:pPr>
      <w:r w:rsidRPr="00CA052C">
        <w:rPr>
          <w:rFonts w:ascii="Arial" w:hAnsi="Arial" w:cs="Arial"/>
          <w:b/>
          <w:sz w:val="24"/>
          <w:lang w:val="en-US"/>
        </w:rPr>
        <w:t xml:space="preserve">Creditor </w:t>
      </w:r>
      <w:proofErr w:type="gramStart"/>
      <w:r w:rsidRPr="00CA052C">
        <w:rPr>
          <w:rFonts w:ascii="Arial" w:hAnsi="Arial" w:cs="Arial"/>
          <w:b/>
          <w:sz w:val="24"/>
          <w:lang w:val="en-US"/>
        </w:rPr>
        <w:t>days</w:t>
      </w:r>
      <w:proofErr w:type="gramEnd"/>
      <w:r w:rsidRPr="00CA052C">
        <w:rPr>
          <w:rFonts w:ascii="Arial" w:hAnsi="Arial" w:cs="Arial"/>
          <w:b/>
          <w:sz w:val="24"/>
          <w:lang w:val="en-US"/>
        </w:rPr>
        <w:t xml:space="preserve"> </w:t>
      </w:r>
      <w:r>
        <w:rPr>
          <w:rFonts w:ascii="Arial" w:hAnsi="Arial" w:cs="Arial"/>
          <w:sz w:val="24"/>
          <w:lang w:val="en-US"/>
        </w:rPr>
        <w:t>ratio exemplify how long it takes to company to pay back its liabilities to creditors</w:t>
      </w:r>
      <w:r w:rsidR="00C17C7E">
        <w:rPr>
          <w:rFonts w:ascii="Arial" w:hAnsi="Arial" w:cs="Arial"/>
          <w:sz w:val="24"/>
          <w:lang w:val="en-US"/>
        </w:rPr>
        <w:t>.</w:t>
      </w:r>
    </w:p>
    <w:tbl>
      <w:tblPr>
        <w:tblStyle w:val="a3"/>
        <w:tblW w:w="9025" w:type="dxa"/>
        <w:tblLayout w:type="fixed"/>
        <w:tblLook w:val="04A0" w:firstRow="1" w:lastRow="0" w:firstColumn="1" w:lastColumn="0" w:noHBand="0" w:noVBand="1"/>
      </w:tblPr>
      <w:tblGrid>
        <w:gridCol w:w="1805"/>
        <w:gridCol w:w="1805"/>
        <w:gridCol w:w="1805"/>
        <w:gridCol w:w="1805"/>
        <w:gridCol w:w="1805"/>
      </w:tblGrid>
      <w:tr w:rsidR="00DC4AC7" w:rsidTr="009A20AD">
        <w:trPr>
          <w:trHeight w:val="300"/>
        </w:trPr>
        <w:tc>
          <w:tcPr>
            <w:tcW w:w="1805" w:type="dxa"/>
            <w:shd w:val="clear" w:color="auto" w:fill="FFFF00"/>
          </w:tcPr>
          <w:p w:rsidR="00DC4AC7" w:rsidRDefault="00DC4AC7" w:rsidP="009A20AD">
            <w:pPr>
              <w:rPr>
                <w:rFonts w:ascii="Calibri" w:eastAsia="Calibri" w:hAnsi="Calibri" w:cs="Calibri"/>
                <w:b/>
                <w:bCs/>
                <w:color w:val="000000" w:themeColor="text1"/>
              </w:rPr>
            </w:pPr>
            <w:r w:rsidRPr="4B444336">
              <w:rPr>
                <w:rFonts w:ascii="Calibri" w:eastAsia="Calibri" w:hAnsi="Calibri" w:cs="Calibri"/>
                <w:b/>
                <w:bCs/>
                <w:color w:val="000000" w:themeColor="text1"/>
              </w:rPr>
              <w:t>Liquidity</w:t>
            </w:r>
          </w:p>
        </w:tc>
        <w:tc>
          <w:tcPr>
            <w:tcW w:w="1805" w:type="dxa"/>
            <w:shd w:val="clear" w:color="auto" w:fill="FFFF00"/>
          </w:tcPr>
          <w:p w:rsidR="00DC4AC7" w:rsidRDefault="00DC4AC7"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2019</w:t>
            </w:r>
          </w:p>
        </w:tc>
        <w:tc>
          <w:tcPr>
            <w:tcW w:w="1805" w:type="dxa"/>
            <w:shd w:val="clear" w:color="auto" w:fill="FFFF00"/>
          </w:tcPr>
          <w:p w:rsidR="00DC4AC7" w:rsidRDefault="00DC4AC7"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2018</w:t>
            </w:r>
          </w:p>
        </w:tc>
        <w:tc>
          <w:tcPr>
            <w:tcW w:w="1805" w:type="dxa"/>
            <w:shd w:val="clear" w:color="auto" w:fill="FFFF00"/>
          </w:tcPr>
          <w:p w:rsidR="00DC4AC7" w:rsidRDefault="00DC4AC7"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Difference</w:t>
            </w:r>
          </w:p>
        </w:tc>
        <w:tc>
          <w:tcPr>
            <w:tcW w:w="1805" w:type="dxa"/>
            <w:shd w:val="clear" w:color="auto" w:fill="FFFF00"/>
          </w:tcPr>
          <w:p w:rsidR="00DC4AC7" w:rsidRDefault="00DC4AC7"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Performance (%)</w:t>
            </w:r>
          </w:p>
        </w:tc>
      </w:tr>
      <w:tr w:rsidR="00DC4AC7" w:rsidTr="009A20AD">
        <w:trPr>
          <w:trHeight w:val="300"/>
        </w:trPr>
        <w:tc>
          <w:tcPr>
            <w:tcW w:w="1805" w:type="dxa"/>
          </w:tcPr>
          <w:p w:rsidR="00DC4AC7" w:rsidRDefault="00DC4AC7" w:rsidP="009A20AD">
            <w:pPr>
              <w:rPr>
                <w:rFonts w:ascii="Calibri" w:eastAsia="Calibri" w:hAnsi="Calibri" w:cs="Calibri"/>
                <w:color w:val="000000" w:themeColor="text1"/>
              </w:rPr>
            </w:pPr>
            <w:r w:rsidRPr="4B444336">
              <w:rPr>
                <w:rFonts w:ascii="Calibri" w:eastAsia="Calibri" w:hAnsi="Calibri" w:cs="Calibri"/>
                <w:color w:val="000000" w:themeColor="text1"/>
              </w:rPr>
              <w:t>Creditor days</w:t>
            </w:r>
          </w:p>
        </w:tc>
        <w:tc>
          <w:tcPr>
            <w:tcW w:w="1805" w:type="dxa"/>
          </w:tcPr>
          <w:p w:rsidR="00DC4AC7" w:rsidRDefault="00DC4AC7" w:rsidP="009A20AD">
            <w:pPr>
              <w:jc w:val="right"/>
            </w:pPr>
            <w:r w:rsidRPr="4B444336">
              <w:rPr>
                <w:rFonts w:ascii="Calibri" w:eastAsia="Calibri" w:hAnsi="Calibri" w:cs="Calibri"/>
                <w:color w:val="000000" w:themeColor="text1"/>
              </w:rPr>
              <w:t>87</w:t>
            </w:r>
          </w:p>
        </w:tc>
        <w:tc>
          <w:tcPr>
            <w:tcW w:w="1805" w:type="dxa"/>
          </w:tcPr>
          <w:p w:rsidR="00DC4AC7" w:rsidRDefault="00DC4AC7" w:rsidP="009A20AD">
            <w:pPr>
              <w:jc w:val="right"/>
            </w:pPr>
            <w:r w:rsidRPr="4B444336">
              <w:rPr>
                <w:rFonts w:ascii="Calibri" w:eastAsia="Calibri" w:hAnsi="Calibri" w:cs="Calibri"/>
                <w:color w:val="000000" w:themeColor="text1"/>
              </w:rPr>
              <w:t>84</w:t>
            </w:r>
          </w:p>
        </w:tc>
        <w:tc>
          <w:tcPr>
            <w:tcW w:w="1805" w:type="dxa"/>
          </w:tcPr>
          <w:p w:rsidR="00DC4AC7" w:rsidRDefault="00DC4AC7" w:rsidP="009A20AD">
            <w:pPr>
              <w:jc w:val="right"/>
            </w:pPr>
            <w:r>
              <w:rPr>
                <w:rFonts w:ascii="Calibri" w:eastAsia="Calibri" w:hAnsi="Calibri" w:cs="Calibri"/>
                <w:color w:val="000000" w:themeColor="text1"/>
              </w:rPr>
              <w:t>3</w:t>
            </w:r>
          </w:p>
        </w:tc>
        <w:tc>
          <w:tcPr>
            <w:tcW w:w="1805" w:type="dxa"/>
          </w:tcPr>
          <w:p w:rsidR="00DC4AC7" w:rsidRDefault="00DC4AC7" w:rsidP="009A20AD">
            <w:pPr>
              <w:jc w:val="right"/>
            </w:pPr>
            <w:r w:rsidRPr="4B444336">
              <w:rPr>
                <w:rFonts w:ascii="Calibri" w:eastAsia="Calibri" w:hAnsi="Calibri" w:cs="Calibri"/>
                <w:color w:val="000000" w:themeColor="text1"/>
              </w:rPr>
              <w:t>3.6</w:t>
            </w:r>
          </w:p>
        </w:tc>
      </w:tr>
    </w:tbl>
    <w:p w:rsidR="00DC4AC7" w:rsidRDefault="00DC4AC7" w:rsidP="00DC4AC7">
      <w:pPr>
        <w:rPr>
          <w:rFonts w:ascii="Arial" w:hAnsi="Arial" w:cs="Arial"/>
          <w:sz w:val="24"/>
          <w:lang w:val="en-US"/>
        </w:rPr>
      </w:pPr>
      <w:r>
        <w:rPr>
          <w:rFonts w:ascii="Arial" w:hAnsi="Arial" w:cs="Arial"/>
          <w:sz w:val="24"/>
          <w:lang w:val="en-US"/>
        </w:rPr>
        <w:t>General overview for this indicator is positive, because it is increased with +3.6% compared to 2018. This clearly show that the company keep and use the money of its creditors longer period (3 days more) than previous year. It also leads to conclusion that the company is taking a full advantage of the credits available and this also can be the reason why the bank and cash flow ratios marks a significant growth from +64.7%. Increasing the level of creditor days probably solve the problem with the cash availability.</w:t>
      </w:r>
    </w:p>
    <w:p w:rsidR="00DC4AC7" w:rsidRDefault="00DC4AC7" w:rsidP="00DC4AC7">
      <w:pPr>
        <w:rPr>
          <w:rFonts w:ascii="Arial" w:hAnsi="Arial" w:cs="Arial"/>
          <w:sz w:val="24"/>
          <w:lang w:val="en-US"/>
        </w:rPr>
      </w:pPr>
      <w:r>
        <w:rPr>
          <w:rFonts w:ascii="Arial" w:hAnsi="Arial" w:cs="Arial"/>
          <w:sz w:val="24"/>
          <w:lang w:val="en-US"/>
        </w:rPr>
        <w:t>Creditor days= Trade payables (+13%)/ Cost of sales (+9.9%)x365</w:t>
      </w:r>
    </w:p>
    <w:p w:rsidR="00DC4AC7" w:rsidRDefault="00DC4AC7" w:rsidP="00DC4AC7">
      <w:pPr>
        <w:rPr>
          <w:rFonts w:ascii="Arial" w:hAnsi="Arial" w:cs="Arial"/>
          <w:sz w:val="24"/>
          <w:lang w:val="en-US"/>
        </w:rPr>
      </w:pPr>
      <w:r>
        <w:rPr>
          <w:rFonts w:ascii="Arial" w:hAnsi="Arial" w:cs="Arial"/>
          <w:sz w:val="24"/>
          <w:lang w:val="en-US"/>
        </w:rPr>
        <w:t>Trade payables indicates to the amount that Rangemaster owe to its vendors or short-term lenders due to inventory-related stocks or business materials again related to the inventory.  This is the opposite of Trade receivables and if we compare them both, it is easy to see that both ratios cover each other. Although the money that firm owe this gap is regularly filled from the payments that come through trade receivables. The cost of sale mark rise too, as mentioned before, and the company need to schedule a new plan in order to cut those expenses.</w:t>
      </w:r>
    </w:p>
    <w:p w:rsidR="00DC4AC7" w:rsidRDefault="00DC4AC7" w:rsidP="00DC4AC7">
      <w:pPr>
        <w:rPr>
          <w:rFonts w:ascii="Arial" w:hAnsi="Arial" w:cs="Arial"/>
          <w:sz w:val="24"/>
          <w:lang w:val="en-US"/>
        </w:rPr>
      </w:pPr>
      <w:r w:rsidRPr="00BE773B">
        <w:rPr>
          <w:rFonts w:ascii="Arial" w:hAnsi="Arial" w:cs="Arial"/>
          <w:b/>
          <w:sz w:val="24"/>
          <w:lang w:val="en-US"/>
        </w:rPr>
        <w:t>Debtor days</w:t>
      </w:r>
      <w:r>
        <w:rPr>
          <w:rFonts w:ascii="Arial" w:hAnsi="Arial" w:cs="Arial"/>
          <w:b/>
          <w:sz w:val="24"/>
          <w:lang w:val="en-US"/>
        </w:rPr>
        <w:t xml:space="preserve"> </w:t>
      </w:r>
      <w:r>
        <w:rPr>
          <w:rFonts w:ascii="Arial" w:hAnsi="Arial" w:cs="Arial"/>
          <w:sz w:val="24"/>
          <w:lang w:val="en-US"/>
        </w:rPr>
        <w:t>show how long the firm need to wait until paid back. This ratio show the average days required for a business to receive payments from customers.</w:t>
      </w:r>
    </w:p>
    <w:p w:rsidR="00DC4AC7" w:rsidRDefault="00DC4AC7" w:rsidP="00DC4AC7">
      <w:pPr>
        <w:rPr>
          <w:rFonts w:ascii="Arial" w:hAnsi="Arial" w:cs="Arial"/>
          <w:sz w:val="24"/>
          <w:lang w:val="en-US"/>
        </w:rPr>
      </w:pPr>
    </w:p>
    <w:p w:rsidR="00DC4AC7" w:rsidRDefault="00DC4AC7" w:rsidP="00DC4AC7">
      <w:pPr>
        <w:rPr>
          <w:rFonts w:ascii="Arial" w:hAnsi="Arial" w:cs="Arial"/>
          <w:sz w:val="24"/>
          <w:lang w:val="en-US"/>
        </w:rPr>
      </w:pPr>
    </w:p>
    <w:p w:rsidR="00DB7155" w:rsidRDefault="00DB7155" w:rsidP="00DC4AC7">
      <w:pPr>
        <w:jc w:val="center"/>
        <w:rPr>
          <w:rFonts w:ascii="Arial" w:hAnsi="Arial" w:cs="Arial"/>
          <w:sz w:val="24"/>
          <w:lang w:val="en-US"/>
        </w:rPr>
      </w:pPr>
    </w:p>
    <w:p w:rsidR="00B16B63" w:rsidRDefault="00B16B63" w:rsidP="00DC4AC7">
      <w:pPr>
        <w:jc w:val="center"/>
        <w:rPr>
          <w:rFonts w:ascii="Arial" w:hAnsi="Arial" w:cs="Arial"/>
          <w:sz w:val="24"/>
          <w:lang w:val="en-US"/>
        </w:rPr>
      </w:pPr>
    </w:p>
    <w:p w:rsidR="00DC4AC7" w:rsidRDefault="00DC4AC7" w:rsidP="00DC4AC7">
      <w:pPr>
        <w:jc w:val="center"/>
        <w:rPr>
          <w:rFonts w:ascii="Arial" w:hAnsi="Arial" w:cs="Arial"/>
          <w:sz w:val="24"/>
          <w:lang w:val="en-US"/>
        </w:rPr>
      </w:pPr>
      <w:bookmarkStart w:id="0" w:name="_GoBack"/>
      <w:bookmarkEnd w:id="0"/>
      <w:r>
        <w:rPr>
          <w:rFonts w:ascii="Arial" w:hAnsi="Arial" w:cs="Arial"/>
          <w:sz w:val="24"/>
          <w:lang w:val="en-US"/>
        </w:rPr>
        <w:t>6</w:t>
      </w:r>
    </w:p>
    <w:tbl>
      <w:tblPr>
        <w:tblStyle w:val="a3"/>
        <w:tblW w:w="9025" w:type="dxa"/>
        <w:tblLayout w:type="fixed"/>
        <w:tblLook w:val="04A0" w:firstRow="1" w:lastRow="0" w:firstColumn="1" w:lastColumn="0" w:noHBand="0" w:noVBand="1"/>
      </w:tblPr>
      <w:tblGrid>
        <w:gridCol w:w="1805"/>
        <w:gridCol w:w="1805"/>
        <w:gridCol w:w="1805"/>
        <w:gridCol w:w="1805"/>
        <w:gridCol w:w="1805"/>
      </w:tblGrid>
      <w:tr w:rsidR="00DC4AC7" w:rsidTr="009A20AD">
        <w:trPr>
          <w:trHeight w:val="300"/>
        </w:trPr>
        <w:tc>
          <w:tcPr>
            <w:tcW w:w="1805" w:type="dxa"/>
            <w:shd w:val="clear" w:color="auto" w:fill="FFFF00"/>
          </w:tcPr>
          <w:p w:rsidR="00DC4AC7" w:rsidRDefault="00DC4AC7" w:rsidP="009A20AD">
            <w:pPr>
              <w:rPr>
                <w:rFonts w:ascii="Calibri" w:eastAsia="Calibri" w:hAnsi="Calibri" w:cs="Calibri"/>
                <w:b/>
                <w:bCs/>
                <w:color w:val="000000" w:themeColor="text1"/>
              </w:rPr>
            </w:pPr>
            <w:r w:rsidRPr="4B444336">
              <w:rPr>
                <w:rFonts w:ascii="Calibri" w:eastAsia="Calibri" w:hAnsi="Calibri" w:cs="Calibri"/>
                <w:b/>
                <w:bCs/>
                <w:color w:val="000000" w:themeColor="text1"/>
              </w:rPr>
              <w:lastRenderedPageBreak/>
              <w:t>Liquidity</w:t>
            </w:r>
          </w:p>
        </w:tc>
        <w:tc>
          <w:tcPr>
            <w:tcW w:w="1805" w:type="dxa"/>
            <w:shd w:val="clear" w:color="auto" w:fill="FFFF00"/>
          </w:tcPr>
          <w:p w:rsidR="00DC4AC7" w:rsidRDefault="00DC4AC7"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2019</w:t>
            </w:r>
          </w:p>
        </w:tc>
        <w:tc>
          <w:tcPr>
            <w:tcW w:w="1805" w:type="dxa"/>
            <w:shd w:val="clear" w:color="auto" w:fill="FFFF00"/>
          </w:tcPr>
          <w:p w:rsidR="00DC4AC7" w:rsidRDefault="00DC4AC7"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2018</w:t>
            </w:r>
          </w:p>
        </w:tc>
        <w:tc>
          <w:tcPr>
            <w:tcW w:w="1805" w:type="dxa"/>
            <w:shd w:val="clear" w:color="auto" w:fill="FFFF00"/>
          </w:tcPr>
          <w:p w:rsidR="00DC4AC7" w:rsidRDefault="00DC4AC7"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Difference</w:t>
            </w:r>
          </w:p>
        </w:tc>
        <w:tc>
          <w:tcPr>
            <w:tcW w:w="1805" w:type="dxa"/>
            <w:shd w:val="clear" w:color="auto" w:fill="FFFF00"/>
          </w:tcPr>
          <w:p w:rsidR="00DC4AC7" w:rsidRDefault="00DC4AC7"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Performance (%)</w:t>
            </w:r>
          </w:p>
        </w:tc>
      </w:tr>
      <w:tr w:rsidR="00DC4AC7" w:rsidTr="009A20AD">
        <w:trPr>
          <w:trHeight w:val="300"/>
        </w:trPr>
        <w:tc>
          <w:tcPr>
            <w:tcW w:w="1805" w:type="dxa"/>
          </w:tcPr>
          <w:p w:rsidR="00DC4AC7" w:rsidRDefault="00DC4AC7" w:rsidP="009A20AD">
            <w:pPr>
              <w:rPr>
                <w:rFonts w:ascii="Calibri" w:eastAsia="Calibri" w:hAnsi="Calibri" w:cs="Calibri"/>
                <w:color w:val="000000" w:themeColor="text1"/>
              </w:rPr>
            </w:pPr>
            <w:r w:rsidRPr="4B444336">
              <w:rPr>
                <w:rFonts w:ascii="Calibri" w:eastAsia="Calibri" w:hAnsi="Calibri" w:cs="Calibri"/>
                <w:color w:val="000000" w:themeColor="text1"/>
              </w:rPr>
              <w:t>Debtors days</w:t>
            </w:r>
          </w:p>
        </w:tc>
        <w:tc>
          <w:tcPr>
            <w:tcW w:w="1805" w:type="dxa"/>
          </w:tcPr>
          <w:p w:rsidR="00DC4AC7" w:rsidRDefault="00DC4AC7" w:rsidP="009A20AD">
            <w:pPr>
              <w:jc w:val="right"/>
            </w:pPr>
            <w:r w:rsidRPr="4B444336">
              <w:rPr>
                <w:rFonts w:ascii="Calibri" w:eastAsia="Calibri" w:hAnsi="Calibri" w:cs="Calibri"/>
                <w:color w:val="000000" w:themeColor="text1"/>
              </w:rPr>
              <w:t>60</w:t>
            </w:r>
          </w:p>
        </w:tc>
        <w:tc>
          <w:tcPr>
            <w:tcW w:w="1805" w:type="dxa"/>
          </w:tcPr>
          <w:p w:rsidR="00DC4AC7" w:rsidRDefault="00DC4AC7" w:rsidP="009A20AD">
            <w:pPr>
              <w:jc w:val="right"/>
            </w:pPr>
            <w:r w:rsidRPr="4B444336">
              <w:rPr>
                <w:rFonts w:ascii="Calibri" w:eastAsia="Calibri" w:hAnsi="Calibri" w:cs="Calibri"/>
                <w:color w:val="000000" w:themeColor="text1"/>
              </w:rPr>
              <w:t>61</w:t>
            </w:r>
          </w:p>
        </w:tc>
        <w:tc>
          <w:tcPr>
            <w:tcW w:w="1805" w:type="dxa"/>
          </w:tcPr>
          <w:p w:rsidR="00DC4AC7" w:rsidRDefault="00DC4AC7" w:rsidP="009A20AD">
            <w:pPr>
              <w:jc w:val="right"/>
            </w:pPr>
            <w:r w:rsidRPr="4B444336">
              <w:rPr>
                <w:rFonts w:ascii="Calibri" w:eastAsia="Calibri" w:hAnsi="Calibri" w:cs="Calibri"/>
                <w:color w:val="000000" w:themeColor="text1"/>
              </w:rPr>
              <w:t>-1</w:t>
            </w:r>
          </w:p>
        </w:tc>
        <w:tc>
          <w:tcPr>
            <w:tcW w:w="1805" w:type="dxa"/>
          </w:tcPr>
          <w:p w:rsidR="00DC4AC7" w:rsidRDefault="00DC4AC7" w:rsidP="009A20AD">
            <w:pPr>
              <w:jc w:val="right"/>
            </w:pPr>
            <w:r w:rsidRPr="4B444336">
              <w:rPr>
                <w:rFonts w:ascii="Calibri" w:eastAsia="Calibri" w:hAnsi="Calibri" w:cs="Calibri"/>
                <w:color w:val="000000" w:themeColor="text1"/>
              </w:rPr>
              <w:t>-1.6</w:t>
            </w:r>
          </w:p>
        </w:tc>
      </w:tr>
    </w:tbl>
    <w:p w:rsidR="00DC4AC7" w:rsidRDefault="00DC4AC7" w:rsidP="00DC4AC7">
      <w:pPr>
        <w:rPr>
          <w:rFonts w:ascii="Arial" w:hAnsi="Arial" w:cs="Arial"/>
          <w:sz w:val="24"/>
          <w:lang w:val="en-US"/>
        </w:rPr>
      </w:pPr>
      <w:r>
        <w:rPr>
          <w:rFonts w:ascii="Arial" w:hAnsi="Arial" w:cs="Arial"/>
          <w:sz w:val="24"/>
          <w:lang w:val="en-US"/>
        </w:rPr>
        <w:t xml:space="preserve">Even Debtor </w:t>
      </w:r>
      <w:proofErr w:type="gramStart"/>
      <w:r>
        <w:rPr>
          <w:rFonts w:ascii="Arial" w:hAnsi="Arial" w:cs="Arial"/>
          <w:sz w:val="24"/>
          <w:lang w:val="en-US"/>
        </w:rPr>
        <w:t>days</w:t>
      </w:r>
      <w:proofErr w:type="gramEnd"/>
      <w:r>
        <w:rPr>
          <w:rFonts w:ascii="Arial" w:hAnsi="Arial" w:cs="Arial"/>
          <w:sz w:val="24"/>
          <w:lang w:val="en-US"/>
        </w:rPr>
        <w:t xml:space="preserve"> ratio is negative, actually this is a good performance indicator. The amount of the days that Rangemaster wait to be paid is reduced with 1day compare to 2018. It is a good tendency if it is looked in long term</w:t>
      </w:r>
      <w:r>
        <w:rPr>
          <w:rFonts w:ascii="Arial" w:hAnsi="Arial" w:cs="Arial"/>
          <w:sz w:val="24"/>
          <w:lang w:val="en-US"/>
        </w:rPr>
        <w:t>.</w:t>
      </w:r>
    </w:p>
    <w:p w:rsidR="00DC4AC7" w:rsidRDefault="00DC4AC7" w:rsidP="00DC4AC7">
      <w:pPr>
        <w:rPr>
          <w:rFonts w:ascii="Arial" w:hAnsi="Arial" w:cs="Arial"/>
          <w:sz w:val="24"/>
          <w:lang w:val="en-US"/>
        </w:rPr>
      </w:pPr>
      <w:r w:rsidRPr="00DC4AC7">
        <w:rPr>
          <w:rFonts w:ascii="Arial" w:hAnsi="Arial" w:cs="Arial"/>
          <w:sz w:val="24"/>
          <w:lang w:val="en-US"/>
        </w:rPr>
        <w:t xml:space="preserve"> </w:t>
      </w:r>
      <w:r>
        <w:rPr>
          <w:rFonts w:ascii="Arial" w:hAnsi="Arial" w:cs="Arial"/>
          <w:sz w:val="24"/>
          <w:lang w:val="en-US"/>
        </w:rPr>
        <w:t>Debtor days=Trade and other receivables (+7.9%)/ Credit sales (+9.9%)</w:t>
      </w:r>
    </w:p>
    <w:p w:rsidR="00DC4AC7" w:rsidRDefault="00DC4AC7" w:rsidP="00DC4AC7">
      <w:pPr>
        <w:rPr>
          <w:rFonts w:ascii="Arial" w:hAnsi="Arial" w:cs="Arial"/>
          <w:sz w:val="24"/>
          <w:lang w:val="en-US"/>
        </w:rPr>
      </w:pPr>
      <w:r>
        <w:rPr>
          <w:rFonts w:ascii="Arial" w:hAnsi="Arial" w:cs="Arial"/>
          <w:sz w:val="24"/>
          <w:lang w:val="en-US"/>
        </w:rPr>
        <w:t>Accepting that Rangemaster is 100% on credit sales (Sales Revenue), the growth here is a positive tendency. Foe even better results, the company should speed up its payment collecting processes.</w:t>
      </w:r>
    </w:p>
    <w:p w:rsidR="0018691D" w:rsidRDefault="0018691D" w:rsidP="0018691D">
      <w:pPr>
        <w:rPr>
          <w:rFonts w:ascii="Arial" w:hAnsi="Arial" w:cs="Arial"/>
          <w:sz w:val="24"/>
          <w:lang w:val="en-US"/>
        </w:rPr>
      </w:pPr>
      <w:r>
        <w:rPr>
          <w:rFonts w:ascii="Arial" w:hAnsi="Arial" w:cs="Arial"/>
          <w:sz w:val="24"/>
          <w:lang w:val="en-US"/>
        </w:rPr>
        <w:t>If we analyze further both Debtor and Creditor days by comparing them, the result will show the relation between them. For example, Creditor days- Debtor days= Difference or simply days holding others working capital free of charge, or in figures for 2018 (84-61=23 days) and 2019 (87-60=27) 4 days more in current year.</w:t>
      </w:r>
    </w:p>
    <w:p w:rsidR="0018691D" w:rsidRDefault="0018691D" w:rsidP="0018691D">
      <w:pPr>
        <w:rPr>
          <w:rFonts w:ascii="Arial" w:hAnsi="Arial" w:cs="Arial"/>
          <w:sz w:val="24"/>
          <w:lang w:val="en-US"/>
        </w:rPr>
      </w:pPr>
    </w:p>
    <w:p w:rsidR="0018691D" w:rsidRDefault="0018691D" w:rsidP="0018691D">
      <w:pPr>
        <w:jc w:val="center"/>
        <w:rPr>
          <w:rFonts w:ascii="Arial" w:hAnsi="Arial" w:cs="Arial"/>
          <w:sz w:val="24"/>
          <w:lang w:val="en-US"/>
        </w:rPr>
      </w:pPr>
      <w:r>
        <w:rPr>
          <w:rFonts w:ascii="Arial" w:hAnsi="Arial" w:cs="Arial"/>
          <w:sz w:val="24"/>
          <w:lang w:val="en-US"/>
        </w:rPr>
        <w:t>Capital structure</w:t>
      </w:r>
    </w:p>
    <w:p w:rsidR="0018691D" w:rsidRDefault="0018691D" w:rsidP="0018691D">
      <w:pPr>
        <w:rPr>
          <w:rFonts w:ascii="Arial" w:hAnsi="Arial" w:cs="Arial"/>
          <w:sz w:val="24"/>
          <w:lang w:val="en-US"/>
        </w:rPr>
      </w:pPr>
      <w:r w:rsidRPr="008245C8">
        <w:rPr>
          <w:rFonts w:ascii="Arial" w:hAnsi="Arial" w:cs="Arial"/>
          <w:b/>
          <w:sz w:val="24"/>
          <w:lang w:val="en-US"/>
        </w:rPr>
        <w:t>Gearing</w:t>
      </w:r>
      <w:r>
        <w:rPr>
          <w:rFonts w:ascii="Arial" w:hAnsi="Arial" w:cs="Arial"/>
          <w:sz w:val="24"/>
          <w:lang w:val="en-US"/>
        </w:rPr>
        <w:t xml:space="preserve"> is indicator which shows the ‘health’ condition of the company identifying the mix between the non-risk capital (equity) and risk capital (debt).</w:t>
      </w:r>
    </w:p>
    <w:tbl>
      <w:tblPr>
        <w:tblStyle w:val="a3"/>
        <w:tblW w:w="9025" w:type="dxa"/>
        <w:tblLayout w:type="fixed"/>
        <w:tblLook w:val="04A0" w:firstRow="1" w:lastRow="0" w:firstColumn="1" w:lastColumn="0" w:noHBand="0" w:noVBand="1"/>
      </w:tblPr>
      <w:tblGrid>
        <w:gridCol w:w="1805"/>
        <w:gridCol w:w="1805"/>
        <w:gridCol w:w="1805"/>
        <w:gridCol w:w="1805"/>
        <w:gridCol w:w="1805"/>
      </w:tblGrid>
      <w:tr w:rsidR="0018691D" w:rsidTr="009A20AD">
        <w:trPr>
          <w:trHeight w:val="300"/>
        </w:trPr>
        <w:tc>
          <w:tcPr>
            <w:tcW w:w="1805" w:type="dxa"/>
            <w:shd w:val="clear" w:color="auto" w:fill="FFFF00"/>
          </w:tcPr>
          <w:p w:rsidR="0018691D" w:rsidRDefault="0018691D" w:rsidP="009A20AD">
            <w:pPr>
              <w:rPr>
                <w:rFonts w:ascii="Calibri" w:eastAsia="Calibri" w:hAnsi="Calibri" w:cs="Calibri"/>
                <w:b/>
                <w:bCs/>
                <w:color w:val="000000" w:themeColor="text1"/>
                <w:sz w:val="24"/>
                <w:szCs w:val="24"/>
              </w:rPr>
            </w:pPr>
            <w:r w:rsidRPr="4B444336">
              <w:rPr>
                <w:rFonts w:ascii="Calibri" w:eastAsia="Calibri" w:hAnsi="Calibri" w:cs="Calibri"/>
                <w:b/>
                <w:bCs/>
                <w:color w:val="000000" w:themeColor="text1"/>
                <w:sz w:val="24"/>
                <w:szCs w:val="24"/>
              </w:rPr>
              <w:t>Capital Structure</w:t>
            </w:r>
          </w:p>
        </w:tc>
        <w:tc>
          <w:tcPr>
            <w:tcW w:w="1805" w:type="dxa"/>
            <w:shd w:val="clear" w:color="auto" w:fill="FFFF00"/>
          </w:tcPr>
          <w:p w:rsidR="0018691D" w:rsidRDefault="0018691D"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2019</w:t>
            </w:r>
          </w:p>
        </w:tc>
        <w:tc>
          <w:tcPr>
            <w:tcW w:w="1805" w:type="dxa"/>
            <w:shd w:val="clear" w:color="auto" w:fill="FFFF00"/>
          </w:tcPr>
          <w:p w:rsidR="0018691D" w:rsidRDefault="0018691D"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2018</w:t>
            </w:r>
          </w:p>
        </w:tc>
        <w:tc>
          <w:tcPr>
            <w:tcW w:w="1805" w:type="dxa"/>
            <w:shd w:val="clear" w:color="auto" w:fill="FFFF00"/>
          </w:tcPr>
          <w:p w:rsidR="0018691D" w:rsidRDefault="0018691D"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Difference</w:t>
            </w:r>
          </w:p>
        </w:tc>
        <w:tc>
          <w:tcPr>
            <w:tcW w:w="1805" w:type="dxa"/>
            <w:shd w:val="clear" w:color="auto" w:fill="FFFF00"/>
          </w:tcPr>
          <w:p w:rsidR="0018691D" w:rsidRDefault="0018691D"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Performance (%)</w:t>
            </w:r>
          </w:p>
        </w:tc>
      </w:tr>
      <w:tr w:rsidR="0018691D" w:rsidTr="009A20AD">
        <w:trPr>
          <w:trHeight w:val="300"/>
        </w:trPr>
        <w:tc>
          <w:tcPr>
            <w:tcW w:w="1805" w:type="dxa"/>
          </w:tcPr>
          <w:p w:rsidR="0018691D" w:rsidRDefault="0018691D" w:rsidP="009A20AD">
            <w:pPr>
              <w:rPr>
                <w:rFonts w:ascii="Calibri" w:eastAsia="Calibri" w:hAnsi="Calibri" w:cs="Calibri"/>
                <w:color w:val="000000" w:themeColor="text1"/>
              </w:rPr>
            </w:pPr>
            <w:r w:rsidRPr="4B444336">
              <w:rPr>
                <w:rFonts w:ascii="Calibri" w:eastAsia="Calibri" w:hAnsi="Calibri" w:cs="Calibri"/>
                <w:color w:val="000000" w:themeColor="text1"/>
              </w:rPr>
              <w:t>GEARING-Debt to capital</w:t>
            </w:r>
          </w:p>
        </w:tc>
        <w:tc>
          <w:tcPr>
            <w:tcW w:w="1805" w:type="dxa"/>
          </w:tcPr>
          <w:p w:rsidR="0018691D" w:rsidRDefault="0018691D" w:rsidP="009A20AD">
            <w:pPr>
              <w:jc w:val="right"/>
            </w:pPr>
            <w:r w:rsidRPr="4B444336">
              <w:rPr>
                <w:rFonts w:ascii="Calibri" w:eastAsia="Calibri" w:hAnsi="Calibri" w:cs="Calibri"/>
                <w:color w:val="000000" w:themeColor="text1"/>
              </w:rPr>
              <w:t>29.3</w:t>
            </w:r>
          </w:p>
        </w:tc>
        <w:tc>
          <w:tcPr>
            <w:tcW w:w="1805" w:type="dxa"/>
          </w:tcPr>
          <w:p w:rsidR="0018691D" w:rsidRDefault="0018691D" w:rsidP="009A20AD">
            <w:pPr>
              <w:jc w:val="right"/>
            </w:pPr>
            <w:r w:rsidRPr="4B444336">
              <w:rPr>
                <w:rFonts w:ascii="Calibri" w:eastAsia="Calibri" w:hAnsi="Calibri" w:cs="Calibri"/>
                <w:color w:val="000000" w:themeColor="text1"/>
              </w:rPr>
              <w:t>38</w:t>
            </w:r>
          </w:p>
        </w:tc>
        <w:tc>
          <w:tcPr>
            <w:tcW w:w="1805" w:type="dxa"/>
          </w:tcPr>
          <w:p w:rsidR="0018691D" w:rsidRDefault="0018691D" w:rsidP="009A20AD">
            <w:pPr>
              <w:jc w:val="right"/>
            </w:pPr>
            <w:r w:rsidRPr="4B444336">
              <w:rPr>
                <w:rFonts w:ascii="Calibri" w:eastAsia="Calibri" w:hAnsi="Calibri" w:cs="Calibri"/>
                <w:color w:val="000000" w:themeColor="text1"/>
              </w:rPr>
              <w:t>-9</w:t>
            </w:r>
          </w:p>
        </w:tc>
        <w:tc>
          <w:tcPr>
            <w:tcW w:w="1805" w:type="dxa"/>
          </w:tcPr>
          <w:p w:rsidR="0018691D" w:rsidRDefault="0018691D" w:rsidP="009A20AD">
            <w:pPr>
              <w:jc w:val="right"/>
            </w:pPr>
            <w:r w:rsidRPr="4B444336">
              <w:rPr>
                <w:rFonts w:ascii="Calibri" w:eastAsia="Calibri" w:hAnsi="Calibri" w:cs="Calibri"/>
                <w:color w:val="000000" w:themeColor="text1"/>
              </w:rPr>
              <w:t>-8.7</w:t>
            </w:r>
          </w:p>
        </w:tc>
      </w:tr>
    </w:tbl>
    <w:p w:rsidR="0018691D" w:rsidRDefault="0018691D" w:rsidP="0018691D">
      <w:pPr>
        <w:rPr>
          <w:rFonts w:ascii="Arial" w:hAnsi="Arial" w:cs="Arial"/>
          <w:sz w:val="24"/>
          <w:lang w:val="en-US"/>
        </w:rPr>
      </w:pPr>
      <w:r>
        <w:rPr>
          <w:rFonts w:ascii="Arial" w:hAnsi="Arial" w:cs="Arial"/>
          <w:sz w:val="24"/>
          <w:lang w:val="en-US"/>
        </w:rPr>
        <w:t>The borrowing from bank is reduced with -20%( 800,000) compared to 2018 when the amount was 1,000,000. This is a good sign and illustrates that the company is not too much geared or dependent on borrowing. Other than that we have no more information for further analyses.</w:t>
      </w:r>
    </w:p>
    <w:p w:rsidR="0018691D" w:rsidRDefault="0018691D" w:rsidP="0018691D">
      <w:pPr>
        <w:rPr>
          <w:rFonts w:ascii="Arial" w:hAnsi="Arial" w:cs="Arial"/>
          <w:sz w:val="24"/>
          <w:lang w:val="en-US"/>
        </w:rPr>
      </w:pPr>
      <w:r>
        <w:rPr>
          <w:rFonts w:ascii="Arial" w:hAnsi="Arial" w:cs="Arial"/>
          <w:sz w:val="24"/>
          <w:lang w:val="en-US"/>
        </w:rPr>
        <w:t>Gearing= Debt capital (-20%)/ (Debt capital+equity (+18.4%))x100</w:t>
      </w:r>
    </w:p>
    <w:p w:rsidR="0018691D" w:rsidRDefault="0018691D" w:rsidP="0018691D">
      <w:pPr>
        <w:rPr>
          <w:rFonts w:ascii="Arial" w:hAnsi="Arial" w:cs="Arial"/>
          <w:sz w:val="24"/>
          <w:lang w:val="en-US"/>
        </w:rPr>
      </w:pPr>
      <w:r>
        <w:rPr>
          <w:rFonts w:ascii="Arial" w:hAnsi="Arial" w:cs="Arial"/>
          <w:sz w:val="24"/>
          <w:lang w:val="en-US"/>
        </w:rPr>
        <w:t>Equity, as a next component, show +18.4% rise. The raise is made up of the increased Retained earning which is the net profit left after the dividends paid to its shareholders where in 2019 were paid +10% more dividends compare to 2018. This is a very good indicator for the company’s general performance outcome.</w:t>
      </w:r>
    </w:p>
    <w:p w:rsidR="0018691D" w:rsidRDefault="0018691D" w:rsidP="0018691D">
      <w:pPr>
        <w:rPr>
          <w:rFonts w:ascii="Arial" w:hAnsi="Arial" w:cs="Arial"/>
          <w:b/>
          <w:sz w:val="24"/>
          <w:lang w:val="en-US"/>
        </w:rPr>
      </w:pPr>
      <w:r w:rsidRPr="006128E9">
        <w:rPr>
          <w:rFonts w:ascii="Arial" w:hAnsi="Arial" w:cs="Arial"/>
          <w:b/>
          <w:sz w:val="24"/>
          <w:lang w:val="en-US"/>
        </w:rPr>
        <w:t>Interest cover</w:t>
      </w:r>
    </w:p>
    <w:tbl>
      <w:tblPr>
        <w:tblStyle w:val="a3"/>
        <w:tblW w:w="9025" w:type="dxa"/>
        <w:tblLayout w:type="fixed"/>
        <w:tblLook w:val="04A0" w:firstRow="1" w:lastRow="0" w:firstColumn="1" w:lastColumn="0" w:noHBand="0" w:noVBand="1"/>
      </w:tblPr>
      <w:tblGrid>
        <w:gridCol w:w="1805"/>
        <w:gridCol w:w="1805"/>
        <w:gridCol w:w="1805"/>
        <w:gridCol w:w="1805"/>
        <w:gridCol w:w="1805"/>
      </w:tblGrid>
      <w:tr w:rsidR="0018691D" w:rsidTr="009A20AD">
        <w:trPr>
          <w:trHeight w:val="300"/>
        </w:trPr>
        <w:tc>
          <w:tcPr>
            <w:tcW w:w="1805" w:type="dxa"/>
            <w:shd w:val="clear" w:color="auto" w:fill="FFFF00"/>
          </w:tcPr>
          <w:p w:rsidR="0018691D" w:rsidRDefault="0018691D" w:rsidP="009A20AD">
            <w:pPr>
              <w:rPr>
                <w:rFonts w:ascii="Calibri" w:eastAsia="Calibri" w:hAnsi="Calibri" w:cs="Calibri"/>
                <w:b/>
                <w:bCs/>
                <w:color w:val="000000" w:themeColor="text1"/>
                <w:sz w:val="24"/>
                <w:szCs w:val="24"/>
              </w:rPr>
            </w:pPr>
            <w:r w:rsidRPr="4B444336">
              <w:rPr>
                <w:rFonts w:ascii="Calibri" w:eastAsia="Calibri" w:hAnsi="Calibri" w:cs="Calibri"/>
                <w:b/>
                <w:bCs/>
                <w:color w:val="000000" w:themeColor="text1"/>
                <w:sz w:val="24"/>
                <w:szCs w:val="24"/>
              </w:rPr>
              <w:t>Capital Structure</w:t>
            </w:r>
          </w:p>
        </w:tc>
        <w:tc>
          <w:tcPr>
            <w:tcW w:w="1805" w:type="dxa"/>
            <w:shd w:val="clear" w:color="auto" w:fill="FFFF00"/>
          </w:tcPr>
          <w:p w:rsidR="0018691D" w:rsidRDefault="0018691D"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2019</w:t>
            </w:r>
          </w:p>
        </w:tc>
        <w:tc>
          <w:tcPr>
            <w:tcW w:w="1805" w:type="dxa"/>
            <w:shd w:val="clear" w:color="auto" w:fill="FFFF00"/>
          </w:tcPr>
          <w:p w:rsidR="0018691D" w:rsidRDefault="0018691D"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2018</w:t>
            </w:r>
          </w:p>
        </w:tc>
        <w:tc>
          <w:tcPr>
            <w:tcW w:w="1805" w:type="dxa"/>
            <w:shd w:val="clear" w:color="auto" w:fill="FFFF00"/>
          </w:tcPr>
          <w:p w:rsidR="0018691D" w:rsidRDefault="0018691D"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Difference</w:t>
            </w:r>
          </w:p>
        </w:tc>
        <w:tc>
          <w:tcPr>
            <w:tcW w:w="1805" w:type="dxa"/>
            <w:shd w:val="clear" w:color="auto" w:fill="FFFF00"/>
          </w:tcPr>
          <w:p w:rsidR="0018691D" w:rsidRDefault="0018691D"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Performance (%)</w:t>
            </w:r>
          </w:p>
        </w:tc>
      </w:tr>
      <w:tr w:rsidR="0018691D" w:rsidTr="009A20AD">
        <w:trPr>
          <w:trHeight w:val="300"/>
        </w:trPr>
        <w:tc>
          <w:tcPr>
            <w:tcW w:w="1805" w:type="dxa"/>
          </w:tcPr>
          <w:p w:rsidR="0018691D" w:rsidRDefault="0018691D" w:rsidP="009A20AD">
            <w:pPr>
              <w:rPr>
                <w:rFonts w:ascii="Calibri" w:eastAsia="Calibri" w:hAnsi="Calibri" w:cs="Calibri"/>
                <w:color w:val="000000" w:themeColor="text1"/>
              </w:rPr>
            </w:pPr>
            <w:r w:rsidRPr="4B444336">
              <w:rPr>
                <w:rFonts w:ascii="Calibri" w:eastAsia="Calibri" w:hAnsi="Calibri" w:cs="Calibri"/>
                <w:color w:val="000000" w:themeColor="text1"/>
              </w:rPr>
              <w:t>Interest cover</w:t>
            </w:r>
          </w:p>
        </w:tc>
        <w:tc>
          <w:tcPr>
            <w:tcW w:w="1805" w:type="dxa"/>
          </w:tcPr>
          <w:p w:rsidR="0018691D" w:rsidRDefault="0018691D" w:rsidP="009A20AD">
            <w:pPr>
              <w:jc w:val="right"/>
            </w:pPr>
            <w:r w:rsidRPr="4B444336">
              <w:rPr>
                <w:rFonts w:ascii="Calibri" w:eastAsia="Calibri" w:hAnsi="Calibri" w:cs="Calibri"/>
                <w:color w:val="000000" w:themeColor="text1"/>
              </w:rPr>
              <w:t>12</w:t>
            </w:r>
          </w:p>
        </w:tc>
        <w:tc>
          <w:tcPr>
            <w:tcW w:w="1805" w:type="dxa"/>
          </w:tcPr>
          <w:p w:rsidR="0018691D" w:rsidRDefault="0018691D" w:rsidP="009A20AD">
            <w:pPr>
              <w:jc w:val="right"/>
            </w:pPr>
            <w:r w:rsidRPr="4B444336">
              <w:rPr>
                <w:rFonts w:ascii="Calibri" w:eastAsia="Calibri" w:hAnsi="Calibri" w:cs="Calibri"/>
                <w:color w:val="000000" w:themeColor="text1"/>
              </w:rPr>
              <w:t>8.2</w:t>
            </w:r>
          </w:p>
        </w:tc>
        <w:tc>
          <w:tcPr>
            <w:tcW w:w="1805" w:type="dxa"/>
          </w:tcPr>
          <w:p w:rsidR="0018691D" w:rsidRDefault="0018691D" w:rsidP="009A20AD">
            <w:pPr>
              <w:jc w:val="right"/>
            </w:pPr>
            <w:r w:rsidRPr="4B444336">
              <w:rPr>
                <w:rFonts w:ascii="Calibri" w:eastAsia="Calibri" w:hAnsi="Calibri" w:cs="Calibri"/>
                <w:color w:val="000000" w:themeColor="text1"/>
              </w:rPr>
              <w:t>4</w:t>
            </w:r>
          </w:p>
        </w:tc>
        <w:tc>
          <w:tcPr>
            <w:tcW w:w="1805" w:type="dxa"/>
          </w:tcPr>
          <w:p w:rsidR="0018691D" w:rsidRDefault="0018691D" w:rsidP="009A20AD">
            <w:pPr>
              <w:jc w:val="right"/>
            </w:pPr>
            <w:r w:rsidRPr="4B444336">
              <w:rPr>
                <w:rFonts w:ascii="Calibri" w:eastAsia="Calibri" w:hAnsi="Calibri" w:cs="Calibri"/>
                <w:color w:val="000000" w:themeColor="text1"/>
              </w:rPr>
              <w:t>46.3</w:t>
            </w:r>
          </w:p>
        </w:tc>
      </w:tr>
    </w:tbl>
    <w:p w:rsidR="0018691D" w:rsidRDefault="0018691D" w:rsidP="0018691D">
      <w:pPr>
        <w:rPr>
          <w:rFonts w:ascii="Arial" w:hAnsi="Arial" w:cs="Arial"/>
          <w:sz w:val="24"/>
          <w:lang w:val="en-US"/>
        </w:rPr>
      </w:pPr>
      <w:r>
        <w:rPr>
          <w:rFonts w:ascii="Arial" w:hAnsi="Arial" w:cs="Arial"/>
          <w:sz w:val="24"/>
          <w:lang w:val="en-US"/>
        </w:rPr>
        <w:t>Here the result show clearly that the company interest cover marked significant growth with +46%, which means that the profit generated is enough to meet firms interest obligations (12 times). One of the reasons for that is the low loan borrowed in 2019 and obviously this is followed by reduction of it interest fee. Additionally, ordinary shares remain constant this year.</w:t>
      </w:r>
    </w:p>
    <w:p w:rsidR="0018691D" w:rsidRDefault="0018691D" w:rsidP="0018691D">
      <w:pPr>
        <w:jc w:val="center"/>
        <w:rPr>
          <w:rFonts w:ascii="Arial" w:hAnsi="Arial" w:cs="Arial"/>
          <w:sz w:val="24"/>
          <w:lang w:val="en-US"/>
        </w:rPr>
      </w:pPr>
      <w:r>
        <w:rPr>
          <w:rFonts w:ascii="Arial" w:hAnsi="Arial" w:cs="Arial"/>
          <w:sz w:val="24"/>
          <w:lang w:val="en-US"/>
        </w:rPr>
        <w:t>7</w:t>
      </w:r>
    </w:p>
    <w:p w:rsidR="0018691D" w:rsidRDefault="0018691D" w:rsidP="0018691D">
      <w:pPr>
        <w:jc w:val="center"/>
        <w:rPr>
          <w:rFonts w:ascii="Arial" w:hAnsi="Arial" w:cs="Arial"/>
          <w:sz w:val="24"/>
          <w:lang w:val="en-US"/>
        </w:rPr>
      </w:pPr>
      <w:r>
        <w:rPr>
          <w:rFonts w:ascii="Arial" w:hAnsi="Arial" w:cs="Arial"/>
          <w:sz w:val="24"/>
          <w:lang w:val="en-US"/>
        </w:rPr>
        <w:lastRenderedPageBreak/>
        <w:t>Investment</w:t>
      </w:r>
    </w:p>
    <w:p w:rsidR="0018691D" w:rsidRDefault="0018691D" w:rsidP="0018691D">
      <w:pPr>
        <w:rPr>
          <w:rFonts w:ascii="Arial" w:hAnsi="Arial" w:cs="Arial"/>
          <w:b/>
          <w:sz w:val="24"/>
          <w:lang w:val="en-US"/>
        </w:rPr>
      </w:pPr>
      <w:r w:rsidRPr="009D1E67">
        <w:rPr>
          <w:rFonts w:ascii="Arial" w:hAnsi="Arial" w:cs="Arial"/>
          <w:b/>
          <w:sz w:val="24"/>
          <w:lang w:val="en-US"/>
        </w:rPr>
        <w:t xml:space="preserve">Earnings per share (EPS) </w:t>
      </w:r>
    </w:p>
    <w:tbl>
      <w:tblPr>
        <w:tblStyle w:val="a3"/>
        <w:tblW w:w="9025" w:type="dxa"/>
        <w:tblLayout w:type="fixed"/>
        <w:tblLook w:val="04A0" w:firstRow="1" w:lastRow="0" w:firstColumn="1" w:lastColumn="0" w:noHBand="0" w:noVBand="1"/>
      </w:tblPr>
      <w:tblGrid>
        <w:gridCol w:w="1805"/>
        <w:gridCol w:w="1805"/>
        <w:gridCol w:w="1805"/>
        <w:gridCol w:w="1805"/>
        <w:gridCol w:w="1805"/>
      </w:tblGrid>
      <w:tr w:rsidR="0018691D" w:rsidTr="009A20AD">
        <w:trPr>
          <w:trHeight w:val="300"/>
        </w:trPr>
        <w:tc>
          <w:tcPr>
            <w:tcW w:w="1805" w:type="dxa"/>
            <w:shd w:val="clear" w:color="auto" w:fill="FFFF00"/>
          </w:tcPr>
          <w:p w:rsidR="0018691D" w:rsidRDefault="0018691D" w:rsidP="009A20AD">
            <w:pPr>
              <w:rPr>
                <w:rFonts w:ascii="Calibri" w:eastAsia="Calibri" w:hAnsi="Calibri" w:cs="Calibri"/>
                <w:b/>
                <w:bCs/>
                <w:color w:val="000000" w:themeColor="text1"/>
                <w:sz w:val="24"/>
                <w:szCs w:val="24"/>
              </w:rPr>
            </w:pPr>
            <w:r w:rsidRPr="4B444336">
              <w:rPr>
                <w:rFonts w:ascii="Calibri" w:eastAsia="Calibri" w:hAnsi="Calibri" w:cs="Calibri"/>
                <w:b/>
                <w:bCs/>
                <w:color w:val="000000" w:themeColor="text1"/>
                <w:sz w:val="24"/>
                <w:szCs w:val="24"/>
              </w:rPr>
              <w:t>Capital Structure</w:t>
            </w:r>
          </w:p>
        </w:tc>
        <w:tc>
          <w:tcPr>
            <w:tcW w:w="1805" w:type="dxa"/>
            <w:shd w:val="clear" w:color="auto" w:fill="FFFF00"/>
          </w:tcPr>
          <w:p w:rsidR="0018691D" w:rsidRDefault="0018691D"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2019</w:t>
            </w:r>
          </w:p>
        </w:tc>
        <w:tc>
          <w:tcPr>
            <w:tcW w:w="1805" w:type="dxa"/>
            <w:shd w:val="clear" w:color="auto" w:fill="FFFF00"/>
          </w:tcPr>
          <w:p w:rsidR="0018691D" w:rsidRDefault="0018691D"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2018</w:t>
            </w:r>
          </w:p>
        </w:tc>
        <w:tc>
          <w:tcPr>
            <w:tcW w:w="1805" w:type="dxa"/>
            <w:shd w:val="clear" w:color="auto" w:fill="FFFF00"/>
          </w:tcPr>
          <w:p w:rsidR="0018691D" w:rsidRDefault="0018691D"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Difference</w:t>
            </w:r>
          </w:p>
        </w:tc>
        <w:tc>
          <w:tcPr>
            <w:tcW w:w="1805" w:type="dxa"/>
            <w:shd w:val="clear" w:color="auto" w:fill="FFFF00"/>
          </w:tcPr>
          <w:p w:rsidR="0018691D" w:rsidRDefault="0018691D"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Performance (%)</w:t>
            </w:r>
          </w:p>
        </w:tc>
      </w:tr>
      <w:tr w:rsidR="0018691D" w:rsidTr="009A20AD">
        <w:trPr>
          <w:trHeight w:val="300"/>
        </w:trPr>
        <w:tc>
          <w:tcPr>
            <w:tcW w:w="1805" w:type="dxa"/>
          </w:tcPr>
          <w:p w:rsidR="0018691D" w:rsidRDefault="0018691D" w:rsidP="009A20AD">
            <w:pPr>
              <w:rPr>
                <w:rFonts w:ascii="Calibri" w:eastAsia="Calibri" w:hAnsi="Calibri" w:cs="Calibri"/>
                <w:color w:val="000000" w:themeColor="text1"/>
              </w:rPr>
            </w:pPr>
            <w:r w:rsidRPr="4B444336">
              <w:rPr>
                <w:rFonts w:ascii="Calibri" w:eastAsia="Calibri" w:hAnsi="Calibri" w:cs="Calibri"/>
                <w:color w:val="000000" w:themeColor="text1"/>
              </w:rPr>
              <w:t>Earnings per share (EPS)</w:t>
            </w:r>
          </w:p>
        </w:tc>
        <w:tc>
          <w:tcPr>
            <w:tcW w:w="1805" w:type="dxa"/>
          </w:tcPr>
          <w:p w:rsidR="0018691D" w:rsidRDefault="0018691D" w:rsidP="009A20AD">
            <w:pPr>
              <w:jc w:val="right"/>
            </w:pPr>
            <w:r w:rsidRPr="4B444336">
              <w:rPr>
                <w:rFonts w:ascii="Calibri" w:eastAsia="Calibri" w:hAnsi="Calibri" w:cs="Calibri"/>
                <w:color w:val="000000" w:themeColor="text1"/>
              </w:rPr>
              <w:t>63</w:t>
            </w:r>
          </w:p>
        </w:tc>
        <w:tc>
          <w:tcPr>
            <w:tcW w:w="1805" w:type="dxa"/>
          </w:tcPr>
          <w:p w:rsidR="0018691D" w:rsidRDefault="0018691D" w:rsidP="009A20AD">
            <w:pPr>
              <w:jc w:val="right"/>
            </w:pPr>
            <w:r w:rsidRPr="4B444336">
              <w:rPr>
                <w:rFonts w:ascii="Calibri" w:eastAsia="Calibri" w:hAnsi="Calibri" w:cs="Calibri"/>
                <w:color w:val="000000" w:themeColor="text1"/>
              </w:rPr>
              <w:t>51</w:t>
            </w:r>
          </w:p>
        </w:tc>
        <w:tc>
          <w:tcPr>
            <w:tcW w:w="1805" w:type="dxa"/>
          </w:tcPr>
          <w:p w:rsidR="0018691D" w:rsidRDefault="0018691D" w:rsidP="009A20AD">
            <w:pPr>
              <w:jc w:val="right"/>
            </w:pPr>
            <w:r w:rsidRPr="4B444336">
              <w:rPr>
                <w:rFonts w:ascii="Calibri" w:eastAsia="Calibri" w:hAnsi="Calibri" w:cs="Calibri"/>
                <w:color w:val="000000" w:themeColor="text1"/>
              </w:rPr>
              <w:t>12</w:t>
            </w:r>
          </w:p>
        </w:tc>
        <w:tc>
          <w:tcPr>
            <w:tcW w:w="1805" w:type="dxa"/>
          </w:tcPr>
          <w:p w:rsidR="0018691D" w:rsidRDefault="0018691D" w:rsidP="009A20AD">
            <w:pPr>
              <w:jc w:val="right"/>
            </w:pPr>
            <w:r w:rsidRPr="4B444336">
              <w:rPr>
                <w:rFonts w:ascii="Calibri" w:eastAsia="Calibri" w:hAnsi="Calibri" w:cs="Calibri"/>
                <w:color w:val="000000" w:themeColor="text1"/>
              </w:rPr>
              <w:t>23.5</w:t>
            </w:r>
          </w:p>
        </w:tc>
      </w:tr>
    </w:tbl>
    <w:p w:rsidR="0018691D" w:rsidRDefault="0018691D" w:rsidP="0018691D">
      <w:pPr>
        <w:rPr>
          <w:rFonts w:ascii="Arial" w:hAnsi="Arial" w:cs="Arial"/>
          <w:sz w:val="24"/>
          <w:lang w:val="en-US"/>
        </w:rPr>
      </w:pPr>
      <w:r>
        <w:rPr>
          <w:rFonts w:ascii="Arial" w:hAnsi="Arial" w:cs="Arial"/>
          <w:b/>
          <w:sz w:val="24"/>
          <w:lang w:val="en-US"/>
        </w:rPr>
        <w:t xml:space="preserve"> </w:t>
      </w:r>
      <w:r>
        <w:rPr>
          <w:rFonts w:ascii="Arial" w:hAnsi="Arial" w:cs="Arial"/>
          <w:sz w:val="24"/>
          <w:lang w:val="en-US"/>
        </w:rPr>
        <w:t>EPS increase its performance with +23% which means that the amount earned per £1 individual investment is increased with 63 pence in 2019. In greater detail all</w:t>
      </w:r>
      <w:r>
        <w:rPr>
          <w:rFonts w:ascii="Arial" w:hAnsi="Arial" w:cs="Arial"/>
          <w:sz w:val="24"/>
          <w:lang w:val="en-US"/>
        </w:rPr>
        <w:t xml:space="preserve"> </w:t>
      </w:r>
      <w:r>
        <w:rPr>
          <w:rFonts w:ascii="Arial" w:hAnsi="Arial" w:cs="Arial"/>
          <w:sz w:val="24"/>
          <w:lang w:val="en-US"/>
        </w:rPr>
        <w:t>types of profits included in the formula marked a rise during the current year. Furthermore, the drop of the amount of the interest fees with (-20%) also helped for the enlargement of the EPS ratio. Even when there is no any change in the amount of the ordinary shares, this is a very good sign and could increase the interest of buying and investing more in shares. Also, the company pay regularly dividends to the shareholder, which is very attractive for those who would like to make a fast turnover.</w:t>
      </w:r>
    </w:p>
    <w:p w:rsidR="0018691D" w:rsidRDefault="0018691D" w:rsidP="0018691D">
      <w:pPr>
        <w:rPr>
          <w:rFonts w:ascii="Arial" w:hAnsi="Arial" w:cs="Arial"/>
          <w:b/>
          <w:sz w:val="24"/>
          <w:lang w:val="en-US"/>
        </w:rPr>
      </w:pPr>
      <w:r w:rsidRPr="00744777">
        <w:rPr>
          <w:rFonts w:ascii="Arial" w:hAnsi="Arial" w:cs="Arial"/>
          <w:b/>
          <w:sz w:val="24"/>
          <w:lang w:val="en-US"/>
        </w:rPr>
        <w:t>Price Earnings Ratio (P/E)</w:t>
      </w:r>
    </w:p>
    <w:tbl>
      <w:tblPr>
        <w:tblStyle w:val="a3"/>
        <w:tblW w:w="9025" w:type="dxa"/>
        <w:tblLayout w:type="fixed"/>
        <w:tblLook w:val="04A0" w:firstRow="1" w:lastRow="0" w:firstColumn="1" w:lastColumn="0" w:noHBand="0" w:noVBand="1"/>
      </w:tblPr>
      <w:tblGrid>
        <w:gridCol w:w="1805"/>
        <w:gridCol w:w="1805"/>
        <w:gridCol w:w="1805"/>
        <w:gridCol w:w="1805"/>
        <w:gridCol w:w="1805"/>
      </w:tblGrid>
      <w:tr w:rsidR="0018691D" w:rsidTr="009A20AD">
        <w:trPr>
          <w:trHeight w:val="300"/>
        </w:trPr>
        <w:tc>
          <w:tcPr>
            <w:tcW w:w="1805" w:type="dxa"/>
            <w:shd w:val="clear" w:color="auto" w:fill="FFFF00"/>
          </w:tcPr>
          <w:p w:rsidR="0018691D" w:rsidRDefault="0018691D" w:rsidP="009A20AD">
            <w:pPr>
              <w:rPr>
                <w:rFonts w:ascii="Calibri" w:eastAsia="Calibri" w:hAnsi="Calibri" w:cs="Calibri"/>
                <w:b/>
                <w:bCs/>
                <w:color w:val="000000" w:themeColor="text1"/>
                <w:sz w:val="24"/>
                <w:szCs w:val="24"/>
              </w:rPr>
            </w:pPr>
            <w:r w:rsidRPr="4B444336">
              <w:rPr>
                <w:rFonts w:ascii="Calibri" w:eastAsia="Calibri" w:hAnsi="Calibri" w:cs="Calibri"/>
                <w:b/>
                <w:bCs/>
                <w:color w:val="000000" w:themeColor="text1"/>
                <w:sz w:val="24"/>
                <w:szCs w:val="24"/>
              </w:rPr>
              <w:t>Capital Structure</w:t>
            </w:r>
          </w:p>
        </w:tc>
        <w:tc>
          <w:tcPr>
            <w:tcW w:w="1805" w:type="dxa"/>
            <w:shd w:val="clear" w:color="auto" w:fill="FFFF00"/>
          </w:tcPr>
          <w:p w:rsidR="0018691D" w:rsidRDefault="0018691D"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2019</w:t>
            </w:r>
          </w:p>
        </w:tc>
        <w:tc>
          <w:tcPr>
            <w:tcW w:w="1805" w:type="dxa"/>
            <w:shd w:val="clear" w:color="auto" w:fill="FFFF00"/>
          </w:tcPr>
          <w:p w:rsidR="0018691D" w:rsidRDefault="0018691D"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2018</w:t>
            </w:r>
          </w:p>
        </w:tc>
        <w:tc>
          <w:tcPr>
            <w:tcW w:w="1805" w:type="dxa"/>
            <w:shd w:val="clear" w:color="auto" w:fill="FFFF00"/>
          </w:tcPr>
          <w:p w:rsidR="0018691D" w:rsidRDefault="0018691D"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Difference</w:t>
            </w:r>
          </w:p>
        </w:tc>
        <w:tc>
          <w:tcPr>
            <w:tcW w:w="1805" w:type="dxa"/>
            <w:shd w:val="clear" w:color="auto" w:fill="FFFF00"/>
          </w:tcPr>
          <w:p w:rsidR="0018691D" w:rsidRDefault="0018691D"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Performance (%)</w:t>
            </w:r>
          </w:p>
        </w:tc>
      </w:tr>
      <w:tr w:rsidR="0018691D" w:rsidTr="009A20AD">
        <w:trPr>
          <w:trHeight w:val="300"/>
        </w:trPr>
        <w:tc>
          <w:tcPr>
            <w:tcW w:w="1805" w:type="dxa"/>
          </w:tcPr>
          <w:p w:rsidR="0018691D" w:rsidRDefault="0018691D" w:rsidP="009A20AD">
            <w:pPr>
              <w:rPr>
                <w:rFonts w:ascii="Calibri" w:eastAsia="Calibri" w:hAnsi="Calibri" w:cs="Calibri"/>
                <w:color w:val="000000" w:themeColor="text1"/>
              </w:rPr>
            </w:pPr>
            <w:r w:rsidRPr="4B444336">
              <w:rPr>
                <w:rFonts w:ascii="Calibri" w:eastAsia="Calibri" w:hAnsi="Calibri" w:cs="Calibri"/>
                <w:color w:val="000000" w:themeColor="text1"/>
              </w:rPr>
              <w:t>Price earnings ratio (PER)</w:t>
            </w:r>
          </w:p>
        </w:tc>
        <w:tc>
          <w:tcPr>
            <w:tcW w:w="1805" w:type="dxa"/>
          </w:tcPr>
          <w:p w:rsidR="0018691D" w:rsidRDefault="0018691D" w:rsidP="009A20AD">
            <w:pPr>
              <w:jc w:val="right"/>
            </w:pPr>
            <w:r w:rsidRPr="4B444336">
              <w:rPr>
                <w:rFonts w:ascii="Calibri" w:eastAsia="Calibri" w:hAnsi="Calibri" w:cs="Calibri"/>
                <w:color w:val="000000" w:themeColor="text1"/>
              </w:rPr>
              <w:t>5.6</w:t>
            </w:r>
          </w:p>
        </w:tc>
        <w:tc>
          <w:tcPr>
            <w:tcW w:w="1805" w:type="dxa"/>
          </w:tcPr>
          <w:p w:rsidR="0018691D" w:rsidRDefault="0018691D" w:rsidP="009A20AD">
            <w:pPr>
              <w:jc w:val="right"/>
            </w:pPr>
            <w:r w:rsidRPr="4B444336">
              <w:rPr>
                <w:rFonts w:ascii="Calibri" w:eastAsia="Calibri" w:hAnsi="Calibri" w:cs="Calibri"/>
                <w:color w:val="000000" w:themeColor="text1"/>
              </w:rPr>
              <w:t>5.4</w:t>
            </w:r>
          </w:p>
        </w:tc>
        <w:tc>
          <w:tcPr>
            <w:tcW w:w="1805" w:type="dxa"/>
          </w:tcPr>
          <w:p w:rsidR="0018691D" w:rsidRDefault="0018691D" w:rsidP="009A20AD">
            <w:pPr>
              <w:jc w:val="right"/>
            </w:pPr>
            <w:r w:rsidRPr="4B444336">
              <w:rPr>
                <w:rFonts w:ascii="Calibri" w:eastAsia="Calibri" w:hAnsi="Calibri" w:cs="Calibri"/>
                <w:color w:val="000000" w:themeColor="text1"/>
              </w:rPr>
              <w:t>0.2</w:t>
            </w:r>
          </w:p>
        </w:tc>
        <w:tc>
          <w:tcPr>
            <w:tcW w:w="1805" w:type="dxa"/>
          </w:tcPr>
          <w:p w:rsidR="0018691D" w:rsidRDefault="0018691D" w:rsidP="009A20AD">
            <w:pPr>
              <w:jc w:val="right"/>
            </w:pPr>
            <w:r w:rsidRPr="4B444336">
              <w:rPr>
                <w:rFonts w:ascii="Calibri" w:eastAsia="Calibri" w:hAnsi="Calibri" w:cs="Calibri"/>
                <w:color w:val="000000" w:themeColor="text1"/>
              </w:rPr>
              <w:t>3.7</w:t>
            </w:r>
          </w:p>
        </w:tc>
      </w:tr>
    </w:tbl>
    <w:p w:rsidR="0018691D" w:rsidRDefault="0018691D" w:rsidP="0018691D">
      <w:pPr>
        <w:rPr>
          <w:rFonts w:ascii="Arial" w:hAnsi="Arial" w:cs="Arial"/>
          <w:sz w:val="24"/>
          <w:lang w:val="en-US"/>
        </w:rPr>
      </w:pPr>
      <w:r>
        <w:rPr>
          <w:rFonts w:ascii="Arial" w:hAnsi="Arial" w:cs="Arial"/>
          <w:sz w:val="24"/>
          <w:lang w:val="en-US"/>
        </w:rPr>
        <w:t>Price earnings ratio marked a growth with +3.7% and shows that the company’s performance improves and this will keep going during next 5 years so the investors can be confident. Firstly, the raise of the Ordinary shares per £1 with +27.3% is main reason for that. Secondly, the Earning per share also raise it value +23%. All these indicators illustrate a clear picture that the company is operating well and generating profit.</w:t>
      </w:r>
    </w:p>
    <w:p w:rsidR="0018691D" w:rsidRDefault="0018691D" w:rsidP="0018691D">
      <w:pPr>
        <w:rPr>
          <w:rFonts w:ascii="Arial" w:hAnsi="Arial" w:cs="Arial"/>
          <w:b/>
          <w:sz w:val="24"/>
          <w:lang w:val="en-US"/>
        </w:rPr>
      </w:pPr>
      <w:r w:rsidRPr="003D5869">
        <w:rPr>
          <w:rFonts w:ascii="Arial" w:hAnsi="Arial" w:cs="Arial"/>
          <w:b/>
          <w:sz w:val="24"/>
          <w:lang w:val="en-US"/>
        </w:rPr>
        <w:t>Dividends per share (DPS)</w:t>
      </w:r>
      <w:r>
        <w:rPr>
          <w:rFonts w:ascii="Arial" w:hAnsi="Arial" w:cs="Arial"/>
          <w:b/>
          <w:sz w:val="24"/>
          <w:lang w:val="en-US"/>
        </w:rPr>
        <w:t xml:space="preserve"> and Dividends payout (%)</w:t>
      </w:r>
    </w:p>
    <w:tbl>
      <w:tblPr>
        <w:tblStyle w:val="a3"/>
        <w:tblW w:w="9025" w:type="dxa"/>
        <w:tblLayout w:type="fixed"/>
        <w:tblLook w:val="04A0" w:firstRow="1" w:lastRow="0" w:firstColumn="1" w:lastColumn="0" w:noHBand="0" w:noVBand="1"/>
      </w:tblPr>
      <w:tblGrid>
        <w:gridCol w:w="1805"/>
        <w:gridCol w:w="1805"/>
        <w:gridCol w:w="1805"/>
        <w:gridCol w:w="1805"/>
        <w:gridCol w:w="1805"/>
      </w:tblGrid>
      <w:tr w:rsidR="0018691D" w:rsidTr="009A20AD">
        <w:trPr>
          <w:trHeight w:val="300"/>
        </w:trPr>
        <w:tc>
          <w:tcPr>
            <w:tcW w:w="1805" w:type="dxa"/>
            <w:shd w:val="clear" w:color="auto" w:fill="FFFF00"/>
          </w:tcPr>
          <w:p w:rsidR="0018691D" w:rsidRDefault="0018691D" w:rsidP="009A20AD">
            <w:pPr>
              <w:rPr>
                <w:rFonts w:ascii="Calibri" w:eastAsia="Calibri" w:hAnsi="Calibri" w:cs="Calibri"/>
                <w:b/>
                <w:bCs/>
                <w:color w:val="000000" w:themeColor="text1"/>
                <w:sz w:val="24"/>
                <w:szCs w:val="24"/>
              </w:rPr>
            </w:pPr>
            <w:r w:rsidRPr="4B444336">
              <w:rPr>
                <w:rFonts w:ascii="Calibri" w:eastAsia="Calibri" w:hAnsi="Calibri" w:cs="Calibri"/>
                <w:b/>
                <w:bCs/>
                <w:color w:val="000000" w:themeColor="text1"/>
                <w:sz w:val="24"/>
                <w:szCs w:val="24"/>
              </w:rPr>
              <w:t>Capital Structure</w:t>
            </w:r>
          </w:p>
        </w:tc>
        <w:tc>
          <w:tcPr>
            <w:tcW w:w="1805" w:type="dxa"/>
            <w:shd w:val="clear" w:color="auto" w:fill="FFFF00"/>
          </w:tcPr>
          <w:p w:rsidR="0018691D" w:rsidRDefault="0018691D"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2019</w:t>
            </w:r>
          </w:p>
        </w:tc>
        <w:tc>
          <w:tcPr>
            <w:tcW w:w="1805" w:type="dxa"/>
            <w:shd w:val="clear" w:color="auto" w:fill="FFFF00"/>
          </w:tcPr>
          <w:p w:rsidR="0018691D" w:rsidRDefault="0018691D"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2018</w:t>
            </w:r>
          </w:p>
        </w:tc>
        <w:tc>
          <w:tcPr>
            <w:tcW w:w="1805" w:type="dxa"/>
            <w:shd w:val="clear" w:color="auto" w:fill="FFFF00"/>
          </w:tcPr>
          <w:p w:rsidR="0018691D" w:rsidRDefault="0018691D"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Difference</w:t>
            </w:r>
          </w:p>
        </w:tc>
        <w:tc>
          <w:tcPr>
            <w:tcW w:w="1805" w:type="dxa"/>
            <w:shd w:val="clear" w:color="auto" w:fill="FFFF00"/>
          </w:tcPr>
          <w:p w:rsidR="0018691D" w:rsidRDefault="0018691D" w:rsidP="009A20AD">
            <w:pPr>
              <w:jc w:val="right"/>
              <w:rPr>
                <w:rFonts w:ascii="Calibri" w:eastAsia="Calibri" w:hAnsi="Calibri" w:cs="Calibri"/>
                <w:b/>
                <w:bCs/>
                <w:color w:val="000000" w:themeColor="text1"/>
              </w:rPr>
            </w:pPr>
            <w:r w:rsidRPr="4B444336">
              <w:rPr>
                <w:rFonts w:ascii="Calibri" w:eastAsia="Calibri" w:hAnsi="Calibri" w:cs="Calibri"/>
                <w:b/>
                <w:bCs/>
                <w:color w:val="000000" w:themeColor="text1"/>
              </w:rPr>
              <w:t>Performance (%)</w:t>
            </w:r>
          </w:p>
        </w:tc>
      </w:tr>
      <w:tr w:rsidR="0018691D" w:rsidTr="009A20AD">
        <w:trPr>
          <w:trHeight w:val="300"/>
        </w:trPr>
        <w:tc>
          <w:tcPr>
            <w:tcW w:w="1805" w:type="dxa"/>
          </w:tcPr>
          <w:p w:rsidR="0018691D" w:rsidRDefault="0018691D" w:rsidP="009A20AD">
            <w:pPr>
              <w:rPr>
                <w:rFonts w:ascii="Calibri" w:eastAsia="Calibri" w:hAnsi="Calibri" w:cs="Calibri"/>
                <w:color w:val="000000" w:themeColor="text1"/>
              </w:rPr>
            </w:pPr>
            <w:r w:rsidRPr="4B444336">
              <w:rPr>
                <w:rFonts w:ascii="Calibri" w:eastAsia="Calibri" w:hAnsi="Calibri" w:cs="Calibri"/>
                <w:color w:val="000000" w:themeColor="text1"/>
              </w:rPr>
              <w:t>Dividends per share (DPS)</w:t>
            </w:r>
          </w:p>
        </w:tc>
        <w:tc>
          <w:tcPr>
            <w:tcW w:w="1805" w:type="dxa"/>
          </w:tcPr>
          <w:p w:rsidR="0018691D" w:rsidRDefault="0018691D" w:rsidP="009A20AD">
            <w:pPr>
              <w:jc w:val="right"/>
            </w:pPr>
            <w:r w:rsidRPr="4B444336">
              <w:rPr>
                <w:rFonts w:ascii="Calibri" w:eastAsia="Calibri" w:hAnsi="Calibri" w:cs="Calibri"/>
                <w:color w:val="000000" w:themeColor="text1"/>
              </w:rPr>
              <w:t>33</w:t>
            </w:r>
          </w:p>
        </w:tc>
        <w:tc>
          <w:tcPr>
            <w:tcW w:w="1805" w:type="dxa"/>
          </w:tcPr>
          <w:p w:rsidR="0018691D" w:rsidRDefault="0018691D" w:rsidP="009A20AD">
            <w:pPr>
              <w:jc w:val="right"/>
            </w:pPr>
            <w:r w:rsidRPr="4B444336">
              <w:rPr>
                <w:rFonts w:ascii="Calibri" w:eastAsia="Calibri" w:hAnsi="Calibri" w:cs="Calibri"/>
                <w:color w:val="000000" w:themeColor="text1"/>
              </w:rPr>
              <w:t>30</w:t>
            </w:r>
          </w:p>
        </w:tc>
        <w:tc>
          <w:tcPr>
            <w:tcW w:w="1805" w:type="dxa"/>
          </w:tcPr>
          <w:p w:rsidR="0018691D" w:rsidRDefault="0018691D" w:rsidP="009A20AD">
            <w:pPr>
              <w:jc w:val="right"/>
            </w:pPr>
            <w:r w:rsidRPr="4B444336">
              <w:rPr>
                <w:rFonts w:ascii="Calibri" w:eastAsia="Calibri" w:hAnsi="Calibri" w:cs="Calibri"/>
                <w:color w:val="000000" w:themeColor="text1"/>
              </w:rPr>
              <w:t>3</w:t>
            </w:r>
          </w:p>
        </w:tc>
        <w:tc>
          <w:tcPr>
            <w:tcW w:w="1805" w:type="dxa"/>
          </w:tcPr>
          <w:p w:rsidR="0018691D" w:rsidRDefault="0018691D" w:rsidP="009A20AD">
            <w:pPr>
              <w:jc w:val="right"/>
            </w:pPr>
            <w:r w:rsidRPr="4B444336">
              <w:rPr>
                <w:rFonts w:ascii="Calibri" w:eastAsia="Calibri" w:hAnsi="Calibri" w:cs="Calibri"/>
                <w:color w:val="000000" w:themeColor="text1"/>
              </w:rPr>
              <w:t>10</w:t>
            </w:r>
          </w:p>
        </w:tc>
      </w:tr>
      <w:tr w:rsidR="0018691D" w:rsidTr="009A20AD">
        <w:trPr>
          <w:trHeight w:val="300"/>
        </w:trPr>
        <w:tc>
          <w:tcPr>
            <w:tcW w:w="1805" w:type="dxa"/>
          </w:tcPr>
          <w:p w:rsidR="0018691D" w:rsidRDefault="0018691D" w:rsidP="009A20AD">
            <w:pPr>
              <w:rPr>
                <w:rFonts w:ascii="Calibri" w:eastAsia="Calibri" w:hAnsi="Calibri" w:cs="Calibri"/>
                <w:color w:val="000000" w:themeColor="text1"/>
              </w:rPr>
            </w:pPr>
            <w:r w:rsidRPr="4B444336">
              <w:rPr>
                <w:rFonts w:ascii="Calibri" w:eastAsia="Calibri" w:hAnsi="Calibri" w:cs="Calibri"/>
                <w:color w:val="000000" w:themeColor="text1"/>
              </w:rPr>
              <w:t>Dividends % pay out</w:t>
            </w:r>
          </w:p>
        </w:tc>
        <w:tc>
          <w:tcPr>
            <w:tcW w:w="1805" w:type="dxa"/>
          </w:tcPr>
          <w:p w:rsidR="0018691D" w:rsidRDefault="0018691D" w:rsidP="009A20AD">
            <w:pPr>
              <w:jc w:val="right"/>
            </w:pPr>
            <w:r w:rsidRPr="4B444336">
              <w:rPr>
                <w:rFonts w:ascii="Calibri" w:eastAsia="Calibri" w:hAnsi="Calibri" w:cs="Calibri"/>
                <w:color w:val="000000" w:themeColor="text1"/>
              </w:rPr>
              <w:t>52.4</w:t>
            </w:r>
          </w:p>
        </w:tc>
        <w:tc>
          <w:tcPr>
            <w:tcW w:w="1805" w:type="dxa"/>
          </w:tcPr>
          <w:p w:rsidR="0018691D" w:rsidRDefault="0018691D" w:rsidP="009A20AD">
            <w:pPr>
              <w:jc w:val="right"/>
            </w:pPr>
            <w:r w:rsidRPr="4B444336">
              <w:rPr>
                <w:rFonts w:ascii="Calibri" w:eastAsia="Calibri" w:hAnsi="Calibri" w:cs="Calibri"/>
                <w:color w:val="000000" w:themeColor="text1"/>
              </w:rPr>
              <w:t>58.8</w:t>
            </w:r>
          </w:p>
        </w:tc>
        <w:tc>
          <w:tcPr>
            <w:tcW w:w="1805" w:type="dxa"/>
          </w:tcPr>
          <w:p w:rsidR="0018691D" w:rsidRDefault="0018691D" w:rsidP="009A20AD">
            <w:pPr>
              <w:jc w:val="right"/>
            </w:pPr>
            <w:r w:rsidRPr="4B444336">
              <w:rPr>
                <w:rFonts w:ascii="Calibri" w:eastAsia="Calibri" w:hAnsi="Calibri" w:cs="Calibri"/>
                <w:color w:val="000000" w:themeColor="text1"/>
              </w:rPr>
              <w:t>-6</w:t>
            </w:r>
          </w:p>
        </w:tc>
        <w:tc>
          <w:tcPr>
            <w:tcW w:w="1805" w:type="dxa"/>
          </w:tcPr>
          <w:p w:rsidR="0018691D" w:rsidRDefault="0018691D" w:rsidP="009A20AD">
            <w:pPr>
              <w:jc w:val="right"/>
            </w:pPr>
            <w:r w:rsidRPr="4B444336">
              <w:rPr>
                <w:rFonts w:ascii="Calibri" w:eastAsia="Calibri" w:hAnsi="Calibri" w:cs="Calibri"/>
                <w:color w:val="000000" w:themeColor="text1"/>
              </w:rPr>
              <w:t>-11</w:t>
            </w:r>
          </w:p>
        </w:tc>
      </w:tr>
    </w:tbl>
    <w:p w:rsidR="0018691D" w:rsidRDefault="0018691D" w:rsidP="0018691D">
      <w:pPr>
        <w:rPr>
          <w:rFonts w:ascii="Arial" w:hAnsi="Arial" w:cs="Arial"/>
          <w:sz w:val="24"/>
          <w:lang w:val="en-US"/>
        </w:rPr>
      </w:pPr>
      <w:r w:rsidRPr="00715F16">
        <w:rPr>
          <w:rFonts w:ascii="Arial" w:hAnsi="Arial" w:cs="Arial"/>
          <w:sz w:val="24"/>
          <w:lang w:val="en-US"/>
        </w:rPr>
        <w:t>DPS indicates to the amount of the dividends paid to the shareholders per £1 ordinary share</w:t>
      </w:r>
      <w:r>
        <w:rPr>
          <w:rFonts w:ascii="Arial" w:hAnsi="Arial" w:cs="Arial"/>
          <w:sz w:val="24"/>
          <w:lang w:val="en-US"/>
        </w:rPr>
        <w:t xml:space="preserve"> or the shareholders took 3 pence more per £1 compare to 2018.</w:t>
      </w:r>
    </w:p>
    <w:p w:rsidR="0018691D" w:rsidRDefault="0018691D" w:rsidP="0018691D">
      <w:pPr>
        <w:rPr>
          <w:rFonts w:ascii="Arial" w:hAnsi="Arial" w:cs="Arial"/>
          <w:sz w:val="24"/>
          <w:lang w:val="en-US"/>
        </w:rPr>
      </w:pPr>
      <w:r>
        <w:rPr>
          <w:rFonts w:ascii="Arial" w:hAnsi="Arial" w:cs="Arial"/>
          <w:sz w:val="24"/>
          <w:lang w:val="en-US"/>
        </w:rPr>
        <w:t xml:space="preserve">However, the dividends payout is reduced with -11%, which is a result compared to firm’s earning for the current year. With other words, Rangemaster pay more dividends in relation of </w:t>
      </w:r>
      <w:r>
        <w:rPr>
          <w:rFonts w:ascii="Arial" w:hAnsi="Arial" w:cs="Arial"/>
          <w:sz w:val="24"/>
          <w:lang w:val="en-US"/>
        </w:rPr>
        <w:t>its</w:t>
      </w:r>
      <w:r>
        <w:rPr>
          <w:rFonts w:ascii="Arial" w:hAnsi="Arial" w:cs="Arial"/>
          <w:sz w:val="24"/>
          <w:lang w:val="en-US"/>
        </w:rPr>
        <w:t xml:space="preserve"> net profit.</w:t>
      </w:r>
    </w:p>
    <w:p w:rsidR="0018691D" w:rsidRDefault="0018691D" w:rsidP="0018691D">
      <w:pPr>
        <w:rPr>
          <w:rFonts w:ascii="Arial" w:hAnsi="Arial" w:cs="Arial"/>
          <w:sz w:val="24"/>
          <w:lang w:val="en-US"/>
        </w:rPr>
      </w:pPr>
    </w:p>
    <w:p w:rsidR="0018691D" w:rsidRDefault="0018691D" w:rsidP="0018691D">
      <w:pPr>
        <w:rPr>
          <w:rFonts w:ascii="Arial" w:hAnsi="Arial" w:cs="Arial"/>
          <w:sz w:val="24"/>
          <w:lang w:val="en-US"/>
        </w:rPr>
      </w:pPr>
    </w:p>
    <w:p w:rsidR="0018691D" w:rsidRDefault="0018691D" w:rsidP="0018691D">
      <w:pPr>
        <w:jc w:val="center"/>
        <w:rPr>
          <w:rFonts w:ascii="Arial" w:hAnsi="Arial" w:cs="Arial"/>
          <w:sz w:val="24"/>
          <w:lang w:val="en-US"/>
        </w:rPr>
      </w:pPr>
      <w:r>
        <w:rPr>
          <w:rFonts w:ascii="Arial" w:hAnsi="Arial" w:cs="Arial"/>
          <w:sz w:val="24"/>
          <w:lang w:val="en-US"/>
        </w:rPr>
        <w:t>8</w:t>
      </w:r>
    </w:p>
    <w:p w:rsidR="0018691D" w:rsidRDefault="00266A44" w:rsidP="00266A44">
      <w:pPr>
        <w:rPr>
          <w:rFonts w:ascii="Arial" w:hAnsi="Arial" w:cs="Arial"/>
          <w:sz w:val="24"/>
          <w:lang w:val="en-US"/>
        </w:rPr>
      </w:pPr>
      <w:r>
        <w:rPr>
          <w:rFonts w:ascii="Arial" w:hAnsi="Arial" w:cs="Arial"/>
          <w:sz w:val="24"/>
          <w:lang w:val="en-US"/>
        </w:rPr>
        <w:lastRenderedPageBreak/>
        <w:t xml:space="preserve">The general overview of the company is very good. The main aim of those analysis is to find the weak points and try to improve them. When compared both of the years of Rangemaster PLC most of the ratios increased their performance which means that the company successfully turn its </w:t>
      </w:r>
      <w:r w:rsidR="00067FB1">
        <w:rPr>
          <w:rFonts w:ascii="Arial" w:hAnsi="Arial" w:cs="Arial"/>
          <w:sz w:val="24"/>
          <w:lang w:val="en-US"/>
        </w:rPr>
        <w:t>sales into assets via inventories and low le</w:t>
      </w:r>
      <w:r w:rsidR="00FB1BDE">
        <w:rPr>
          <w:rFonts w:ascii="Arial" w:hAnsi="Arial" w:cs="Arial"/>
          <w:sz w:val="24"/>
          <w:lang w:val="en-US"/>
        </w:rPr>
        <w:t>vel of borrowing and gearing and it is not dependable on them. The only point where the firm need to redirect is the cost of sales which grow along with the sales revenue. To avoid that Rangemaster should take proactive and strategic approach by following the new trends- using more innovative technologies which means invest on new inventories. Furthermore, this will reduce the cost of the labor via turning them into automated labor. Turning in to new technologies is the only way of generating and operating successful business.</w:t>
      </w:r>
    </w:p>
    <w:p w:rsidR="007B29F8" w:rsidRDefault="007B29F8" w:rsidP="0018691D">
      <w:pPr>
        <w:jc w:val="center"/>
        <w:rPr>
          <w:rFonts w:ascii="Arial" w:hAnsi="Arial" w:cs="Arial"/>
          <w:sz w:val="24"/>
          <w:lang w:val="en-US"/>
        </w:rPr>
      </w:pPr>
    </w:p>
    <w:p w:rsidR="007B29F8" w:rsidRDefault="007B29F8" w:rsidP="0018691D">
      <w:pPr>
        <w:jc w:val="center"/>
        <w:rPr>
          <w:rFonts w:ascii="Arial" w:hAnsi="Arial" w:cs="Arial"/>
          <w:sz w:val="24"/>
          <w:lang w:val="en-US"/>
        </w:rPr>
      </w:pPr>
    </w:p>
    <w:p w:rsidR="007B29F8" w:rsidRDefault="007B29F8" w:rsidP="0018691D">
      <w:pPr>
        <w:jc w:val="center"/>
        <w:rPr>
          <w:rFonts w:ascii="Arial" w:hAnsi="Arial" w:cs="Arial"/>
          <w:sz w:val="24"/>
          <w:lang w:val="en-US"/>
        </w:rPr>
      </w:pPr>
    </w:p>
    <w:p w:rsidR="007B29F8" w:rsidRDefault="007B29F8" w:rsidP="0018691D">
      <w:pPr>
        <w:jc w:val="center"/>
        <w:rPr>
          <w:rFonts w:ascii="Arial" w:hAnsi="Arial" w:cs="Arial"/>
          <w:sz w:val="24"/>
          <w:lang w:val="en-US"/>
        </w:rPr>
      </w:pPr>
    </w:p>
    <w:p w:rsidR="007B29F8" w:rsidRDefault="007B29F8" w:rsidP="0018691D">
      <w:pPr>
        <w:jc w:val="center"/>
        <w:rPr>
          <w:rFonts w:ascii="Arial" w:hAnsi="Arial" w:cs="Arial"/>
          <w:sz w:val="24"/>
          <w:lang w:val="en-US"/>
        </w:rPr>
      </w:pPr>
    </w:p>
    <w:p w:rsidR="007B29F8" w:rsidRDefault="007B29F8" w:rsidP="0018691D">
      <w:pPr>
        <w:jc w:val="center"/>
        <w:rPr>
          <w:rFonts w:ascii="Arial" w:hAnsi="Arial" w:cs="Arial"/>
          <w:sz w:val="24"/>
          <w:lang w:val="en-US"/>
        </w:rPr>
      </w:pPr>
    </w:p>
    <w:p w:rsidR="007B29F8" w:rsidRDefault="007B29F8" w:rsidP="0018691D">
      <w:pPr>
        <w:jc w:val="center"/>
        <w:rPr>
          <w:rFonts w:ascii="Arial" w:hAnsi="Arial" w:cs="Arial"/>
          <w:sz w:val="24"/>
          <w:lang w:val="en-US"/>
        </w:rPr>
      </w:pPr>
    </w:p>
    <w:p w:rsidR="007B29F8" w:rsidRDefault="007B29F8" w:rsidP="0018691D">
      <w:pPr>
        <w:jc w:val="center"/>
        <w:rPr>
          <w:rFonts w:ascii="Arial" w:hAnsi="Arial" w:cs="Arial"/>
          <w:sz w:val="24"/>
          <w:lang w:val="en-US"/>
        </w:rPr>
      </w:pPr>
    </w:p>
    <w:p w:rsidR="007B29F8" w:rsidRDefault="007B29F8" w:rsidP="0018691D">
      <w:pPr>
        <w:jc w:val="center"/>
        <w:rPr>
          <w:rFonts w:ascii="Arial" w:hAnsi="Arial" w:cs="Arial"/>
          <w:sz w:val="24"/>
          <w:lang w:val="en-US"/>
        </w:rPr>
      </w:pPr>
    </w:p>
    <w:p w:rsidR="007B29F8" w:rsidRDefault="007B29F8" w:rsidP="0018691D">
      <w:pPr>
        <w:jc w:val="center"/>
        <w:rPr>
          <w:rFonts w:ascii="Arial" w:hAnsi="Arial" w:cs="Arial"/>
          <w:sz w:val="24"/>
          <w:lang w:val="en-US"/>
        </w:rPr>
      </w:pPr>
    </w:p>
    <w:p w:rsidR="007B29F8" w:rsidRDefault="007B29F8" w:rsidP="0018691D">
      <w:pPr>
        <w:jc w:val="center"/>
        <w:rPr>
          <w:rFonts w:ascii="Arial" w:hAnsi="Arial" w:cs="Arial"/>
          <w:sz w:val="24"/>
          <w:lang w:val="en-US"/>
        </w:rPr>
      </w:pPr>
    </w:p>
    <w:p w:rsidR="007B29F8" w:rsidRDefault="007B29F8" w:rsidP="0018691D">
      <w:pPr>
        <w:jc w:val="center"/>
        <w:rPr>
          <w:rFonts w:ascii="Arial" w:hAnsi="Arial" w:cs="Arial"/>
          <w:sz w:val="24"/>
          <w:lang w:val="en-US"/>
        </w:rPr>
      </w:pPr>
    </w:p>
    <w:p w:rsidR="007B29F8" w:rsidRDefault="007B29F8" w:rsidP="0018691D">
      <w:pPr>
        <w:jc w:val="center"/>
        <w:rPr>
          <w:rFonts w:ascii="Arial" w:hAnsi="Arial" w:cs="Arial"/>
          <w:sz w:val="24"/>
          <w:lang w:val="en-US"/>
        </w:rPr>
      </w:pPr>
    </w:p>
    <w:p w:rsidR="007B29F8" w:rsidRDefault="007B29F8" w:rsidP="0018691D">
      <w:pPr>
        <w:jc w:val="center"/>
        <w:rPr>
          <w:rFonts w:ascii="Arial" w:hAnsi="Arial" w:cs="Arial"/>
          <w:sz w:val="24"/>
          <w:lang w:val="en-US"/>
        </w:rPr>
      </w:pPr>
    </w:p>
    <w:p w:rsidR="007B29F8" w:rsidRDefault="007B29F8" w:rsidP="0018691D">
      <w:pPr>
        <w:jc w:val="center"/>
        <w:rPr>
          <w:rFonts w:ascii="Arial" w:hAnsi="Arial" w:cs="Arial"/>
          <w:sz w:val="24"/>
          <w:lang w:val="en-US"/>
        </w:rPr>
      </w:pPr>
    </w:p>
    <w:p w:rsidR="007B29F8" w:rsidRDefault="007B29F8" w:rsidP="0018691D">
      <w:pPr>
        <w:jc w:val="center"/>
        <w:rPr>
          <w:rFonts w:ascii="Arial" w:hAnsi="Arial" w:cs="Arial"/>
          <w:sz w:val="24"/>
          <w:lang w:val="en-US"/>
        </w:rPr>
      </w:pPr>
    </w:p>
    <w:p w:rsidR="007B29F8" w:rsidRDefault="007B29F8" w:rsidP="0018691D">
      <w:pPr>
        <w:jc w:val="center"/>
        <w:rPr>
          <w:rFonts w:ascii="Arial" w:hAnsi="Arial" w:cs="Arial"/>
          <w:sz w:val="24"/>
          <w:lang w:val="en-US"/>
        </w:rPr>
      </w:pPr>
    </w:p>
    <w:p w:rsidR="007B29F8" w:rsidRDefault="007B29F8" w:rsidP="0018691D">
      <w:pPr>
        <w:jc w:val="center"/>
        <w:rPr>
          <w:rFonts w:ascii="Arial" w:hAnsi="Arial" w:cs="Arial"/>
          <w:sz w:val="24"/>
          <w:lang w:val="en-US"/>
        </w:rPr>
      </w:pPr>
    </w:p>
    <w:p w:rsidR="007B29F8" w:rsidRDefault="007B29F8" w:rsidP="0018691D">
      <w:pPr>
        <w:jc w:val="center"/>
        <w:rPr>
          <w:rFonts w:ascii="Arial" w:hAnsi="Arial" w:cs="Arial"/>
          <w:sz w:val="24"/>
          <w:lang w:val="en-US"/>
        </w:rPr>
      </w:pPr>
    </w:p>
    <w:p w:rsidR="007B29F8" w:rsidRDefault="007B29F8" w:rsidP="0018691D">
      <w:pPr>
        <w:jc w:val="center"/>
        <w:rPr>
          <w:rFonts w:ascii="Arial" w:hAnsi="Arial" w:cs="Arial"/>
          <w:sz w:val="24"/>
          <w:lang w:val="en-US"/>
        </w:rPr>
      </w:pPr>
    </w:p>
    <w:p w:rsidR="007B29F8" w:rsidRDefault="007B29F8" w:rsidP="0018691D">
      <w:pPr>
        <w:jc w:val="center"/>
        <w:rPr>
          <w:rFonts w:ascii="Arial" w:hAnsi="Arial" w:cs="Arial"/>
          <w:sz w:val="24"/>
          <w:lang w:val="en-US"/>
        </w:rPr>
      </w:pPr>
    </w:p>
    <w:p w:rsidR="007B29F8" w:rsidRDefault="007B29F8" w:rsidP="0018691D">
      <w:pPr>
        <w:jc w:val="center"/>
        <w:rPr>
          <w:rFonts w:ascii="Arial" w:hAnsi="Arial" w:cs="Arial"/>
          <w:sz w:val="24"/>
          <w:lang w:val="en-US"/>
        </w:rPr>
      </w:pPr>
    </w:p>
    <w:p w:rsidR="00253A65" w:rsidRDefault="00EA2B52" w:rsidP="00EA2B52">
      <w:pPr>
        <w:jc w:val="center"/>
        <w:rPr>
          <w:rFonts w:ascii="Arial" w:hAnsi="Arial" w:cs="Arial"/>
          <w:sz w:val="24"/>
          <w:lang w:val="en-US"/>
        </w:rPr>
      </w:pPr>
      <w:r>
        <w:rPr>
          <w:rFonts w:ascii="Arial" w:hAnsi="Arial" w:cs="Arial"/>
          <w:sz w:val="24"/>
          <w:lang w:val="en-US"/>
        </w:rPr>
        <w:t>9</w:t>
      </w:r>
    </w:p>
    <w:p w:rsidR="007B29F8" w:rsidRDefault="00346FF5" w:rsidP="00253A65">
      <w:pPr>
        <w:jc w:val="center"/>
        <w:rPr>
          <w:rFonts w:ascii="Arial" w:hAnsi="Arial" w:cs="Arial"/>
          <w:sz w:val="24"/>
          <w:lang w:val="en-US"/>
        </w:rPr>
      </w:pPr>
      <w:r>
        <w:rPr>
          <w:rFonts w:ascii="Arial" w:hAnsi="Arial" w:cs="Arial"/>
          <w:sz w:val="24"/>
          <w:lang w:val="en-US"/>
        </w:rPr>
        <w:lastRenderedPageBreak/>
        <w:t>References:</w:t>
      </w:r>
    </w:p>
    <w:p w:rsidR="00346FF5" w:rsidRDefault="00346FF5" w:rsidP="0018691D">
      <w:pPr>
        <w:jc w:val="center"/>
        <w:rPr>
          <w:rFonts w:ascii="Arial" w:hAnsi="Arial" w:cs="Arial"/>
          <w:sz w:val="24"/>
          <w:lang w:val="en-US"/>
        </w:rPr>
      </w:pPr>
    </w:p>
    <w:p w:rsidR="001802CB" w:rsidRDefault="001802CB" w:rsidP="001802CB">
      <w:pPr>
        <w:rPr>
          <w:rFonts w:ascii="Arial" w:hAnsi="Arial" w:cs="Arial"/>
          <w:sz w:val="24"/>
          <w:lang w:val="en-US"/>
        </w:rPr>
      </w:pPr>
      <w:r w:rsidRPr="001802CB">
        <w:rPr>
          <w:rStyle w:val="selectable"/>
          <w:rFonts w:ascii="Arial" w:hAnsi="Arial" w:cs="Arial"/>
          <w:sz w:val="24"/>
          <w:szCs w:val="20"/>
          <w:shd w:val="clear" w:color="auto" w:fill="FFFFFF"/>
        </w:rPr>
        <w:t>Drury, C. and Drury, C., 2012. </w:t>
      </w:r>
      <w:r w:rsidRPr="001802CB">
        <w:rPr>
          <w:rStyle w:val="selectable"/>
          <w:rFonts w:ascii="Arial" w:hAnsi="Arial" w:cs="Arial"/>
          <w:i/>
          <w:iCs/>
          <w:sz w:val="24"/>
          <w:szCs w:val="20"/>
          <w:shd w:val="clear" w:color="auto" w:fill="FFFFFF"/>
        </w:rPr>
        <w:t xml:space="preserve">Management </w:t>
      </w:r>
      <w:proofErr w:type="gramStart"/>
      <w:r w:rsidRPr="001802CB">
        <w:rPr>
          <w:rStyle w:val="selectable"/>
          <w:rFonts w:ascii="Arial" w:hAnsi="Arial" w:cs="Arial"/>
          <w:i/>
          <w:iCs/>
          <w:sz w:val="24"/>
          <w:szCs w:val="20"/>
          <w:shd w:val="clear" w:color="auto" w:fill="FFFFFF"/>
        </w:rPr>
        <w:t>And</w:t>
      </w:r>
      <w:proofErr w:type="gramEnd"/>
      <w:r w:rsidRPr="001802CB">
        <w:rPr>
          <w:rStyle w:val="selectable"/>
          <w:rFonts w:ascii="Arial" w:hAnsi="Arial" w:cs="Arial"/>
          <w:i/>
          <w:iCs/>
          <w:sz w:val="24"/>
          <w:szCs w:val="20"/>
          <w:shd w:val="clear" w:color="auto" w:fill="FFFFFF"/>
        </w:rPr>
        <w:t xml:space="preserve"> Cost Accounting, Eighth Edition</w:t>
      </w:r>
      <w:r w:rsidRPr="001802CB">
        <w:rPr>
          <w:rStyle w:val="selectable"/>
          <w:rFonts w:ascii="Arial" w:hAnsi="Arial" w:cs="Arial"/>
          <w:sz w:val="24"/>
          <w:szCs w:val="20"/>
          <w:shd w:val="clear" w:color="auto" w:fill="FFFFFF"/>
        </w:rPr>
        <w:t>. Andover: Cengage Learning.</w:t>
      </w:r>
    </w:p>
    <w:p w:rsidR="001802CB" w:rsidRDefault="001802CB" w:rsidP="001802CB">
      <w:pPr>
        <w:rPr>
          <w:rFonts w:ascii="Arial" w:hAnsi="Arial" w:cs="Arial"/>
          <w:color w:val="000000"/>
          <w:sz w:val="24"/>
          <w:szCs w:val="20"/>
          <w:shd w:val="clear" w:color="auto" w:fill="FFFFFF"/>
        </w:rPr>
      </w:pPr>
    </w:p>
    <w:p w:rsidR="001802CB" w:rsidRDefault="001802CB" w:rsidP="001802CB">
      <w:pPr>
        <w:rPr>
          <w:rFonts w:ascii="Arial" w:hAnsi="Arial" w:cs="Arial"/>
          <w:color w:val="000000"/>
          <w:sz w:val="24"/>
          <w:szCs w:val="20"/>
          <w:shd w:val="clear" w:color="auto" w:fill="FFFFFF"/>
        </w:rPr>
      </w:pPr>
      <w:r w:rsidRPr="00691F41">
        <w:rPr>
          <w:rFonts w:ascii="Arial" w:hAnsi="Arial" w:cs="Arial"/>
          <w:color w:val="000000"/>
          <w:sz w:val="24"/>
          <w:szCs w:val="20"/>
          <w:shd w:val="clear" w:color="auto" w:fill="FFFFFF"/>
        </w:rPr>
        <w:t>Investopedia. 2020. </w:t>
      </w:r>
      <w:r w:rsidRPr="00691F41">
        <w:rPr>
          <w:rFonts w:ascii="Arial" w:hAnsi="Arial" w:cs="Arial"/>
          <w:i/>
          <w:iCs/>
          <w:color w:val="000000"/>
          <w:sz w:val="24"/>
          <w:szCs w:val="20"/>
          <w:shd w:val="clear" w:color="auto" w:fill="FFFFFF"/>
        </w:rPr>
        <w:t xml:space="preserve">Ratios Results </w:t>
      </w:r>
      <w:proofErr w:type="gramStart"/>
      <w:r w:rsidRPr="00691F41">
        <w:rPr>
          <w:rFonts w:ascii="Arial" w:hAnsi="Arial" w:cs="Arial"/>
          <w:i/>
          <w:iCs/>
          <w:color w:val="000000"/>
          <w:sz w:val="24"/>
          <w:szCs w:val="20"/>
          <w:shd w:val="clear" w:color="auto" w:fill="FFFFFF"/>
        </w:rPr>
        <w:t>From</w:t>
      </w:r>
      <w:proofErr w:type="gramEnd"/>
      <w:r w:rsidRPr="00691F41">
        <w:rPr>
          <w:rFonts w:ascii="Arial" w:hAnsi="Arial" w:cs="Arial"/>
          <w:i/>
          <w:iCs/>
          <w:color w:val="000000"/>
          <w:sz w:val="24"/>
          <w:szCs w:val="20"/>
          <w:shd w:val="clear" w:color="auto" w:fill="FFFFFF"/>
        </w:rPr>
        <w:t xml:space="preserve"> Investopedia | Search</w:t>
      </w:r>
      <w:r w:rsidRPr="00691F41">
        <w:rPr>
          <w:rFonts w:ascii="Arial" w:hAnsi="Arial" w:cs="Arial"/>
          <w:color w:val="000000"/>
          <w:sz w:val="24"/>
          <w:szCs w:val="20"/>
          <w:shd w:val="clear" w:color="auto" w:fill="FFFFFF"/>
        </w:rPr>
        <w:t xml:space="preserve">. </w:t>
      </w:r>
      <w:r>
        <w:rPr>
          <w:rFonts w:ascii="Arial" w:hAnsi="Arial" w:cs="Arial"/>
          <w:color w:val="000000"/>
          <w:sz w:val="24"/>
          <w:szCs w:val="20"/>
          <w:shd w:val="clear" w:color="auto" w:fill="FFFFFF"/>
        </w:rPr>
        <w:t xml:space="preserve">[online] Available at: </w:t>
      </w:r>
      <w:r w:rsidRPr="00691F41">
        <w:rPr>
          <w:rFonts w:ascii="Arial" w:hAnsi="Arial" w:cs="Arial"/>
          <w:color w:val="000000"/>
          <w:sz w:val="24"/>
          <w:szCs w:val="20"/>
          <w:shd w:val="clear" w:color="auto" w:fill="FFFFFF"/>
        </w:rPr>
        <w:t>www.investopedia.com/search?q=ratios&gt; [Accessed 30 July 2020].</w:t>
      </w:r>
    </w:p>
    <w:p w:rsidR="001802CB" w:rsidRDefault="001802CB" w:rsidP="001802CB">
      <w:pPr>
        <w:rPr>
          <w:rFonts w:ascii="Arial" w:hAnsi="Arial" w:cs="Arial"/>
          <w:color w:val="000000"/>
          <w:sz w:val="24"/>
          <w:szCs w:val="20"/>
          <w:shd w:val="clear" w:color="auto" w:fill="FFFFFF"/>
        </w:rPr>
      </w:pPr>
    </w:p>
    <w:p w:rsidR="001802CB" w:rsidRDefault="001802CB" w:rsidP="001802CB">
      <w:pPr>
        <w:rPr>
          <w:rFonts w:ascii="Arial" w:hAnsi="Arial" w:cs="Arial"/>
          <w:color w:val="000000"/>
          <w:sz w:val="24"/>
          <w:szCs w:val="20"/>
          <w:shd w:val="clear" w:color="auto" w:fill="FFFFFF"/>
        </w:rPr>
      </w:pPr>
      <w:r w:rsidRPr="000C10F4">
        <w:rPr>
          <w:rFonts w:ascii="Arial" w:hAnsi="Arial" w:cs="Arial"/>
          <w:color w:val="000000"/>
          <w:sz w:val="24"/>
          <w:szCs w:val="20"/>
          <w:shd w:val="clear" w:color="auto" w:fill="FFFFFF"/>
        </w:rPr>
        <w:t>www.researchgate.net/publication/324654672_A_Study_On_Financial_Performance_Using_Ratio_Analysis_of_Visa_Steel_Limited_final&gt; [Accessed 30 July 2020].</w:t>
      </w:r>
    </w:p>
    <w:p w:rsidR="001802CB" w:rsidRDefault="001802CB" w:rsidP="00FA4597">
      <w:pPr>
        <w:rPr>
          <w:rStyle w:val="a4"/>
          <w:rFonts w:ascii="Arial" w:hAnsi="Arial" w:cs="Arial"/>
          <w:color w:val="666666"/>
          <w:sz w:val="20"/>
          <w:szCs w:val="20"/>
          <w:shd w:val="clear" w:color="auto" w:fill="FFFFFF"/>
        </w:rPr>
      </w:pPr>
    </w:p>
    <w:p w:rsidR="007B29F8" w:rsidRPr="00FA4597" w:rsidRDefault="00FA4597" w:rsidP="00FA4597">
      <w:pPr>
        <w:rPr>
          <w:rFonts w:ascii="Arial" w:hAnsi="Arial" w:cs="Arial"/>
          <w:sz w:val="32"/>
          <w:lang w:val="en-US"/>
        </w:rPr>
      </w:pPr>
      <w:r>
        <w:rPr>
          <w:rStyle w:val="a4"/>
          <w:rFonts w:ascii="Arial" w:hAnsi="Arial" w:cs="Arial"/>
          <w:color w:val="666666"/>
          <w:sz w:val="20"/>
          <w:szCs w:val="20"/>
          <w:shd w:val="clear" w:color="auto" w:fill="FFFFFF"/>
        </w:rPr>
        <w:t> </w:t>
      </w:r>
      <w:r w:rsidRPr="00FA4597">
        <w:rPr>
          <w:rStyle w:val="selectable"/>
          <w:rFonts w:ascii="Arial" w:hAnsi="Arial" w:cs="Arial"/>
          <w:color w:val="000000"/>
          <w:sz w:val="24"/>
          <w:szCs w:val="20"/>
          <w:shd w:val="clear" w:color="auto" w:fill="FFFFFF"/>
        </w:rPr>
        <w:t>Patriot Software. 2020. </w:t>
      </w:r>
      <w:r w:rsidRPr="00FA4597">
        <w:rPr>
          <w:rStyle w:val="selectable"/>
          <w:rFonts w:ascii="Arial" w:hAnsi="Arial" w:cs="Arial"/>
          <w:i/>
          <w:iCs/>
          <w:color w:val="000000"/>
          <w:sz w:val="24"/>
          <w:szCs w:val="20"/>
          <w:shd w:val="clear" w:color="auto" w:fill="FFFFFF"/>
        </w:rPr>
        <w:t>Financial Analysis Report | Steps, Sections, &amp; More</w:t>
      </w:r>
      <w:r w:rsidRPr="00FA4597">
        <w:rPr>
          <w:rStyle w:val="selectable"/>
          <w:rFonts w:ascii="Arial" w:hAnsi="Arial" w:cs="Arial"/>
          <w:color w:val="000000"/>
          <w:sz w:val="24"/>
          <w:szCs w:val="20"/>
          <w:shd w:val="clear" w:color="auto" w:fill="FFFFFF"/>
        </w:rPr>
        <w:t>. [online] Available at: &lt;https://www.patriotsoftware.com/blog/accounting/financial-analysis-report/&gt; [Accessed 30 July 2020]</w:t>
      </w:r>
    </w:p>
    <w:p w:rsidR="007B29F8" w:rsidRPr="00FA4597" w:rsidRDefault="007B29F8" w:rsidP="0018691D">
      <w:pPr>
        <w:jc w:val="center"/>
        <w:rPr>
          <w:rFonts w:ascii="Arial" w:hAnsi="Arial" w:cs="Arial"/>
          <w:sz w:val="32"/>
          <w:lang w:val="en-US"/>
        </w:rPr>
      </w:pPr>
    </w:p>
    <w:p w:rsidR="007B29F8" w:rsidRDefault="007B29F8" w:rsidP="0018691D">
      <w:pPr>
        <w:jc w:val="center"/>
        <w:rPr>
          <w:rFonts w:ascii="Arial" w:hAnsi="Arial" w:cs="Arial"/>
          <w:sz w:val="24"/>
          <w:lang w:val="en-US"/>
        </w:rPr>
      </w:pPr>
    </w:p>
    <w:p w:rsidR="007B29F8" w:rsidRPr="000C10F4" w:rsidRDefault="007B29F8" w:rsidP="0018691D">
      <w:pPr>
        <w:jc w:val="center"/>
        <w:rPr>
          <w:rFonts w:ascii="Arial" w:hAnsi="Arial" w:cs="Arial"/>
          <w:sz w:val="32"/>
          <w:lang w:val="en-US"/>
        </w:rPr>
      </w:pPr>
    </w:p>
    <w:p w:rsidR="007B29F8" w:rsidRPr="001802CB" w:rsidRDefault="007B29F8" w:rsidP="0018691D">
      <w:pPr>
        <w:jc w:val="center"/>
        <w:rPr>
          <w:rFonts w:ascii="Arial" w:hAnsi="Arial" w:cs="Arial"/>
          <w:sz w:val="32"/>
          <w:lang w:val="en-US"/>
        </w:rPr>
      </w:pPr>
    </w:p>
    <w:p w:rsidR="007B29F8" w:rsidRDefault="007B29F8" w:rsidP="0018691D">
      <w:pPr>
        <w:jc w:val="center"/>
        <w:rPr>
          <w:rFonts w:ascii="Arial" w:hAnsi="Arial" w:cs="Arial"/>
          <w:sz w:val="24"/>
          <w:lang w:val="en-US"/>
        </w:rPr>
      </w:pPr>
    </w:p>
    <w:p w:rsidR="007B29F8" w:rsidRDefault="007B29F8" w:rsidP="0018691D">
      <w:pPr>
        <w:jc w:val="center"/>
        <w:rPr>
          <w:rFonts w:ascii="Arial" w:hAnsi="Arial" w:cs="Arial"/>
          <w:sz w:val="24"/>
          <w:lang w:val="en-US"/>
        </w:rPr>
      </w:pPr>
    </w:p>
    <w:p w:rsidR="007B29F8" w:rsidRDefault="007B29F8" w:rsidP="0018691D">
      <w:pPr>
        <w:jc w:val="center"/>
        <w:rPr>
          <w:rFonts w:ascii="Arial" w:hAnsi="Arial" w:cs="Arial"/>
          <w:sz w:val="24"/>
          <w:lang w:val="en-US"/>
        </w:rPr>
      </w:pPr>
    </w:p>
    <w:p w:rsidR="007B29F8" w:rsidRDefault="007B29F8" w:rsidP="0018691D">
      <w:pPr>
        <w:jc w:val="center"/>
        <w:rPr>
          <w:rFonts w:ascii="Arial" w:hAnsi="Arial" w:cs="Arial"/>
          <w:sz w:val="24"/>
          <w:lang w:val="en-US"/>
        </w:rPr>
      </w:pPr>
    </w:p>
    <w:p w:rsidR="007B29F8" w:rsidRDefault="007B29F8" w:rsidP="0018691D">
      <w:pPr>
        <w:jc w:val="center"/>
        <w:rPr>
          <w:rFonts w:ascii="Arial" w:hAnsi="Arial" w:cs="Arial"/>
          <w:sz w:val="24"/>
          <w:lang w:val="en-US"/>
        </w:rPr>
      </w:pPr>
    </w:p>
    <w:p w:rsidR="007B29F8" w:rsidRDefault="007B29F8" w:rsidP="0018691D">
      <w:pPr>
        <w:jc w:val="center"/>
        <w:rPr>
          <w:rFonts w:ascii="Arial" w:hAnsi="Arial" w:cs="Arial"/>
          <w:sz w:val="24"/>
          <w:lang w:val="en-US"/>
        </w:rPr>
      </w:pPr>
    </w:p>
    <w:p w:rsidR="007B29F8" w:rsidRDefault="007B29F8" w:rsidP="0018691D">
      <w:pPr>
        <w:jc w:val="center"/>
        <w:rPr>
          <w:rFonts w:ascii="Arial" w:hAnsi="Arial" w:cs="Arial"/>
          <w:sz w:val="24"/>
          <w:lang w:val="en-US"/>
        </w:rPr>
      </w:pPr>
    </w:p>
    <w:p w:rsidR="007B29F8" w:rsidRDefault="007B29F8" w:rsidP="0018691D">
      <w:pPr>
        <w:jc w:val="center"/>
        <w:rPr>
          <w:rFonts w:ascii="Arial" w:hAnsi="Arial" w:cs="Arial"/>
          <w:sz w:val="24"/>
          <w:lang w:val="en-US"/>
        </w:rPr>
      </w:pPr>
    </w:p>
    <w:p w:rsidR="007B29F8" w:rsidRDefault="007B29F8" w:rsidP="0018691D">
      <w:pPr>
        <w:jc w:val="center"/>
        <w:rPr>
          <w:rFonts w:ascii="Arial" w:hAnsi="Arial" w:cs="Arial"/>
          <w:sz w:val="24"/>
          <w:lang w:val="en-US"/>
        </w:rPr>
      </w:pPr>
    </w:p>
    <w:p w:rsidR="007B29F8" w:rsidRDefault="007B29F8" w:rsidP="0018691D">
      <w:pPr>
        <w:jc w:val="center"/>
        <w:rPr>
          <w:rFonts w:ascii="Arial" w:hAnsi="Arial" w:cs="Arial"/>
          <w:sz w:val="24"/>
          <w:lang w:val="en-US"/>
        </w:rPr>
      </w:pPr>
    </w:p>
    <w:p w:rsidR="007B29F8" w:rsidRDefault="007B29F8" w:rsidP="0018691D">
      <w:pPr>
        <w:jc w:val="center"/>
        <w:rPr>
          <w:rFonts w:ascii="Arial" w:hAnsi="Arial" w:cs="Arial"/>
          <w:sz w:val="24"/>
          <w:lang w:val="en-US"/>
        </w:rPr>
      </w:pPr>
    </w:p>
    <w:p w:rsidR="007B29F8" w:rsidRDefault="007B29F8" w:rsidP="0018691D">
      <w:pPr>
        <w:jc w:val="center"/>
        <w:rPr>
          <w:rFonts w:ascii="Arial" w:hAnsi="Arial" w:cs="Arial"/>
          <w:sz w:val="24"/>
          <w:lang w:val="en-US"/>
        </w:rPr>
      </w:pPr>
    </w:p>
    <w:p w:rsidR="007B29F8" w:rsidRDefault="007B29F8" w:rsidP="0018691D">
      <w:pPr>
        <w:jc w:val="center"/>
        <w:rPr>
          <w:rFonts w:ascii="Arial" w:hAnsi="Arial" w:cs="Arial"/>
          <w:sz w:val="24"/>
          <w:lang w:val="en-US"/>
        </w:rPr>
      </w:pPr>
    </w:p>
    <w:p w:rsidR="007B29F8" w:rsidRDefault="006B52C6" w:rsidP="0018691D">
      <w:pPr>
        <w:jc w:val="center"/>
        <w:rPr>
          <w:rFonts w:ascii="Arial" w:hAnsi="Arial" w:cs="Arial"/>
          <w:sz w:val="24"/>
          <w:lang w:val="en-US"/>
        </w:rPr>
      </w:pPr>
      <w:r>
        <w:rPr>
          <w:rFonts w:ascii="Arial" w:hAnsi="Arial" w:cs="Arial"/>
          <w:sz w:val="24"/>
          <w:lang w:val="en-US"/>
        </w:rPr>
        <w:t>10</w:t>
      </w:r>
    </w:p>
    <w:p w:rsidR="007B29F8" w:rsidRDefault="007B29F8" w:rsidP="0018691D">
      <w:pPr>
        <w:jc w:val="center"/>
        <w:rPr>
          <w:rFonts w:ascii="Arial" w:hAnsi="Arial" w:cs="Arial"/>
          <w:sz w:val="24"/>
          <w:lang w:val="en-US"/>
        </w:rPr>
      </w:pPr>
    </w:p>
    <w:p w:rsidR="007B29F8" w:rsidRDefault="007B29F8" w:rsidP="0018691D">
      <w:pPr>
        <w:jc w:val="center"/>
        <w:rPr>
          <w:rFonts w:ascii="Arial" w:hAnsi="Arial" w:cs="Arial"/>
          <w:sz w:val="24"/>
          <w:lang w:val="en-US"/>
        </w:rPr>
      </w:pPr>
    </w:p>
    <w:p w:rsidR="007B29F8" w:rsidRDefault="007B29F8" w:rsidP="0018691D">
      <w:pPr>
        <w:jc w:val="center"/>
        <w:rPr>
          <w:rFonts w:ascii="Arial" w:hAnsi="Arial" w:cs="Arial"/>
          <w:sz w:val="24"/>
          <w:lang w:val="en-US"/>
        </w:rPr>
      </w:pPr>
    </w:p>
    <w:p w:rsidR="007B29F8" w:rsidRDefault="007B29F8" w:rsidP="0018691D">
      <w:pPr>
        <w:jc w:val="center"/>
        <w:rPr>
          <w:rFonts w:ascii="Arial" w:hAnsi="Arial" w:cs="Arial"/>
          <w:sz w:val="24"/>
          <w:lang w:val="en-US"/>
        </w:rPr>
      </w:pPr>
    </w:p>
    <w:p w:rsidR="007B29F8" w:rsidRDefault="007B29F8" w:rsidP="0018691D">
      <w:pPr>
        <w:jc w:val="center"/>
        <w:rPr>
          <w:rFonts w:ascii="Arial" w:hAnsi="Arial" w:cs="Arial"/>
          <w:sz w:val="24"/>
          <w:lang w:val="en-US"/>
        </w:rPr>
      </w:pPr>
    </w:p>
    <w:p w:rsidR="007B29F8" w:rsidRDefault="007B29F8" w:rsidP="0018691D">
      <w:pPr>
        <w:jc w:val="center"/>
        <w:rPr>
          <w:rFonts w:ascii="Arial" w:hAnsi="Arial" w:cs="Arial"/>
          <w:sz w:val="24"/>
          <w:lang w:val="en-US"/>
        </w:rPr>
      </w:pPr>
    </w:p>
    <w:p w:rsidR="007B29F8" w:rsidRDefault="007B29F8" w:rsidP="0018691D">
      <w:pPr>
        <w:jc w:val="center"/>
        <w:rPr>
          <w:rFonts w:ascii="Arial" w:hAnsi="Arial" w:cs="Arial"/>
          <w:sz w:val="24"/>
          <w:lang w:val="en-US"/>
        </w:rPr>
      </w:pPr>
    </w:p>
    <w:p w:rsidR="007B29F8" w:rsidRPr="00715F16" w:rsidRDefault="007B29F8" w:rsidP="0018691D">
      <w:pPr>
        <w:jc w:val="center"/>
        <w:rPr>
          <w:rFonts w:ascii="Arial" w:hAnsi="Arial" w:cs="Arial"/>
          <w:sz w:val="24"/>
          <w:lang w:val="en-US"/>
        </w:rPr>
      </w:pPr>
    </w:p>
    <w:p w:rsidR="0018691D" w:rsidRPr="0067032B" w:rsidRDefault="0018691D" w:rsidP="0018691D">
      <w:pPr>
        <w:rPr>
          <w:rFonts w:ascii="Arial" w:hAnsi="Arial" w:cs="Arial"/>
          <w:sz w:val="24"/>
          <w:lang w:val="en-US"/>
        </w:rPr>
      </w:pPr>
    </w:p>
    <w:p w:rsidR="0018691D" w:rsidRDefault="0018691D" w:rsidP="0018691D">
      <w:pPr>
        <w:rPr>
          <w:rFonts w:ascii="Arial" w:hAnsi="Arial" w:cs="Arial"/>
          <w:sz w:val="24"/>
          <w:lang w:val="en-US"/>
        </w:rPr>
      </w:pPr>
    </w:p>
    <w:p w:rsidR="00DC4AC7" w:rsidRPr="004328C5" w:rsidRDefault="00DC4AC7" w:rsidP="00DC4AC7">
      <w:pPr>
        <w:rPr>
          <w:rFonts w:ascii="Arial" w:hAnsi="Arial" w:cs="Arial"/>
          <w:sz w:val="24"/>
          <w:lang w:val="en-US"/>
        </w:rPr>
      </w:pPr>
    </w:p>
    <w:p w:rsidR="00DC4AC7" w:rsidRDefault="00DC4AC7" w:rsidP="00DC4AC7">
      <w:pPr>
        <w:rPr>
          <w:rFonts w:ascii="Arial" w:hAnsi="Arial" w:cs="Arial"/>
          <w:sz w:val="24"/>
        </w:rPr>
      </w:pPr>
    </w:p>
    <w:p w:rsidR="00526CCA" w:rsidRPr="00F7161E" w:rsidRDefault="00526CCA" w:rsidP="00DC4AC7">
      <w:pPr>
        <w:rPr>
          <w:rFonts w:ascii="Arial" w:hAnsi="Arial" w:cs="Arial"/>
          <w:sz w:val="24"/>
        </w:rPr>
      </w:pPr>
    </w:p>
    <w:sectPr w:rsidR="00526CCA" w:rsidRPr="00F716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183D"/>
    <w:rsid w:val="00067FB1"/>
    <w:rsid w:val="000C10F4"/>
    <w:rsid w:val="000D3DA0"/>
    <w:rsid w:val="0010413F"/>
    <w:rsid w:val="001802CB"/>
    <w:rsid w:val="0018691D"/>
    <w:rsid w:val="00253A65"/>
    <w:rsid w:val="00266A44"/>
    <w:rsid w:val="0032108E"/>
    <w:rsid w:val="00346FF5"/>
    <w:rsid w:val="00526CCA"/>
    <w:rsid w:val="0053131A"/>
    <w:rsid w:val="00616297"/>
    <w:rsid w:val="00691F41"/>
    <w:rsid w:val="006B52C6"/>
    <w:rsid w:val="007B29F8"/>
    <w:rsid w:val="008604DD"/>
    <w:rsid w:val="00867EA6"/>
    <w:rsid w:val="00935052"/>
    <w:rsid w:val="009F5A29"/>
    <w:rsid w:val="00A23DFF"/>
    <w:rsid w:val="00B16B63"/>
    <w:rsid w:val="00C17C7E"/>
    <w:rsid w:val="00CD183D"/>
    <w:rsid w:val="00DB7155"/>
    <w:rsid w:val="00DC4AC7"/>
    <w:rsid w:val="00E76018"/>
    <w:rsid w:val="00EA2B52"/>
    <w:rsid w:val="00F7161E"/>
    <w:rsid w:val="00FA4597"/>
    <w:rsid w:val="00FB1B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571AA"/>
  <w15:chartTrackingRefBased/>
  <w15:docId w15:val="{196F3889-BDBD-4673-842C-326C882F14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Grid Table Light"/>
    <w:basedOn w:val="a1"/>
    <w:uiPriority w:val="40"/>
    <w:rsid w:val="00DC4AC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a4">
    <w:name w:val="Strong"/>
    <w:basedOn w:val="a0"/>
    <w:uiPriority w:val="22"/>
    <w:qFormat/>
    <w:rsid w:val="00FA4597"/>
    <w:rPr>
      <w:b/>
      <w:bCs/>
    </w:rPr>
  </w:style>
  <w:style w:type="character" w:customStyle="1" w:styleId="selectable">
    <w:name w:val="selectable"/>
    <w:basedOn w:val="a0"/>
    <w:rsid w:val="00FA45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jpeg"/></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11</Pages>
  <Words>2448</Words>
  <Characters>13959</Characters>
  <Application>Microsoft Office Word</Application>
  <DocSecurity>0</DocSecurity>
  <Lines>116</Lines>
  <Paragraphs>32</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16375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ACER</cp:lastModifiedBy>
  <cp:revision>76</cp:revision>
  <dcterms:created xsi:type="dcterms:W3CDTF">2020-07-30T15:59:00Z</dcterms:created>
  <dcterms:modified xsi:type="dcterms:W3CDTF">2020-07-30T16:57:00Z</dcterms:modified>
</cp:coreProperties>
</file>