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49F9" w:rsidRDefault="001949F9" w:rsidP="001949F9">
      <w:pPr>
        <w:rPr>
          <w:b/>
          <w:sz w:val="24"/>
          <w:szCs w:val="24"/>
          <w:u w:val="single"/>
        </w:rPr>
      </w:pPr>
      <w:r w:rsidRPr="00C95595">
        <w:rPr>
          <w:b/>
          <w:sz w:val="24"/>
          <w:szCs w:val="24"/>
          <w:u w:val="single"/>
        </w:rPr>
        <w:t xml:space="preserve">Rhagair </w:t>
      </w:r>
    </w:p>
    <w:p w:rsidR="001949F9" w:rsidRPr="00C95595" w:rsidRDefault="001949F9" w:rsidP="001949F9">
      <w:pPr>
        <w:rPr>
          <w:b/>
          <w:sz w:val="24"/>
          <w:szCs w:val="24"/>
          <w:u w:val="single"/>
        </w:rPr>
      </w:pPr>
    </w:p>
    <w:p w:rsidR="001949F9" w:rsidRPr="0019191E" w:rsidRDefault="001949F9" w:rsidP="001949F9">
      <w:pPr>
        <w:spacing w:line="480" w:lineRule="auto"/>
        <w:ind w:firstLine="720"/>
        <w:rPr>
          <w:sz w:val="24"/>
          <w:szCs w:val="24"/>
        </w:rPr>
      </w:pPr>
      <w:r>
        <w:rPr>
          <w:sz w:val="24"/>
          <w:szCs w:val="24"/>
          <w:lang w:eastAsia="en-US"/>
        </w:rPr>
        <w:t>Mae ‘Ysgol A’ yn ysgol cyfrwng Cymraeg, categori gwyrdd, gyda tua 856 o ddisgyblion ac yn cael ei adnabod fel ysgol ‘Ardderchog’ o ganlyniad i’r ymweliad diwethaf gan ESTYN (ESTYN, 2014). Yn ystod fy amser ar brofiad addysgu proffesiynol yn ‘Ysgol A’ rwyf wedi bod yn gwneud ymchwil ar lawr yr ystafell ddosbarth ar sut mae’r defnydd o ddelweddu ac yn benodol y defnydd o ‘‘emojis’ yn ffordd effeithiol o asesu dealltwriaeth disgyblion Blwyddyn 7 mewn Addysg Grefyddol. Dros gyfnod o chwe gwers, rwyf wedi bod yn gwneud ymchwil ar ddosbarth gallu cymysg ym Mlwyddyn 7 gyda 27 o ddisgyblion. Yn y dosbarth hwn mae yna tri disgybl Mwy Abl a Thalentog (MATh) a disgybl Anghenion Dysgu Ychwanegol (ADY). Fel athrawes sydd yn hyfforddi, gwyddaf fod asesu ar gyfer dysgu yn hanfodol ar gyfer pob disgybl, ym mhob ystafell ddosbarth ac ar draws pob pwnc yn y cwricwlwm. Pwysleisiodd yr ymchwil chwyldroadol gan Wiliam &amp; Black (1998) ar effaith asesu ffurfiannol ar gynnydd disgyblion a bod y rhain yn cydblethu yn uniongyrchol. Mae’r bosib i wneud cysylltiadau gyda syniad cysyniad gan Dweck (2006) am “Growth Mindset” sydd yn amlinellu'r awydd i ddatblygu, ac mae’r meddylfryd cywir yn galluogi’r ymrwymiad i ddysgu ac ysgogi eraill i ddysgu.</w:t>
      </w:r>
    </w:p>
    <w:p w:rsidR="001949F9" w:rsidRPr="0019191E" w:rsidRDefault="001949F9" w:rsidP="001949F9">
      <w:pPr>
        <w:spacing w:line="480" w:lineRule="auto"/>
        <w:ind w:firstLine="720"/>
        <w:rPr>
          <w:sz w:val="24"/>
          <w:szCs w:val="24"/>
        </w:rPr>
      </w:pPr>
      <w:r>
        <w:rPr>
          <w:sz w:val="24"/>
          <w:szCs w:val="24"/>
          <w:lang w:eastAsia="en-US"/>
        </w:rPr>
        <w:t>Rwyf yn awyddus i astudio’r maes yma er mwyn gallu asesu cynnydd y dysgwyr wrth addysgu uned newydd o waith ac i baratoi ar gyfer tasg grynodol estynedig ysgrifenedig. Mae fy niddordeb yn y maes yma wedi deillio o’m mhrofiad addysgu proffesiynol gyntaf oherwydd defnyddiais ystod o strategaethau asesu ar gyfer dysgu, ond ni chefais gyfle i   ymchwilio wrth dreialu strategaeth benodol am gyfnod hirach. Mae’r disgyblion yn ‘Ysgol A’ yn gyfarwydd â strategaethau asesu ar gyfer dysgu amrywiol, felly mae’r cyfle i wneud yr ymchwil yma yn gyfle cyffrous i foderneiddio ac addasu strategaethau sydd eisoes yn bodoli ac i greu effaith yn yr ystafell dosbarth a rhoi cyfrifoldeb i’r disgyblion am ddysgu eu hunain.</w:t>
      </w:r>
    </w:p>
    <w:p w:rsidR="001949F9" w:rsidRDefault="001949F9" w:rsidP="001949F9">
      <w:pPr>
        <w:spacing w:line="480" w:lineRule="auto"/>
        <w:rPr>
          <w:b/>
          <w:sz w:val="24"/>
          <w:szCs w:val="24"/>
          <w:u w:val="single"/>
        </w:rPr>
      </w:pPr>
    </w:p>
    <w:p w:rsidR="001949F9" w:rsidRPr="0019191E" w:rsidRDefault="001949F9" w:rsidP="001949F9">
      <w:pPr>
        <w:spacing w:line="480" w:lineRule="auto"/>
        <w:rPr>
          <w:b/>
          <w:sz w:val="24"/>
          <w:szCs w:val="24"/>
          <w:u w:val="single"/>
        </w:rPr>
      </w:pPr>
      <w:r w:rsidRPr="0019191E">
        <w:rPr>
          <w:b/>
          <w:sz w:val="24"/>
          <w:szCs w:val="24"/>
          <w:u w:val="single"/>
        </w:rPr>
        <w:lastRenderedPageBreak/>
        <w:t>Adolygiad Llenyddiaeth</w:t>
      </w:r>
    </w:p>
    <w:p w:rsidR="001949F9" w:rsidRPr="0019191E" w:rsidRDefault="001949F9" w:rsidP="001949F9">
      <w:pPr>
        <w:pStyle w:val="HTMLPreformatted"/>
        <w:shd w:val="clear" w:color="auto" w:fill="FFFFFF"/>
        <w:spacing w:line="480" w:lineRule="auto"/>
        <w:rPr>
          <w:rFonts w:ascii="Times New Roman" w:hAnsi="Times New Roman" w:cs="Times New Roman"/>
          <w:sz w:val="24"/>
          <w:szCs w:val="24"/>
        </w:rPr>
      </w:pPr>
      <w:r w:rsidRPr="0019191E">
        <w:rPr>
          <w:rFonts w:ascii="Times New Roman" w:hAnsi="Times New Roman" w:cs="Times New Roman"/>
          <w:sz w:val="24"/>
          <w:szCs w:val="24"/>
          <w:lang w:eastAsia="en-US"/>
        </w:rPr>
        <w:t xml:space="preserve">          Nid oes amheuaeth fod asesu ar gyfer dysgu yn rhan annatod o’r byd dysgu ac addysgu heddiw; mae’n bwnc llosg ymysg ysgolheigion addysg gyda nifer yn trafod ei bwysigrwydd yn yr ystafell dosbarth. Sbardunwyd y drafodaeth ymysg asesu ar gyfer dysgu ac asesu ffurfiannol yn benodol gan Wiliam &amp; Black (1998) yn cyflwyno pwrpas a phwysigrwydd asesu ar gyfer tracio cynnydd disgyblion ar draws y cyfnodau addysgu ond, hefyd ar gyfer datblygiad athrawon yn broffesiynol. Ers y tri degawd diwethaf, mae asesu o fewn y dosbarth wedi cymryd rôl flaengar ym mholisïau cenedlaethol addysg yng Nghymru gyda’r ddogfen “</w:t>
      </w:r>
      <w:r w:rsidRPr="0019191E">
        <w:rPr>
          <w:rFonts w:ascii="Times New Roman" w:hAnsi="Times New Roman" w:cs="Times New Roman"/>
          <w:i/>
          <w:iCs/>
          <w:sz w:val="24"/>
          <w:szCs w:val="24"/>
          <w:lang w:eastAsia="en-US"/>
        </w:rPr>
        <w:t>Sut i ddatblygu meddwl ac asesu ar gyfer dysgu yn yr ystafell ddosbarth”</w:t>
      </w:r>
      <w:r w:rsidRPr="0019191E">
        <w:rPr>
          <w:rFonts w:ascii="Times New Roman" w:hAnsi="Times New Roman" w:cs="Times New Roman"/>
          <w:sz w:val="24"/>
          <w:szCs w:val="24"/>
          <w:lang w:eastAsia="en-US"/>
        </w:rPr>
        <w:t xml:space="preserve"> yn cael ei gyflwyno yn 2010. Mae’r llenyddiaeth eang sydd yn cwmpasu asesu ar gyfer dysgu yn cyfoethogi ein dealltwriaeth am bwysigrwydd yr hanfod yma ar lawr yr ystafell ddosbarth er mwyn rhoi’r cyfleoedd gorau i’r disgyblion yr ydym yn ei addysgu o ddydd i ddydd. </w:t>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t xml:space="preserve">Mae’r llenyddiaeth yn rhoi diffiniad i asesu ar gyfer dysgu ac felly yn son ei fod yn broses o ddangos </w:t>
      </w:r>
      <w:r w:rsidRPr="0019191E">
        <w:rPr>
          <w:rFonts w:ascii="Times New Roman" w:hAnsi="Times New Roman" w:cs="Times New Roman"/>
          <w:sz w:val="24"/>
          <w:szCs w:val="24"/>
          <w:lang w:val="cy-GB" w:eastAsia="en-US"/>
        </w:rPr>
        <w:t>i ddysgwyr am eu cy</w:t>
      </w:r>
      <w:r w:rsidRPr="0019191E">
        <w:rPr>
          <w:rFonts w:ascii="Times New Roman" w:hAnsi="Times New Roman" w:cs="Times New Roman"/>
          <w:sz w:val="24"/>
          <w:szCs w:val="24"/>
          <w:lang w:eastAsia="en-US"/>
        </w:rPr>
        <w:t xml:space="preserve">nnydd er mwyn </w:t>
      </w:r>
      <w:r w:rsidRPr="0019191E">
        <w:rPr>
          <w:rFonts w:ascii="Times New Roman" w:hAnsi="Times New Roman" w:cs="Times New Roman"/>
          <w:sz w:val="24"/>
          <w:szCs w:val="24"/>
          <w:lang w:val="cy-GB" w:eastAsia="en-US"/>
        </w:rPr>
        <w:t xml:space="preserve">galluogi </w:t>
      </w:r>
      <w:r w:rsidRPr="0019191E">
        <w:rPr>
          <w:rFonts w:ascii="Times New Roman" w:hAnsi="Times New Roman" w:cs="Times New Roman"/>
          <w:sz w:val="24"/>
          <w:szCs w:val="24"/>
          <w:lang w:eastAsia="en-US"/>
        </w:rPr>
        <w:t xml:space="preserve">hwy </w:t>
      </w:r>
      <w:r w:rsidRPr="0019191E">
        <w:rPr>
          <w:rFonts w:ascii="Times New Roman" w:hAnsi="Times New Roman" w:cs="Times New Roman"/>
          <w:sz w:val="24"/>
          <w:szCs w:val="24"/>
          <w:lang w:val="cy-GB" w:eastAsia="en-US"/>
        </w:rPr>
        <w:t xml:space="preserve">i gymryd y camau angenrheidiol i wella eu perfformiad </w:t>
      </w:r>
      <w:r w:rsidRPr="0019191E">
        <w:rPr>
          <w:rFonts w:ascii="Times New Roman" w:hAnsi="Times New Roman" w:cs="Times New Roman"/>
          <w:sz w:val="24"/>
          <w:szCs w:val="24"/>
          <w:lang w:eastAsia="en-US"/>
        </w:rPr>
        <w:t xml:space="preserve">(Jones, 2005). Ar lefel genedlaethol, mae grwpiau megis yr </w:t>
      </w:r>
      <w:r w:rsidRPr="0019191E">
        <w:rPr>
          <w:rFonts w:ascii="Times New Roman" w:hAnsi="Times New Roman" w:cs="Times New Roman"/>
          <w:i/>
          <w:iCs/>
          <w:sz w:val="24"/>
          <w:szCs w:val="24"/>
          <w:lang w:eastAsia="en-US"/>
        </w:rPr>
        <w:t xml:space="preserve">Assessment Reform Group </w:t>
      </w:r>
      <w:r w:rsidRPr="0019191E">
        <w:rPr>
          <w:rFonts w:ascii="Times New Roman" w:hAnsi="Times New Roman" w:cs="Times New Roman"/>
          <w:sz w:val="24"/>
          <w:szCs w:val="24"/>
          <w:lang w:eastAsia="en-US"/>
        </w:rPr>
        <w:t xml:space="preserve">wedi cynnig egwyddorion wrth asesu ar gyfer dysgu, rhaid iddo fod yn rhan o gynllunio effeithiol; ffocysu ar sut mae disgyblion y dysgu; yn ganolog i ymarfer ar lawr yr ystafell ddosbarth; datblygu cymhelliant, hyrwyddo dealltwriaeth o amcanion ac ysgogi dysgu i wybod sut i wella. (Gardener, 2012). Ym myd addysg felly mae’r asesu yn cael eu categoreiddio i ffurfiau gwahanol, gwahaniaethodd Scriven (1967) rhwng asesu ffurfiannol a chrynodol. Datblygwyd y syniad o asesiad crynodol gan Bloom, Hastings &amp; Madaus (1971) fel profi'r asesiadau a roddir ar ddiwedd unedau neu ar ddiwedd cwrs, at ddiben graddio, ardystio, gwerthuso cynnydd neu hyd yn oed ar gyfer ymchwilio i effeithiolrwydd cwricwlwm. Mae asesu ffurfiannol felly yn asesu er mwyn dangos y ffordd i wella’r hyn mae disgyblion yn dymuno ei wneud. Er hyn, mae Swaffield (2011) yn amau fod </w:t>
      </w:r>
      <w:r w:rsidRPr="0019191E">
        <w:rPr>
          <w:rFonts w:ascii="Times New Roman" w:hAnsi="Times New Roman" w:cs="Times New Roman"/>
          <w:sz w:val="24"/>
          <w:szCs w:val="24"/>
          <w:lang w:eastAsia="en-US"/>
        </w:rPr>
        <w:lastRenderedPageBreak/>
        <w:t xml:space="preserve">yna gwahaniaeth rhwng asesu ar gyfer dysgu ac asesu ffurfiannol. Mae asesu ar gyfer dysgu yn broses ddysgu ac addysgu, tra bod asesu ffurfiannol yn ddiben a swyddogaeth o rai asesiadau. Mae asesu ar gyfer dysgu yn broses ddysgu ynddo'i hun, tra bod asesiad ffurfiannol yn darparu gwybodaeth i arwain dysgu yn y dyfodol. Mae Wiliam a Black (1998) yn enwog yn y byd addysg am eu hymchwil ar effaith ffurfiannol yn yr ystafell ddosbarth a'u prif ganfyddiadau oedd, pan fod athrawon yn gweithredu strategaethau asesu ffurfiannol, roedd enillion dysgu'r myfyrwyr yn y dosbarthiadau athrawon hyn yn sylweddol uwch na rhai grwpiau rheoli. Er hyn, dywed </w:t>
      </w:r>
      <w:r w:rsidRPr="0019191E">
        <w:rPr>
          <w:rFonts w:ascii="Times New Roman" w:hAnsi="Times New Roman" w:cs="Times New Roman"/>
          <w:i/>
          <w:iCs/>
          <w:sz w:val="24"/>
          <w:szCs w:val="24"/>
          <w:lang w:eastAsia="en-US"/>
        </w:rPr>
        <w:t>Organisation for Economic Co-operation and Development</w:t>
      </w:r>
      <w:r w:rsidRPr="0019191E">
        <w:rPr>
          <w:rFonts w:ascii="Times New Roman" w:hAnsi="Times New Roman" w:cs="Times New Roman"/>
          <w:sz w:val="24"/>
          <w:szCs w:val="24"/>
          <w:lang w:eastAsia="en-US"/>
        </w:rPr>
        <w:t xml:space="preserve"> (OECD) (2005) mai un o’r cyfyngiadau amlwg am asesu ar gyfer dysgu effeithiol yw maint dosbarthiadau. Yn ôl eu hymchwil, ffeindiwyd fod rhai ysgolion wedi defnyddio’r strategaeth o “</w:t>
      </w:r>
      <w:r w:rsidRPr="0019191E">
        <w:rPr>
          <w:rFonts w:ascii="Times New Roman" w:hAnsi="Times New Roman" w:cs="Times New Roman"/>
          <w:i/>
          <w:iCs/>
          <w:sz w:val="24"/>
          <w:szCs w:val="24"/>
          <w:lang w:eastAsia="en-US"/>
        </w:rPr>
        <w:t>divided classroms</w:t>
      </w:r>
      <w:r w:rsidRPr="0019191E">
        <w:rPr>
          <w:rFonts w:ascii="Times New Roman" w:hAnsi="Times New Roman" w:cs="Times New Roman"/>
          <w:sz w:val="24"/>
          <w:szCs w:val="24"/>
          <w:lang w:eastAsia="en-US"/>
        </w:rPr>
        <w:t>” ac roedd hyn yn datblygu sgiliau ar gyfer gallu asesu cyfoedion yn llwyddiannus, gweithio fel tîm a datrys problemau wrth adeiladu sgiliau cymdeith</w:t>
      </w:r>
      <w:r>
        <w:rPr>
          <w:rFonts w:ascii="Times New Roman" w:hAnsi="Times New Roman" w:cs="Times New Roman"/>
          <w:sz w:val="24"/>
          <w:szCs w:val="24"/>
          <w:lang w:eastAsia="en-US"/>
        </w:rPr>
        <w:t xml:space="preserve">asol a gwybyddol ar yr un pryd. </w:t>
      </w:r>
      <w:r w:rsidRPr="0019191E">
        <w:rPr>
          <w:rFonts w:ascii="Times New Roman" w:hAnsi="Times New Roman" w:cs="Times New Roman"/>
          <w:sz w:val="24"/>
          <w:szCs w:val="24"/>
          <w:lang w:eastAsia="en-US"/>
        </w:rPr>
        <w:t xml:space="preserve">Gweler felly fod y disgybl sydd yn ganolog i’r asesu fel dywed Black et al., (2003) fod </w:t>
      </w:r>
      <w:r w:rsidRPr="0019191E">
        <w:rPr>
          <w:rFonts w:ascii="Times New Roman" w:hAnsi="Times New Roman" w:cs="Times New Roman"/>
          <w:sz w:val="24"/>
          <w:szCs w:val="24"/>
          <w:lang w:val="cy-GB" w:eastAsia="en-US"/>
        </w:rPr>
        <w:t>asesu ar gyfer dysgu yw unrhyw asesiad y mae'r flaenoriaeth gyntaf yn ei ddyluniad a'i ymarfer i wasanaethu pwrpas dysgu'r disgyblion</w:t>
      </w:r>
      <w:r>
        <w:rPr>
          <w:rFonts w:ascii="Times New Roman" w:hAnsi="Times New Roman" w:cs="Times New Roman"/>
          <w:sz w:val="24"/>
          <w:szCs w:val="24"/>
          <w:lang w:eastAsia="en-US"/>
        </w:rPr>
        <w:t>.</w:t>
      </w:r>
      <w:r>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 xml:space="preserve">Yn y maes datblygu yma, mae cysylltiadau clir yn cael ei wneud rhwng dealltwriaeth yr athrawon am asesu ar gyfer dysgu a’r effaith mae hyn yn cael ar y disgyblion. Dadleuai Webb &amp; Jones (2009) fod defnyddio asesu ffurfiannol yn llwyddiannus yn dibynnu ar yr ymagwedd ddysgu a gwybodaeth, sgiliau a strategaethau'r athrawon y maent yn eu defnyddio i wneud prosesau pedagogaidd cymhleth. Yn ogystal â hyn, mae Hayward (2012) yn datgan er mwyn creu theori lwyddiannus ar gyfer asesu ar gyfer dysgu, rhaid bod athrawon, ymchwiliwr a llunwyr polisïau i gael dealltwriaeth fwy dwys am brofiadau'r dysgwyr am asesu ar gyfer dysgu. Gweler fod hyn yn cael ei adlewyrchu yng Nghymru gyda’r llywodraeth yn datblygu polisïau er mwyn integreiddio asesu ar gyfer dysgu yn yr ysgolion ac yn sylweddoli pa mor bwysig bod athrawon yn deall pam y defnyddir adnodd neu strategaeth addysgu arbennig </w:t>
      </w:r>
      <w:r w:rsidRPr="0019191E">
        <w:rPr>
          <w:rFonts w:ascii="Times New Roman" w:hAnsi="Times New Roman" w:cs="Times New Roman"/>
          <w:sz w:val="24"/>
          <w:szCs w:val="24"/>
          <w:lang w:eastAsia="en-US"/>
        </w:rPr>
        <w:lastRenderedPageBreak/>
        <w:t>(Llywodraeth Cymru, 2010).  Gellir cysylltu gyda’r cysyniad o “</w:t>
      </w:r>
      <w:r w:rsidRPr="0019191E">
        <w:rPr>
          <w:rFonts w:ascii="Times New Roman" w:hAnsi="Times New Roman" w:cs="Times New Roman"/>
          <w:i/>
          <w:iCs/>
          <w:sz w:val="24"/>
          <w:szCs w:val="24"/>
          <w:lang w:eastAsia="en-US"/>
        </w:rPr>
        <w:t>visible learning</w:t>
      </w:r>
      <w:r w:rsidRPr="0019191E">
        <w:rPr>
          <w:rFonts w:ascii="Times New Roman" w:hAnsi="Times New Roman" w:cs="Times New Roman"/>
          <w:sz w:val="24"/>
          <w:szCs w:val="24"/>
          <w:lang w:eastAsia="en-US"/>
        </w:rPr>
        <w:t>” datblygwyd gan Hattie (2012) sydd yn datgan fod dysgu ac addysgu gweladwy yn digwydd pan fydd dysgu'n nod penodol, mae'n heriol a phan mae'r athro a'r myfyriwr yn gwybod sut y byddant yn cyflawni'r nod hwn. Rhoddir pwyslais ar yr effaith a gafwyd ar ddysgwyr pan fydd athrawon yn dod yn ddysgwyr a phan fydd myfyrwyr yn dod yn athrawon eu hunain. Gan newid cyfrifoldebau a rolau, mae dealltwriaeth fwy dwys yn cael ei ddatblygu gan y disgyblion ac athrawon am syniadau allweddol o asesu ar gyfer dysgu yn effeithiol. Golygai hyn fod y sgil o fyfyrio ar berfformiad neu ar ymdrech yn hollbwysig ar gyfer athrawon a disgyblion wrth ddatblygu'r ffordd maent yn asesu dealltwriaeth, boed yn hunanwerthuso neu’n asesu ar lefel gyffredinol i wirio dealltwriaeth dosbarth.</w:t>
      </w:r>
    </w:p>
    <w:p w:rsidR="001949F9" w:rsidRPr="0019191E" w:rsidRDefault="001949F9" w:rsidP="001949F9">
      <w:pPr>
        <w:pStyle w:val="HTMLPreformatted"/>
        <w:shd w:val="clear" w:color="auto" w:fill="FFFFFF"/>
        <w:spacing w:line="480" w:lineRule="auto"/>
        <w:rPr>
          <w:rFonts w:ascii="Times New Roman" w:hAnsi="Times New Roman" w:cs="Times New Roman"/>
          <w:sz w:val="24"/>
          <w:szCs w:val="24"/>
          <w:lang w:val="cy-GB"/>
        </w:rPr>
      </w:pPr>
      <w:r w:rsidRPr="0019191E">
        <w:rPr>
          <w:rFonts w:ascii="Times New Roman" w:hAnsi="Times New Roman" w:cs="Times New Roman"/>
          <w:sz w:val="24"/>
          <w:szCs w:val="24"/>
          <w:lang w:eastAsia="en-US"/>
        </w:rPr>
        <w:tab/>
        <w:t xml:space="preserve">Dadleuai Wiliam (2017) bod rhaid i athrawon werthuso wrth ystyried effeithiau eu haddysg ar y myfyriwr. Rhoddir ffocws penodol ar bŵer adborth gan ddatgan rhaid sicrhau bod adborth yn gysylltiedig â nodau dysgu sydd wedi'u rhannu gyda'r myfyrwyr; a dylai fod yn fwy o waith ar gyfer y derbynnydd na'r rhoddwr. Ar y </w:t>
      </w:r>
      <w:r>
        <w:rPr>
          <w:rFonts w:ascii="Times New Roman" w:hAnsi="Times New Roman" w:cs="Times New Roman"/>
          <w:sz w:val="24"/>
          <w:szCs w:val="24"/>
          <w:lang w:eastAsia="en-US"/>
        </w:rPr>
        <w:t>llaw arall, trafodai Didau (2015</w:t>
      </w:r>
      <w:r w:rsidRPr="0019191E">
        <w:rPr>
          <w:rFonts w:ascii="Times New Roman" w:hAnsi="Times New Roman" w:cs="Times New Roman"/>
          <w:sz w:val="24"/>
          <w:szCs w:val="24"/>
          <w:lang w:eastAsia="en-US"/>
        </w:rPr>
        <w:t xml:space="preserve">) effaith adborth ac asesu gan ddweud, nid oes ffordd ystyrlon o asesu beth mae disgyblion wedi'i ddysgu yn ystod gwers. Cynigai'r angen i fesur perfformiad, er mwyn gallu canfod yr hyn a ddysgwyd. Er hyn, mae casgliadau am berfformiad yn yr ystafell ddosbarth yn dibynnu'n fawr ar y cyhyrau a'r ysgogiadau a ddarperir gan yr athro. Wrth ystyried rôl yr athro, dengys fod eu dealltwriaeth am asesu a pherfformiad yn hanfodol er mwyn gallu ysgogi ac ysbrydoli dysgwyr. Mae Ninomiya (2016) yn dadlau mai’r ffordd o ddatblygu asesu yw </w:t>
      </w:r>
      <w:r w:rsidRPr="0019191E">
        <w:rPr>
          <w:rFonts w:ascii="Times New Roman" w:hAnsi="Times New Roman" w:cs="Times New Roman"/>
          <w:sz w:val="24"/>
          <w:szCs w:val="24"/>
          <w:lang w:val="cy-GB" w:eastAsia="en-US"/>
        </w:rPr>
        <w:t>trwy ganolbwyntio ar brosesau archwilio a chreu deialog trwy fywiogrwydd perthnasoedd dilys rhwng athrawon a myfyrwyr yn yr ystafell ddosbarth.</w:t>
      </w:r>
      <w:r w:rsidRPr="0019191E">
        <w:rPr>
          <w:rFonts w:ascii="Times New Roman" w:hAnsi="Times New Roman" w:cs="Times New Roman"/>
          <w:sz w:val="24"/>
          <w:szCs w:val="24"/>
          <w:lang w:eastAsia="en-US"/>
        </w:rPr>
        <w:t xml:space="preserve"> Mae hyn felly yn cysylltu â syniad gan Harlen (2012) fod y cymhelliad i ddysgu ac ar ddysgu gydol oes yn dibynnu ar sut mae pobl yn gweld ei hunain fel dysgwyr, llwyddiant trwy ymdrech neu foddhad oddi wrth ddysgu.</w:t>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lastRenderedPageBreak/>
        <w:tab/>
        <w:t xml:space="preserve">Mae’r rhethreg eisoes yn newid ac yn datblygu am asesu ar gyfer dysgu yn gyffredinol gyda nifer o ysgolheigion yn trafod yr awydd i newid meddylfryd am sut i asesu. Datganwyd Bennett (2011) fod asesu ar gyfer dysgu yn gysyniad addawol, a rhaid datblygu theori sydd yn golygu ein bod yn ail feddwl ein syniadau am addysg o’r gwaelod i fyny.  </w:t>
      </w:r>
      <w:r w:rsidRPr="0019191E">
        <w:rPr>
          <w:rFonts w:ascii="Times New Roman" w:hAnsi="Times New Roman" w:cs="Times New Roman"/>
          <w:sz w:val="24"/>
          <w:szCs w:val="24"/>
          <w:lang w:val="cy-GB" w:eastAsia="en-US"/>
        </w:rPr>
        <w:t xml:space="preserve">Yn ôl Torrance (2012) ymddangosai </w:t>
      </w:r>
      <w:r w:rsidRPr="0019191E">
        <w:rPr>
          <w:rFonts w:ascii="Times New Roman" w:hAnsi="Times New Roman" w:cs="Times New Roman"/>
          <w:sz w:val="24"/>
          <w:szCs w:val="24"/>
          <w:lang w:eastAsia="en-US"/>
        </w:rPr>
        <w:t>bod theori ac ymarfer asesu ffurfiannol ar groesffordd</w:t>
      </w:r>
      <w:r w:rsidRPr="0019191E">
        <w:rPr>
          <w:rFonts w:ascii="Times New Roman" w:hAnsi="Times New Roman" w:cs="Times New Roman"/>
          <w:sz w:val="24"/>
          <w:szCs w:val="24"/>
          <w:lang w:val="cy-GB" w:eastAsia="en-US"/>
        </w:rPr>
        <w:t xml:space="preserve"> oherwydd yn cael ei leihau i brofion dosbarth yn rheolaidd, a ddefnyddir i fonitro cynnydd myfyrwyr, neu i gyfres o dechnegau hyfforddi er mwyn gwella canlyniadau gradd a phrofion.</w:t>
      </w:r>
    </w:p>
    <w:p w:rsidR="001949F9" w:rsidRPr="0019191E" w:rsidRDefault="001949F9" w:rsidP="001949F9">
      <w:pPr>
        <w:pStyle w:val="HTMLPreformatted"/>
        <w:shd w:val="clear" w:color="auto" w:fill="FFFFFF"/>
        <w:spacing w:line="480" w:lineRule="auto"/>
        <w:rPr>
          <w:rFonts w:ascii="Times New Roman" w:hAnsi="Times New Roman" w:cs="Times New Roman"/>
          <w:sz w:val="24"/>
          <w:szCs w:val="24"/>
        </w:rPr>
      </w:pPr>
      <w:r w:rsidRPr="0019191E">
        <w:rPr>
          <w:rFonts w:ascii="Times New Roman" w:hAnsi="Times New Roman" w:cs="Times New Roman"/>
          <w:sz w:val="24"/>
          <w:szCs w:val="24"/>
          <w:lang w:eastAsia="en-US"/>
        </w:rPr>
        <w:t>Mynegai Christodolou (2016) fod camsyniadau ynglŷn ag asesu yn arwain at arfer diffygiol yn yr ystafell ddosbarth; mae gwella addysg ac asesu yn dod llaw yn law, rhaid i ni ail edrych ar ein credoau sylfaenol am sut mae disgyblion yn dysgu a ddim meddwl fod g</w:t>
      </w:r>
      <w:r w:rsidRPr="0019191E">
        <w:rPr>
          <w:rFonts w:ascii="Times New Roman" w:hAnsi="Times New Roman" w:cs="Times New Roman"/>
          <w:sz w:val="24"/>
          <w:szCs w:val="24"/>
          <w:lang w:val="cy-GB" w:eastAsia="en-US"/>
        </w:rPr>
        <w:t xml:space="preserve"> wobrwyon yn bellgyrhaeddol</w:t>
      </w:r>
      <w:r w:rsidRPr="0019191E">
        <w:rPr>
          <w:rFonts w:ascii="Times New Roman" w:hAnsi="Times New Roman" w:cs="Times New Roman"/>
          <w:sz w:val="24"/>
          <w:szCs w:val="24"/>
          <w:lang w:eastAsia="en-US"/>
        </w:rPr>
        <w:t>.  Rhaid felly cael syniadau clir am beth yn union yw asesu ar gyfer dysgu, sut mae’n gallu cael ei weithredu yn llwyddiannus a datblygu strategaethau amrywiol er lles y disgyblion yr ydym yn addysgu.</w:t>
      </w:r>
    </w:p>
    <w:p w:rsidR="001949F9" w:rsidRPr="0019191E" w:rsidRDefault="001949F9" w:rsidP="001949F9">
      <w:pPr>
        <w:pStyle w:val="HTMLPreformatted"/>
        <w:shd w:val="clear" w:color="auto" w:fill="FFFFFF"/>
        <w:spacing w:line="480" w:lineRule="auto"/>
        <w:rPr>
          <w:rFonts w:ascii="Times New Roman" w:hAnsi="Times New Roman" w:cs="Times New Roman"/>
          <w:sz w:val="24"/>
          <w:szCs w:val="24"/>
          <w:lang w:val="cy-GB"/>
        </w:rPr>
      </w:pPr>
      <w:r w:rsidRPr="0019191E">
        <w:rPr>
          <w:rFonts w:ascii="Times New Roman" w:hAnsi="Times New Roman" w:cs="Times New Roman"/>
          <w:sz w:val="24"/>
          <w:szCs w:val="24"/>
          <w:lang w:eastAsia="en-US"/>
        </w:rPr>
        <w:tab/>
        <w:t>Yng Nghymru mae yna ddogfen gan y Llywodraeth (2010) o’r enw ‘</w:t>
      </w:r>
      <w:r w:rsidRPr="0019191E">
        <w:rPr>
          <w:rFonts w:ascii="Times New Roman" w:hAnsi="Times New Roman" w:cs="Times New Roman"/>
          <w:i/>
          <w:iCs/>
          <w:sz w:val="24"/>
          <w:szCs w:val="24"/>
          <w:lang w:eastAsia="en-US"/>
        </w:rPr>
        <w:t>Sut i ddatblygu meddwl ac asesu ar gyfer dysgu yn yr ystafell ddosbarth’</w:t>
      </w:r>
      <w:r w:rsidRPr="0019191E">
        <w:rPr>
          <w:rFonts w:ascii="Times New Roman" w:hAnsi="Times New Roman" w:cs="Times New Roman"/>
          <w:sz w:val="24"/>
          <w:szCs w:val="24"/>
          <w:lang w:eastAsia="en-US"/>
        </w:rPr>
        <w:t xml:space="preserve"> sydd yn argymell ystod o strategaethau ac adnoddau er mwyn ddefnyddio yn yr ystafell ddosbarth i ddatblygu meddwl ac asesu ar gyfer dysgu yn llwyddiannus ac yn effeithiol. Seiliwyd y strategaethau yma ar dair proses gyffredinol sef cynllunio, datblygu a myfyrio. Defnyddiwyd y ddogfen hon wrth edrych ar strategaethau hunanwerthuso yn benodol i’w arbrofi gyda, ynghyd a chael dealltwriaeth am y ffordd i ddatblygu ansawdd cwestiynau effeithiol e</w:t>
      </w:r>
      <w:r>
        <w:rPr>
          <w:rFonts w:ascii="Times New Roman" w:hAnsi="Times New Roman" w:cs="Times New Roman"/>
          <w:sz w:val="24"/>
          <w:szCs w:val="24"/>
          <w:lang w:eastAsia="en-US"/>
        </w:rPr>
        <w:t xml:space="preserve">r mwyn ysgogi’r dysgu. </w:t>
      </w:r>
      <w:r w:rsidRPr="0019191E">
        <w:rPr>
          <w:rFonts w:ascii="Times New Roman" w:hAnsi="Times New Roman" w:cs="Times New Roman"/>
          <w:sz w:val="24"/>
          <w:szCs w:val="24"/>
          <w:lang w:eastAsia="en-US"/>
        </w:rPr>
        <w:t xml:space="preserve">Un strategaeth sydd yn boblogaidd fel ffurf o hunanwerthuso cyflym yn ystod gwersi yw ‘bodau i fyny, bodau i lawr’. Mae’r strategaeth yma yn un ddefnyddiol gan ei fod yn un weledol ac felly mae’r canlyniadau yn gallu cael eu dadansoddi yn syth. Gweler tebygolrwydd gyda’r strategaeth hon gyda’r cysyniad poblogaidd o oleuadau traffig fel ffurf arall o hunanwerthuso. Dywedai Llywodraeth Cymru (2010) fod y dull yma “yn </w:t>
      </w:r>
      <w:r w:rsidRPr="0019191E">
        <w:rPr>
          <w:rFonts w:ascii="Times New Roman" w:hAnsi="Times New Roman" w:cs="Times New Roman"/>
          <w:sz w:val="24"/>
          <w:szCs w:val="24"/>
          <w:lang w:eastAsia="en-US"/>
        </w:rPr>
        <w:lastRenderedPageBreak/>
        <w:t xml:space="preserve">draddodiadol mae'n adnodd llwyddiannus a phoblogaidd ar gyfer datblygu meddwl medrus ac asesu ar gyfer dysgu…mae’n cynnig modd i flaenoriaethu eu hymdrechion yn y dyfodol ar y pethau nad ydyn nhw yn eu deall eto.” Mae hunanwerthuso yn hanfodol am ei fod yn broses </w:t>
      </w:r>
      <w:r w:rsidRPr="0019191E">
        <w:rPr>
          <w:rFonts w:ascii="Times New Roman" w:hAnsi="Times New Roman" w:cs="Times New Roman"/>
          <w:sz w:val="24"/>
          <w:szCs w:val="24"/>
          <w:lang w:val="cy-GB" w:eastAsia="en-US"/>
        </w:rPr>
        <w:t>hunanwerthuso eu cynnydd tuag at ddysgu, myfyrio ar eu dysgu, a chynhyrchu strategaethau am fwy o ddysgu, sydd yn y diwedd yn golyg</w:t>
      </w:r>
      <w:r>
        <w:rPr>
          <w:rFonts w:ascii="Times New Roman" w:hAnsi="Times New Roman" w:cs="Times New Roman"/>
          <w:sz w:val="24"/>
          <w:szCs w:val="24"/>
          <w:lang w:val="cy-GB" w:eastAsia="en-US"/>
        </w:rPr>
        <w:t xml:space="preserve">u </w:t>
      </w:r>
      <w:r w:rsidRPr="0019191E">
        <w:rPr>
          <w:rFonts w:ascii="Times New Roman" w:hAnsi="Times New Roman" w:cs="Times New Roman"/>
          <w:sz w:val="24"/>
          <w:szCs w:val="24"/>
          <w:lang w:val="cy-GB" w:eastAsia="en-US"/>
        </w:rPr>
        <w:t>perfformiad gwell gyda chymhelliant ystyrlon (</w:t>
      </w:r>
      <w:r w:rsidRPr="0019191E">
        <w:rPr>
          <w:rFonts w:ascii="Times New Roman" w:hAnsi="Times New Roman" w:cs="Times New Roman"/>
          <w:sz w:val="24"/>
          <w:szCs w:val="24"/>
          <w:lang w:eastAsia="en-US"/>
        </w:rPr>
        <w:t>McMillan &amp; Hearn, 2008). Roedd y cysyniadau yma yn sail gadarn er mwyn gallu hunanwerthuso yn llwyddiannus, ond un o brif nodau wrth ddechrau’r ymchwil yma oedd defnyddio strategaethau syml ac effeithiol ac yna ei foderneiddio gyda’r defnydd o ddelweddau, er mwyn gwneud yn berthnasol i’r oedran yr wyf yn addysgu.  Datblygwyd y syniad o ddefnyddio ‘</w:t>
      </w:r>
      <w:r>
        <w:rPr>
          <w:rFonts w:ascii="Times New Roman" w:hAnsi="Times New Roman" w:cs="Times New Roman"/>
          <w:sz w:val="24"/>
          <w:szCs w:val="24"/>
          <w:lang w:eastAsia="en-US"/>
        </w:rPr>
        <w:t>‘emojis’</w:t>
      </w:r>
      <w:r w:rsidRPr="0019191E">
        <w:rPr>
          <w:rFonts w:ascii="Times New Roman" w:hAnsi="Times New Roman" w:cs="Times New Roman"/>
          <w:sz w:val="24"/>
          <w:szCs w:val="24"/>
          <w:lang w:eastAsia="en-US"/>
        </w:rPr>
        <w:t xml:space="preserve"> gwahanol felly, gyda’r wynebau gwenu, syth a trist yn cyd-fynd gyda’r syniad o fodau i fyny, yn syth ac i lawr yn ogystal â lliwiau’r raddfa ‘</w:t>
      </w:r>
      <w:r>
        <w:rPr>
          <w:rFonts w:ascii="Times New Roman" w:hAnsi="Times New Roman" w:cs="Times New Roman"/>
          <w:sz w:val="24"/>
          <w:szCs w:val="24"/>
          <w:lang w:eastAsia="en-US"/>
        </w:rPr>
        <w:t>‘emojis’</w:t>
      </w:r>
      <w:r w:rsidRPr="0019191E">
        <w:rPr>
          <w:rFonts w:ascii="Times New Roman" w:hAnsi="Times New Roman" w:cs="Times New Roman"/>
          <w:sz w:val="24"/>
          <w:szCs w:val="24"/>
          <w:lang w:eastAsia="en-US"/>
        </w:rPr>
        <w:t xml:space="preserve"> yn adlewyrchu’r goleuadau traffig gyda’r lliwiau coch, oren a gwyrdd. Er ei fod yn gysyniad syml sydd wedi addasu, gweler yn hwyrach yn yr ymchwil fod yn ddull effeithiol o dangos dealltwriaeth bersonol y cyfranogwyr yn yr ymchwil.</w:t>
      </w:r>
      <w:r w:rsidRPr="0019191E">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ab/>
      </w:r>
    </w:p>
    <w:p w:rsidR="001949F9" w:rsidRPr="0019191E" w:rsidRDefault="001949F9" w:rsidP="001949F9">
      <w:pPr>
        <w:pStyle w:val="HTMLPreformatted"/>
        <w:spacing w:line="480" w:lineRule="auto"/>
        <w:rPr>
          <w:rFonts w:ascii="Times New Roman" w:hAnsi="Times New Roman" w:cs="Times New Roman"/>
          <w:sz w:val="24"/>
          <w:szCs w:val="24"/>
        </w:rPr>
      </w:pPr>
      <w:r w:rsidRPr="0019191E">
        <w:rPr>
          <w:rFonts w:ascii="Times New Roman" w:hAnsi="Times New Roman" w:cs="Times New Roman"/>
          <w:sz w:val="24"/>
          <w:szCs w:val="24"/>
          <w:lang w:eastAsia="en-US"/>
        </w:rPr>
        <w:tab/>
        <w:t xml:space="preserve">Strategaeth effeithiol arall a ddefnyddiwyd i selio fy newisiadau ar gyfer yr ymchwil hon oedd y dewis o gerdyn allanfa fel ffordd o asesu dealltwriaeth y disgyblion ar ddiwedd y wers. Dywedai (Marzano, 2012; Mastromonaco, 2015) fod cerdyn allanfa yn ffordd syml o wirio dealltwriaeth yn syth ar ôl y wers er mwyn paratoi a chynllunio ar gyfer y gwersi dilynol ac felly yn ddefnyddiol wrth gael ei gyflwyno fel offeryn dysgu. Yn ei flog sydd yn canolbwyntio ar y defnydd o gerdyn allanfa amlinellai Lemov (2015) mai un o'r buddiannau wrth ddefnyddio cerdyn allanfa oedd y cyfle i adolygu'r data a gasglwyd, mae hyn yn rhoi cyfle arbennig i wahaniaethu yn briodol wrth deilwra gwersi. Cynghorai gellir defnyddio’r cerdyn allanfa a’r ymatebion a gasglwyd er mwyn grwpio disgyblion yn briodol ac yn seiliedig ar lefel eu dealltwriaeth; gellir grwpio disgyblion yn ôl rhai sydd yn cael trafferth gyda gwers i roi cyfle i ail ddysgu cysyniad, neu os mae’r dosbarth i gyd yn cael </w:t>
      </w:r>
      <w:r w:rsidRPr="0019191E">
        <w:rPr>
          <w:rFonts w:ascii="Times New Roman" w:hAnsi="Times New Roman" w:cs="Times New Roman"/>
          <w:sz w:val="24"/>
          <w:szCs w:val="24"/>
          <w:lang w:eastAsia="en-US"/>
        </w:rPr>
        <w:lastRenderedPageBreak/>
        <w:t>trafferth gyda chysyniad penodol yna mae yna gyfle i ail ddysgu er mwyn gwirio dealltwriaeth. Mynegai Knight (2017) wrth drafod y cerdyn allanfa a’r ‘</w:t>
      </w:r>
      <w:r>
        <w:rPr>
          <w:rFonts w:ascii="Times New Roman" w:hAnsi="Times New Roman" w:cs="Times New Roman"/>
          <w:sz w:val="24"/>
          <w:szCs w:val="24"/>
          <w:lang w:eastAsia="en-US"/>
        </w:rPr>
        <w:t>‘emojis’</w:t>
      </w:r>
      <w:r w:rsidRPr="0019191E">
        <w:rPr>
          <w:rFonts w:ascii="Times New Roman" w:hAnsi="Times New Roman" w:cs="Times New Roman"/>
          <w:sz w:val="24"/>
          <w:szCs w:val="24"/>
          <w:lang w:eastAsia="en-US"/>
        </w:rPr>
        <w:t xml:space="preserve"> yn dweud ei fod yn ddefnyddiol oherwydd mae’n rhoi’r cyfle i wrando ar ddisgyblion. Mae’n ddefnyddiol i ofyn cwestiynau am sut maent yn dysgu, ei ymagweddau a’u lefel diddordeb. Dadleuai Lemov (2012) fod gofyn cwestiynau sydd yn targedu anghenion y dysgwyr sydd yn meistroli gyda’r gwaith yn ffordd hawdd ac effeithiol o wahaniaethu. Roedd y penderfyniad o ychwanegu ‘</w:t>
      </w:r>
      <w:r>
        <w:rPr>
          <w:rFonts w:ascii="Times New Roman" w:hAnsi="Times New Roman" w:cs="Times New Roman"/>
          <w:sz w:val="24"/>
          <w:szCs w:val="24"/>
          <w:lang w:eastAsia="en-US"/>
        </w:rPr>
        <w:t>‘emojis’</w:t>
      </w:r>
      <w:r w:rsidRPr="0019191E">
        <w:rPr>
          <w:rFonts w:ascii="Times New Roman" w:hAnsi="Times New Roman" w:cs="Times New Roman"/>
          <w:sz w:val="24"/>
          <w:szCs w:val="24"/>
          <w:lang w:eastAsia="en-US"/>
        </w:rPr>
        <w:t xml:space="preserve"> gyda’r cerdyn allanfa er mwyn galluogi bod y disgyblion yn cael cyfle i hunan werthuso mewn ffordd gyfoes a ffordd n</w:t>
      </w:r>
      <w:r>
        <w:rPr>
          <w:rFonts w:ascii="Times New Roman" w:hAnsi="Times New Roman" w:cs="Times New Roman"/>
          <w:sz w:val="24"/>
          <w:szCs w:val="24"/>
          <w:lang w:eastAsia="en-US"/>
        </w:rPr>
        <w:t>ad yw’n rhy blentynnaidd.</w:t>
      </w:r>
      <w:r>
        <w:rPr>
          <w:rFonts w:ascii="Times New Roman" w:hAnsi="Times New Roman" w:cs="Times New Roman"/>
          <w:sz w:val="24"/>
          <w:szCs w:val="24"/>
          <w:lang w:eastAsia="en-US"/>
        </w:rPr>
        <w:tab/>
      </w:r>
      <w:r>
        <w:rPr>
          <w:rFonts w:ascii="Times New Roman" w:hAnsi="Times New Roman" w:cs="Times New Roman"/>
          <w:sz w:val="24"/>
          <w:szCs w:val="24"/>
          <w:lang w:eastAsia="en-US"/>
        </w:rPr>
        <w:tab/>
      </w:r>
      <w:r>
        <w:rPr>
          <w:rFonts w:ascii="Times New Roman" w:hAnsi="Times New Roman" w:cs="Times New Roman"/>
          <w:sz w:val="24"/>
          <w:szCs w:val="24"/>
          <w:lang w:eastAsia="en-US"/>
        </w:rPr>
        <w:tab/>
      </w:r>
      <w:r w:rsidRPr="0019191E">
        <w:rPr>
          <w:rFonts w:ascii="Times New Roman" w:hAnsi="Times New Roman" w:cs="Times New Roman"/>
          <w:sz w:val="24"/>
          <w:szCs w:val="24"/>
          <w:lang w:eastAsia="en-US"/>
        </w:rPr>
        <w:t>Roedd y cysyniad o ddefnyddio dull asesu ffurfiannol arall i gymhwyso’r ‘</w:t>
      </w:r>
      <w:r>
        <w:rPr>
          <w:rFonts w:ascii="Times New Roman" w:hAnsi="Times New Roman" w:cs="Times New Roman"/>
          <w:sz w:val="24"/>
          <w:szCs w:val="24"/>
          <w:lang w:eastAsia="en-US"/>
        </w:rPr>
        <w:t>‘emojis’</w:t>
      </w:r>
      <w:r w:rsidRPr="0019191E">
        <w:rPr>
          <w:rFonts w:ascii="Times New Roman" w:hAnsi="Times New Roman" w:cs="Times New Roman"/>
          <w:sz w:val="24"/>
          <w:szCs w:val="24"/>
          <w:lang w:eastAsia="en-US"/>
        </w:rPr>
        <w:t xml:space="preserve"> wedi dod o dechneg eithaf newydd sef </w:t>
      </w:r>
      <w:r w:rsidRPr="0019191E">
        <w:rPr>
          <w:rFonts w:ascii="Times New Roman" w:hAnsi="Times New Roman" w:cs="Times New Roman"/>
          <w:i/>
          <w:iCs/>
          <w:sz w:val="24"/>
          <w:szCs w:val="24"/>
          <w:lang w:eastAsia="en-US"/>
        </w:rPr>
        <w:t>Plickers</w:t>
      </w:r>
      <w:r w:rsidRPr="0019191E">
        <w:rPr>
          <w:rFonts w:ascii="Times New Roman" w:hAnsi="Times New Roman" w:cs="Times New Roman"/>
          <w:sz w:val="24"/>
          <w:szCs w:val="24"/>
          <w:lang w:eastAsia="en-US"/>
        </w:rPr>
        <w:t>, gyda phwyslais ar ei effeithlonrwydd. Mae prosiect ymchwil gan Dr. Ismail Elmahdi et al., (2018) yn canolbwyntio ar d</w:t>
      </w:r>
      <w:r w:rsidRPr="0019191E">
        <w:rPr>
          <w:rFonts w:ascii="Times New Roman" w:hAnsi="Times New Roman" w:cs="Times New Roman"/>
          <w:sz w:val="24"/>
          <w:szCs w:val="24"/>
          <w:lang w:val="cy-GB" w:eastAsia="en-US"/>
        </w:rPr>
        <w:t>defnyddio technoleg ar gyfer asesu ffurfiannol i wella dysgu myfyrwyr</w:t>
      </w:r>
      <w:r w:rsidRPr="0019191E">
        <w:rPr>
          <w:rFonts w:ascii="Times New Roman" w:hAnsi="Times New Roman" w:cs="Times New Roman"/>
          <w:sz w:val="24"/>
          <w:szCs w:val="24"/>
          <w:lang w:eastAsia="en-US"/>
        </w:rPr>
        <w:t xml:space="preserve"> yn son fod </w:t>
      </w:r>
      <w:r w:rsidRPr="0019191E">
        <w:rPr>
          <w:rFonts w:ascii="Times New Roman" w:hAnsi="Times New Roman" w:cs="Times New Roman"/>
          <w:i/>
          <w:iCs/>
          <w:sz w:val="24"/>
          <w:szCs w:val="24"/>
          <w:lang w:eastAsia="en-US"/>
        </w:rPr>
        <w:t xml:space="preserve">Plickers </w:t>
      </w:r>
      <w:r w:rsidRPr="0019191E">
        <w:rPr>
          <w:rFonts w:ascii="Times New Roman" w:hAnsi="Times New Roman" w:cs="Times New Roman"/>
          <w:sz w:val="24"/>
          <w:szCs w:val="24"/>
          <w:lang w:eastAsia="en-US"/>
        </w:rPr>
        <w:t>yn</w:t>
      </w:r>
      <w:r w:rsidRPr="0019191E">
        <w:rPr>
          <w:rFonts w:ascii="Times New Roman" w:hAnsi="Times New Roman" w:cs="Times New Roman"/>
          <w:sz w:val="24"/>
          <w:szCs w:val="24"/>
          <w:lang w:val="cy-GB" w:eastAsia="en-US"/>
        </w:rPr>
        <w:t xml:space="preserve"> gwella asesiad ffurfiannol a gwella dysgu myfyrwyr oherwydd bod fwy o ymgysylltiad gan fyfyrwyr roedd hyn yn creu amgylchedd dysgu fwy effeithiol.  </w:t>
      </w:r>
      <w:r w:rsidRPr="0019191E">
        <w:rPr>
          <w:rFonts w:ascii="Times New Roman" w:hAnsi="Times New Roman" w:cs="Times New Roman"/>
          <w:sz w:val="24"/>
          <w:szCs w:val="24"/>
          <w:lang w:eastAsia="en-US"/>
        </w:rPr>
        <w:t xml:space="preserve">Yn ogystal, dengys Atherton (2018) fod </w:t>
      </w:r>
      <w:r w:rsidRPr="0019191E">
        <w:rPr>
          <w:rFonts w:ascii="Times New Roman" w:hAnsi="Times New Roman" w:cs="Times New Roman"/>
          <w:i/>
          <w:iCs/>
          <w:sz w:val="24"/>
          <w:szCs w:val="24"/>
          <w:lang w:eastAsia="en-US"/>
        </w:rPr>
        <w:t>Plickers</w:t>
      </w:r>
      <w:r w:rsidRPr="0019191E">
        <w:rPr>
          <w:rFonts w:ascii="Times New Roman" w:hAnsi="Times New Roman" w:cs="Times New Roman"/>
          <w:sz w:val="24"/>
          <w:szCs w:val="24"/>
          <w:lang w:eastAsia="en-US"/>
        </w:rPr>
        <w:t xml:space="preserve"> yn ffordd ddefnyddiol o asesu ffurfiannol am fod yn ddefnyddiol i athrawon a’r dysgwyr gan ei fod yn rhoi fwy o bwyslais ar yr addysgu a’r asesu a llai ar y cydosod. Mae Atherton ynghyd a Bharti (2015) hefyd yn awgrymu hefyd y dull yma yn medru cael ei ddefnyddio i ddatblygu meddwl dwys pam gaiff ei ddefnyddio gyda chwestiynu effeithiol.</w:t>
      </w:r>
    </w:p>
    <w:p w:rsidR="001949F9" w:rsidRPr="0019191E" w:rsidRDefault="001949F9" w:rsidP="001949F9">
      <w:pPr>
        <w:spacing w:line="480" w:lineRule="auto"/>
        <w:ind w:firstLine="720"/>
        <w:rPr>
          <w:sz w:val="24"/>
          <w:szCs w:val="24"/>
        </w:rPr>
      </w:pPr>
      <w:r>
        <w:rPr>
          <w:sz w:val="24"/>
          <w:szCs w:val="24"/>
          <w:lang w:eastAsia="en-US"/>
        </w:rPr>
        <w:t xml:space="preserve">I orffen, mae’r llenyddiaeth yma wedi cael effaith ar yr ymchwil ar lawr yr ystafell ddosbarth gan fod amrywiaeth o strategaethau er mwyn arbrofi ac addasu i fod yn briodol i’r cyfranogwyr yn yr ystafell ddosbarth. Er bod syniadau am asesu ar gyfer dysgu yn amrywio, mae’r pwyslais mawr sydd ar athrawon i ddeall asesu ac ar lefel genedlaethol i newid meddylfryd am effaith asesu wedi hefyd cael effaith ar yr ymchwil mewn ffordd gadarnhaol oherwydd rhaid bod yn ymwybodol o’r broses asesu er mwyn iddo fod yn cael ei ddefnyddio fel arf effeithiol i ysgogi cynnydd y dysgwyr ac effeithlonrwydd athrawon yn addysgu.  </w:t>
      </w:r>
    </w:p>
    <w:p w:rsidR="001949F9" w:rsidRDefault="001949F9" w:rsidP="001949F9">
      <w:pPr>
        <w:rPr>
          <w:sz w:val="32"/>
        </w:rPr>
      </w:pPr>
    </w:p>
    <w:p w:rsidR="001949F9" w:rsidRPr="00C95595" w:rsidRDefault="001949F9" w:rsidP="001949F9">
      <w:pPr>
        <w:spacing w:line="480" w:lineRule="auto"/>
        <w:rPr>
          <w:b/>
          <w:sz w:val="24"/>
          <w:szCs w:val="24"/>
          <w:u w:val="single"/>
        </w:rPr>
      </w:pPr>
      <w:r w:rsidRPr="00C95595">
        <w:rPr>
          <w:b/>
          <w:sz w:val="24"/>
          <w:szCs w:val="24"/>
          <w:u w:val="single"/>
        </w:rPr>
        <w:t xml:space="preserve">Polisi ac Arfer yr Ysgol </w:t>
      </w:r>
    </w:p>
    <w:p w:rsidR="001949F9" w:rsidRPr="00C95595" w:rsidRDefault="001949F9" w:rsidP="001949F9">
      <w:pPr>
        <w:pStyle w:val="HTMLPreformatted"/>
        <w:shd w:val="clear" w:color="auto" w:fill="FFFFFF"/>
        <w:spacing w:line="480" w:lineRule="auto"/>
        <w:rPr>
          <w:rFonts w:ascii="Times New Roman" w:hAnsi="Times New Roman" w:cs="Times New Roman"/>
          <w:color w:val="212121"/>
          <w:sz w:val="24"/>
          <w:szCs w:val="24"/>
        </w:rPr>
      </w:pPr>
      <w:r w:rsidRPr="003B6E70">
        <w:rPr>
          <w:rFonts w:ascii="Times New Roman" w:hAnsi="Times New Roman" w:cs="Times New Roman"/>
          <w:b/>
          <w:bCs/>
          <w:sz w:val="24"/>
          <w:szCs w:val="24"/>
          <w:lang w:val="cy-GB" w:eastAsia="en-US"/>
        </w:rPr>
        <w:tab/>
      </w:r>
      <w:r w:rsidRPr="003B6E70">
        <w:rPr>
          <w:rFonts w:ascii="Times New Roman" w:hAnsi="Times New Roman" w:cs="Times New Roman"/>
          <w:sz w:val="24"/>
          <w:szCs w:val="24"/>
          <w:lang w:eastAsia="en-US"/>
        </w:rPr>
        <w:t xml:space="preserve">Defnyddir amrywiaeth o strategaethau asesu ar gyfer dysgu yn yr adran Addysg Grefyddol yn ‘Ysgol A’ ac mae’r rhain yn cael ei integreiddio yn gyson yng nghynlluniau gwaith yr adran yn ogystal. Gweler yng nghynllun gwaith Blwyddyn 7 lle mae’r disgyblion yn gwneud gwaith ar gwestiynau mawr y byd, fod yna enghreifftiau penodol o asesu ar gyfer dysgu yn cael eu defnyddio. Mae asesu cyfoedion yn cael pwyslais penodol wrth farcio’r dasg grynodol diwedd uned lle mae’r disgyblion yn defnyddio’r dull dwy seren a dymuniad, yn ôl meini prawf llwyddiant crëwyd gan y disgyblion yn y dosbarth. Mae dulliau megis dwy seren a dymuniad yn ffordd effeithiol o asesu gan fod yn rhoi’r cyfle iddynt fod yn </w:t>
      </w:r>
      <w:r w:rsidRPr="003B6E70">
        <w:rPr>
          <w:rFonts w:ascii="Times New Roman" w:hAnsi="Times New Roman" w:cs="Times New Roman"/>
          <w:color w:val="212121"/>
          <w:sz w:val="24"/>
          <w:szCs w:val="24"/>
          <w:lang w:val="cy-GB" w:eastAsia="en-US"/>
        </w:rPr>
        <w:t>well aseswyr i gyfoedion ac i fod yn hunan-olygyddion. (Madden, 2017)</w:t>
      </w:r>
      <w:r w:rsidRPr="003B6E70">
        <w:rPr>
          <w:rFonts w:ascii="Times New Roman" w:hAnsi="Times New Roman" w:cs="Times New Roman"/>
          <w:color w:val="212121"/>
          <w:sz w:val="24"/>
          <w:szCs w:val="24"/>
          <w:lang w:eastAsia="en-US"/>
        </w:rPr>
        <w:t xml:space="preserve"> </w:t>
      </w:r>
      <w:r w:rsidRPr="003B6E70">
        <w:rPr>
          <w:rFonts w:ascii="Times New Roman" w:hAnsi="Times New Roman" w:cs="Times New Roman"/>
          <w:sz w:val="24"/>
          <w:szCs w:val="24"/>
          <w:lang w:eastAsia="en-US"/>
        </w:rPr>
        <w:t xml:space="preserve">Er hyn, mae Didau (2015) yn feirniadol o’r dull penodol hwn gan ddadlau nad yw’n effeithiol wrth gyflawni pwrpas adborth effeithiol sef i </w:t>
      </w:r>
      <w:r w:rsidRPr="003B6E70">
        <w:rPr>
          <w:rFonts w:ascii="Times New Roman" w:hAnsi="Times New Roman" w:cs="Times New Roman"/>
          <w:color w:val="212121"/>
          <w:sz w:val="24"/>
          <w:szCs w:val="24"/>
          <w:lang w:val="cy-GB" w:eastAsia="en-US"/>
        </w:rPr>
        <w:t>ddarparu eglurhad, i gynyddu ymdrech myfyrwyr, neu i wella dyheadau myfyrwyr.</w:t>
      </w:r>
    </w:p>
    <w:p w:rsidR="001949F9" w:rsidRDefault="001949F9" w:rsidP="001949F9">
      <w:pPr>
        <w:spacing w:line="480" w:lineRule="auto"/>
        <w:ind w:firstLine="720"/>
        <w:rPr>
          <w:color w:val="333333"/>
          <w:sz w:val="24"/>
          <w:szCs w:val="24"/>
          <w:shd w:val="clear" w:color="auto" w:fill="FFFFFF"/>
        </w:rPr>
      </w:pPr>
      <w:r>
        <w:rPr>
          <w:sz w:val="24"/>
          <w:szCs w:val="24"/>
          <w:lang w:eastAsia="en-US"/>
        </w:rPr>
        <w:t xml:space="preserve">Yn ystod fy nghyfnod o arsylwi ar ddechrau fy amser yn ‘Ysgol A’ gwelais fod nifer o strategaethau hunan werthuso yn cael ei ddefnyddio yn y gwersi arferol ac o ganlyniad i hyn roedd y disgyblion yn gwirio eu dealltwriaeth yn ystod y gwersi. Mae dulliau hunan werthuso megis rhain yn hollbwysig yn y ffordd mae athrawon yn asesu ar gyfer dysgu oherwydd fel dywedai James (1998) bod rhaid i’r broses dysgu fod yn fewnol ac yn bersonol, ni ellir cael ei wneud gan yr athro yn unig; rhaid i ddysgwyr addysgu ei hunain er mwyn gallu symud ymlaen i’r lefel nesaf. Dengys ymchwil gan yr OECD (2005) fod disgyblion o’r farn bod yn hunanwerthuso ond yn effeithiol pan mae wedi defnyddio gydag asesu cyfoedion ac adborth oddi wrth athrawon. Erbyn hyn, gweler fod yna amryw o strategaethau hunanwerthuso effeithiol yn cael ei ddefnyddio yn ôl canllawiau Llywodraeth Cymru (2010) gyda’i dogfen ar asesu ar gyfer dysgu. </w:t>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t xml:space="preserve">Ers bod yn ‘Ysgol A’ ac arsylwi gwersi Addysg Grefyddol a gwersi ar draws y </w:t>
      </w:r>
      <w:r>
        <w:rPr>
          <w:sz w:val="24"/>
          <w:szCs w:val="24"/>
          <w:lang w:eastAsia="en-US"/>
        </w:rPr>
        <w:lastRenderedPageBreak/>
        <w:t>cwricwlwm gweler fod y defnydd o holi cwestiynau a rhoi adborth ar lafar yn ysgogi datblygiad a chynnydd y disgyblion yn effeithiol. Yn benodol yng ngwersi Addysg Grefyddol, gwelais fod y dull yma yn gweithio’n effeithlon tu hwnt gyda disgyblion CA4 a CA5 gan fod cydblethiad o wybodaeth bynciol yr athrawes ddosbarth a gwybodaeth am asesu ar gyfer dysgu wedi herio disgyblion i feddwl mewn ffyrdd amrywiol. Mae’r dull yma yn hollbwysig hefyd i bob cyfnod yn yr ysgol uwchradd, ac felly yn strategaeth syml ond arwyddocaol i ddatblygu dealltwriaeth ddwys ar bob lefel.</w:t>
      </w:r>
      <w:r>
        <w:rPr>
          <w:b/>
          <w:bCs/>
          <w:sz w:val="24"/>
          <w:szCs w:val="24"/>
          <w:lang w:eastAsia="en-US"/>
        </w:rPr>
        <w:t xml:space="preserve"> </w:t>
      </w:r>
      <w:r>
        <w:rPr>
          <w:sz w:val="24"/>
          <w:szCs w:val="24"/>
          <w:lang w:eastAsia="en-US"/>
        </w:rPr>
        <w:t>Fel dywedai Fusco (2012)</w:t>
      </w:r>
      <w:r>
        <w:rPr>
          <w:lang w:eastAsia="en-US"/>
        </w:rPr>
        <w:t xml:space="preserve"> </w:t>
      </w:r>
      <w:r>
        <w:rPr>
          <w:sz w:val="24"/>
          <w:szCs w:val="24"/>
          <w:lang w:eastAsia="en-US"/>
        </w:rPr>
        <w:t>yn hyrwyddo meddwl dyfnach am syniadau, cysyniadau a chredoau, sgil sydd yn cael ei phwysleisio yn gyson yn y fframwaith enghreifftiol Addysg Grefyddol (Llywodraeth Cymru, 2008).  Er hyn, rhaid gofalu bod cwestiynu ddim yn aneffeithiol, fel mae Pagliaro (2011) yn amlinelli, mae enghreifftiau o gwestiynu megis cwestiynu sydd yn gofyn am ymateb caeedig, cwestiynau sydd yn arwain ac ailadrodd cwestiynau.</w:t>
      </w:r>
      <w:r>
        <w:rPr>
          <w:color w:val="333333"/>
          <w:sz w:val="24"/>
          <w:szCs w:val="24"/>
          <w:lang w:eastAsia="en-US"/>
        </w:rPr>
        <w:t xml:space="preserve"> </w:t>
      </w:r>
      <w:r>
        <w:rPr>
          <w:color w:val="333333"/>
          <w:sz w:val="24"/>
          <w:szCs w:val="24"/>
          <w:lang w:eastAsia="en-US"/>
        </w:rPr>
        <w:tab/>
      </w:r>
      <w:r>
        <w:rPr>
          <w:color w:val="333333"/>
          <w:sz w:val="24"/>
          <w:szCs w:val="24"/>
          <w:lang w:eastAsia="en-US"/>
        </w:rPr>
        <w:tab/>
      </w:r>
      <w:r>
        <w:rPr>
          <w:color w:val="333333"/>
          <w:sz w:val="24"/>
          <w:szCs w:val="24"/>
          <w:lang w:eastAsia="en-US"/>
        </w:rPr>
        <w:tab/>
      </w:r>
      <w:r>
        <w:rPr>
          <w:color w:val="333333"/>
          <w:sz w:val="24"/>
          <w:szCs w:val="24"/>
          <w:lang w:eastAsia="en-US"/>
        </w:rPr>
        <w:tab/>
      </w:r>
      <w:r>
        <w:rPr>
          <w:color w:val="333333"/>
          <w:sz w:val="24"/>
          <w:szCs w:val="24"/>
          <w:lang w:eastAsia="en-US"/>
        </w:rPr>
        <w:tab/>
      </w:r>
      <w:r>
        <w:rPr>
          <w:color w:val="333333"/>
          <w:sz w:val="24"/>
          <w:szCs w:val="24"/>
          <w:lang w:eastAsia="en-US"/>
        </w:rPr>
        <w:tab/>
      </w:r>
      <w:r>
        <w:rPr>
          <w:sz w:val="24"/>
          <w:szCs w:val="24"/>
          <w:lang w:eastAsia="en-US"/>
        </w:rPr>
        <w:t>Mae’n amlwg i weld fod ‘Ysgol A’ ar y cyfan ac ar draws y pynciau yn adnabod bod asesu yn allweddol i lwyddiant y disgyblion. Yn ei adroddiad Estyn (2014) dywedwyd fod yr ysgol yn llwyddiannus wrth asesu gan fod ‘</w:t>
      </w:r>
      <w:r>
        <w:rPr>
          <w:color w:val="212121"/>
          <w:sz w:val="24"/>
          <w:szCs w:val="24"/>
          <w:lang w:eastAsia="en-US"/>
        </w:rPr>
        <w:t>llawer o ddisgyblion yn hunanasesu eu gwaith eu hunain mewn gwersi ac ar ddiwedd unedau gwaith, yn ogystal asesu gwaith eu cyfoedion yn drwyadl ac yn paratoi sylwadau perthnasol a thargedau addas ar gyfer gwella safon y gwaith.</w:t>
      </w:r>
      <w:r>
        <w:rPr>
          <w:sz w:val="24"/>
          <w:szCs w:val="24"/>
          <w:lang w:eastAsia="en-US"/>
        </w:rPr>
        <w:t>’ Ar lefel ysgol gyfan ac ar lefel adrannol mae asesu ar gyfer dysgu yn cymryd rôl flaengar yn ‘Ysgol A’. Gweler yn Atodiad 1 fod yr ysgol gyfan yn pwysleisio fod strategaethau asesu ar gyfer dysgu ym mhib wers a dylent ganolbwyntio ar sgiliau cynllunio, datblygu a myfyrio. Felly, croesawyd yr ysgol y cyfle cyffrous i wneud ymchwil ar asesu ar gyfer dysgu a chyflwyno startegaethau amrywiol, newydd.</w:t>
      </w:r>
    </w:p>
    <w:p w:rsidR="001949F9" w:rsidRPr="00813917" w:rsidRDefault="001949F9" w:rsidP="001949F9">
      <w:pPr>
        <w:spacing w:line="480" w:lineRule="auto"/>
        <w:ind w:firstLine="720"/>
        <w:rPr>
          <w:color w:val="333333"/>
          <w:sz w:val="24"/>
          <w:szCs w:val="24"/>
          <w:shd w:val="clear" w:color="auto" w:fill="FFFFFF"/>
        </w:rPr>
      </w:pPr>
    </w:p>
    <w:p w:rsidR="001949F9" w:rsidRDefault="001949F9" w:rsidP="001949F9">
      <w:pPr>
        <w:rPr>
          <w:sz w:val="32"/>
        </w:rPr>
      </w:pPr>
    </w:p>
    <w:p w:rsidR="001949F9" w:rsidRPr="007228E9" w:rsidRDefault="001949F9" w:rsidP="001949F9">
      <w:pPr>
        <w:spacing w:line="480" w:lineRule="auto"/>
        <w:rPr>
          <w:b/>
          <w:sz w:val="24"/>
          <w:szCs w:val="24"/>
          <w:u w:val="single"/>
        </w:rPr>
      </w:pPr>
      <w:r w:rsidRPr="00C95595">
        <w:rPr>
          <w:b/>
          <w:sz w:val="24"/>
          <w:szCs w:val="24"/>
          <w:u w:val="single"/>
        </w:rPr>
        <w:t>Methodoleg a Moeseg</w:t>
      </w:r>
    </w:p>
    <w:p w:rsidR="001949F9" w:rsidRPr="00C4713C" w:rsidRDefault="001949F9" w:rsidP="001949F9">
      <w:pPr>
        <w:pStyle w:val="HTMLPreformatted"/>
        <w:shd w:val="clear" w:color="auto" w:fill="FFFFFF"/>
        <w:spacing w:line="480" w:lineRule="auto"/>
        <w:rPr>
          <w:rFonts w:ascii="Times New Roman" w:hAnsi="Times New Roman" w:cs="Times New Roman"/>
          <w:sz w:val="24"/>
          <w:szCs w:val="24"/>
        </w:rPr>
      </w:pPr>
      <w:r w:rsidRPr="003B6E70">
        <w:rPr>
          <w:rFonts w:ascii="Times New Roman" w:hAnsi="Times New Roman" w:cs="Times New Roman"/>
          <w:sz w:val="24"/>
          <w:szCs w:val="24"/>
          <w:lang w:eastAsia="en-US"/>
        </w:rPr>
        <w:lastRenderedPageBreak/>
        <w:tab/>
        <w:t xml:space="preserve">Wrth i mi gynnal yr ymchwil yma o fewn yr ystafell ddosbarth roedd yn holl bwysig dilyn camau gweithredu er mwyn sicrhau fod y proses yn cael ei gwblhau gan feddwl am y foeseg sydd yn cyd-fynd gydag ymchwil addysgiadol. I gychwyn, roedd rhaid gofyn caniatâd wrth fy mentor pwnc ac uwch fentor yn ‘Ysgol A’ er mwyn sicrhau fod yr ymchwil yn briodol ac yn mynd i fod o fudd i’r disgyblion yn ei ysgol a’i ystafell dosbarth nhw. Er mwyn dilyn canllawiau </w:t>
      </w:r>
      <w:r w:rsidRPr="003B6E70">
        <w:rPr>
          <w:rFonts w:ascii="Times New Roman" w:hAnsi="Times New Roman" w:cs="Times New Roman"/>
          <w:i/>
          <w:iCs/>
          <w:sz w:val="24"/>
          <w:szCs w:val="24"/>
          <w:lang w:eastAsia="en-US"/>
        </w:rPr>
        <w:t>British Education Research Association</w:t>
      </w:r>
      <w:r w:rsidRPr="003B6E70">
        <w:rPr>
          <w:rFonts w:ascii="Times New Roman" w:hAnsi="Times New Roman" w:cs="Times New Roman"/>
          <w:sz w:val="24"/>
          <w:szCs w:val="24"/>
          <w:lang w:eastAsia="en-US"/>
        </w:rPr>
        <w:t xml:space="preserve"> (BERA) gofynnais ganiatâd y disgyblion o’m dosbarth gallu cymysg roeddwn yn bwriadu defnyddio ar gyfer yr ymchwil er mwyn sicrhau ei fod ymwybodol nad oes rhaid iddynt gymryd rhan yn yr ymchwiliad, a gallent ymdynnu ar unrhyw adeg. Esboniais i’r cyfranogwyr sut defnyddiwyd y data ac i ba bwrpas y byddai’n cael ei ddefnyddio. Dilynais y camau priodol felly can sicrhau fy mod yn dilyn camau moesegol cywir, fel dywedai yn nogfen BERA ‘Ethical Guidelines for Educational Research’ (2011, tud. 5) </w:t>
      </w:r>
      <w:r w:rsidRPr="003B6E70">
        <w:rPr>
          <w:rFonts w:ascii="Times New Roman" w:hAnsi="Times New Roman" w:cs="Times New Roman"/>
          <w:i/>
          <w:iCs/>
          <w:sz w:val="24"/>
          <w:szCs w:val="24"/>
          <w:lang w:eastAsia="en-US"/>
        </w:rPr>
        <w:t xml:space="preserve">“Researchers must take the steps necessary to ensure that all participants in the research understand the process in which they are to be engaged. </w:t>
      </w:r>
      <w:r w:rsidRPr="003B6E70">
        <w:rPr>
          <w:rFonts w:ascii="Times New Roman" w:hAnsi="Times New Roman" w:cs="Times New Roman"/>
          <w:sz w:val="24"/>
          <w:szCs w:val="24"/>
          <w:lang w:eastAsia="en-US"/>
        </w:rPr>
        <w:t>Roedd cael caniatâd y disgyblion felly yn rhan annatod o’r broses ymchwil fel eu pont yn cael dealltwriaeth bwrpasol o’r ymchwil yr oedd yn digwydd. Er mwyn cadw at ganllawiau BERA sicrhaf fy mod yn cadw</w:t>
      </w:r>
      <w:r w:rsidRPr="003B6E70">
        <w:rPr>
          <w:rFonts w:ascii="Times New Roman" w:hAnsi="Times New Roman" w:cs="Times New Roman"/>
          <w:color w:val="212121"/>
          <w:sz w:val="24"/>
          <w:szCs w:val="24"/>
          <w:lang w:val="cy-GB" w:eastAsia="en-US"/>
        </w:rPr>
        <w:t xml:space="preserve"> at ganllawiau cyfrinachedd trwy gadw'r data yn ddienw. Cafodd y data ei hapnodi ac mae’r yr ysgol yn ddienw fel na ellir tynnu unrhyw wybodaeth o'r adroddiad a ni ellir gwneud cysylltiadau clir rhwng unrhyw fyfyrwyr a'r data a ddangosir yn yr adroddiad.</w:t>
      </w:r>
    </w:p>
    <w:p w:rsidR="001949F9" w:rsidRDefault="001949F9" w:rsidP="001949F9">
      <w:pPr>
        <w:spacing w:line="480" w:lineRule="auto"/>
        <w:ind w:firstLine="720"/>
        <w:rPr>
          <w:sz w:val="24"/>
          <w:szCs w:val="24"/>
        </w:rPr>
      </w:pPr>
      <w:r>
        <w:rPr>
          <w:sz w:val="24"/>
          <w:szCs w:val="24"/>
          <w:lang w:eastAsia="en-US"/>
        </w:rPr>
        <w:t xml:space="preserve">I gychwyn, defnyddiais y dull o gyn ac ar ôl profi, gan edrych ar lefelau’r disgyblion yn Addysg Grefyddol cyn dechrau’r ymchwil ac yna yn eu cymharu gyda'i lefelau ar ôl gorffen y dasg asesu a’u farcio. Dywedai </w:t>
      </w:r>
      <w:r>
        <w:rPr>
          <w:color w:val="000000"/>
          <w:sz w:val="24"/>
          <w:szCs w:val="24"/>
          <w:lang w:eastAsia="en-US"/>
        </w:rPr>
        <w:t xml:space="preserve">La Barge (2007) fod y dull hwn yn rhoi adborth i’r prif ymchwiliwr gan fesur gwybodaeth flaenorol ac yna eu cymharu gyda beth maent wedi ychwanegu i’r hyn maent wedi dysgu.  </w:t>
      </w:r>
      <w:r>
        <w:rPr>
          <w:color w:val="212121"/>
          <w:sz w:val="24"/>
          <w:szCs w:val="24"/>
          <w:lang w:eastAsia="en-US"/>
        </w:rPr>
        <w:t xml:space="preserve">Mae defnyddioldeb cyn-asesiadau yn dibynnu ar y pwrpas, y ffurflen, a'r cyfleustodau. Gallant arwain athrawon i gyfarwyddyd mwy effeithiol, </w:t>
      </w:r>
      <w:r>
        <w:rPr>
          <w:color w:val="212121"/>
          <w:sz w:val="24"/>
          <w:szCs w:val="24"/>
          <w:lang w:eastAsia="en-US"/>
        </w:rPr>
        <w:lastRenderedPageBreak/>
        <w:t>ond gallant hefyd fod yn brydlon o amser cyfarwyddo gwerthfawr. (</w:t>
      </w:r>
      <w:r>
        <w:rPr>
          <w:sz w:val="24"/>
          <w:szCs w:val="24"/>
          <w:lang w:eastAsia="en-US"/>
        </w:rPr>
        <w:t>Guskey and McTighe</w:t>
      </w:r>
      <w:r>
        <w:rPr>
          <w:color w:val="212121"/>
          <w:sz w:val="24"/>
          <w:szCs w:val="24"/>
          <w:lang w:eastAsia="en-US"/>
        </w:rPr>
        <w:t>, 2016).</w:t>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t>Ar ddiwedd bob gwers rhoddaf ‘‘emojis’ ar ffurf wahanol i’r plant er mwyn iddynt ddangos eu dealltwriaeth benodol am y pwnc maent wedi astudio yn ystod y wers. Defnyddiais ystod o ffurfiau gwahanol i gyfleu'r ‘emoji’s megis ar ffurf Plickers, cerdyn allanfa a chyfle iddynt ddelweddu ‘‘emoji’’ eu hunain am y pwnc. Bydd y ffurfiau hyn yn gallu rhoi data ansoddol a meintiol ar ddiwedd y wers oherwydd roeddwn yn rhoi cyfle iddynt esbonio pam maent wedi dewis neu ddelweddu ‘‘emoji’’ benodol.  Defnyddir y dulliau yma hefyd fel tasg cloi effeithiol er mwyn gwybod sut i deilwra'r gwersi dilynol i’r plant er mwyn cael y ddealltwriaeth gorau er enghraifft, gall hyn arwain at y posibilrwydd o ystyried a oes angen gwahaniaethu a herio yn fwy ar gyfer disgyblion ADY a MAT.</w:t>
      </w:r>
      <w:r>
        <w:rPr>
          <w:sz w:val="24"/>
          <w:szCs w:val="24"/>
          <w:lang w:eastAsia="en-US"/>
        </w:rPr>
        <w:tab/>
      </w:r>
      <w:r>
        <w:rPr>
          <w:sz w:val="24"/>
          <w:szCs w:val="24"/>
          <w:lang w:eastAsia="en-US"/>
        </w:rPr>
        <w:tab/>
      </w:r>
      <w:r>
        <w:rPr>
          <w:sz w:val="24"/>
          <w:szCs w:val="24"/>
          <w:lang w:eastAsia="en-US"/>
        </w:rPr>
        <w:tab/>
        <w:t xml:space="preserve">Yn olaf, casglais ddata drwy ddefnyddio Microsoft Forms er mwyn creu cwis a holiadur ar ddiwedd yr uned er mwyn ddarganfod dealltwriaeth y plant. Mae Burton &amp; Bartlett (2009) yn sôn fod rhai o’r buddion o ddefnyddio holiaduron yn y modd yma yw ei fod yn galluogi casglu data ar gyfer grŵp yn fuan a chreu ystadegau amdanynt, gan wneud hynny mae’n bosib medru gwneud datganiadau cyffredinol am yr ymchwil sydd yn cymryd lle. Rhaid ystyried </w:t>
      </w:r>
      <w:r>
        <w:rPr>
          <w:color w:val="212121"/>
          <w:sz w:val="24"/>
          <w:szCs w:val="24"/>
          <w:lang w:eastAsia="en-US"/>
        </w:rPr>
        <w:t>pa mor ddilys yw'r ymatebion ac rydym yn tybio bod yr ymatebion yn onest, felly mae'n bwysig cadw cofnodion yn gyfarwydd ac yn uniongyrchol er mwyn sicrhau'r ymatebion mwyaf dilys (</w:t>
      </w:r>
      <w:r>
        <w:rPr>
          <w:sz w:val="24"/>
          <w:szCs w:val="24"/>
          <w:lang w:eastAsia="en-US"/>
        </w:rPr>
        <w:t xml:space="preserve">Taber 2009; Tymms 2017). Defnyddiais gwestiynau caeedig er mwyn casglu data meintiol er enghraifft “Nodwch eich dealltwriaeth am y straeon creu crefyddol a gwyddonol gan ddefnyddio rhifau 1-10” lle byddent yn rhoi croes ar bwys un rhif. Yn ychwanegol, roedd yna gwestiwn ar y diwedd yn gofyn “A wnaeth defnyddio’r ‘‘emojis’ ar ddiwedd pob gwers rhoi digon o gyfle i chi esbonio eich dealltwriaeth am y pwnc?” gyda’r ateb o ‘Ie’ neu ‘Na’. Roedd hyn hefyd yn gyfle i gael barn bersonol y disgyblion, er mwyn darganfod os oedd y dulliau amrywiol o ddefnyddio ‘‘emojis’ yn </w:t>
      </w:r>
      <w:r>
        <w:rPr>
          <w:sz w:val="24"/>
          <w:szCs w:val="24"/>
          <w:lang w:eastAsia="en-US"/>
        </w:rPr>
        <w:lastRenderedPageBreak/>
        <w:t xml:space="preserve">effeithiol. </w:t>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t xml:space="preserve">Mae’r defnydd o’r triongliant o ddata, gyda'r defnydd o holiadur, cyn ac ar ôl profi a data o’r ystafell dosbarth yn sicrhau fod y canfyddiadau mor ddilys ag sy’n bosibl wrth groes cyferbynnu ar y data gwahanol. Gan fod triongliant o ddata yn broses o </w:t>
      </w:r>
      <w:r>
        <w:rPr>
          <w:color w:val="212121"/>
          <w:sz w:val="24"/>
          <w:szCs w:val="24"/>
          <w:lang w:eastAsia="en-US"/>
        </w:rPr>
        <w:t xml:space="preserve">ddarganfod yr anhysbys trwy edrych ar bethau mewn onglau gwahanol (White, 2005) mae defnyddio’r dull yma yn sicrhau fod </w:t>
      </w:r>
      <w:r>
        <w:rPr>
          <w:sz w:val="24"/>
          <w:szCs w:val="24"/>
          <w:lang w:eastAsia="en-US"/>
        </w:rPr>
        <w:t>unrhyw anghysondeb gyda’r data yn gallu cael eu gwirio gan ddefnyddio’r triongliant ac felly cynhwysir data cynhwysfawr yn ystod yr ymchwil. Soniai Venables (2014) fod y dull yma yn ddefnyddiol am ei fod yn cyfri’r data cynhwysfawr ac yn gwneud cysylltiadau rhyngddynt. Felly, mae gwneud cysylltiau rhwng y dulliau yr wyf yn defnyddio yn golygu fy mod yn dilyn methodoleg ymchwilio i’r gorau ag y sy’n bosib ynghyd a’r defnydd o ddata ansoddol a meintiol yn rhoi’r hyder i ymchwilwyr am eu canlyniadau (Jick, 1979). Er hyn, nid yw’r defnydd o driongliant o ddata o hyd yn addas i bob math o ymchwil, dywedai McKercher (2000) fod y cysyniad o ddefnyddio data ansoddol a meintiol gyda’i gilydd yn rhy syml heb wneud cysylltiadau rhwng y fethodoleg o gasglu’r data. Mae’r dewis o fethodoleg hefyd yn cael effaith sylweddol ar ganlyniadau'r ymchwil a gwneir, ac felly mae’r defnydd o driongliant o ddata yn allweddol er mwyn defnyddio data ansoddol a meintiol yn ei ffurfiau orau (Jick, 1979).</w:t>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t>Mae’n amlwg felly bod ystyried moeseg yn hollbwysig er mwyn gwneud yn siŵr fod yr ymchwil yn ddealladwy ac yn berthnasol i’r gynulleidfa briodol:</w:t>
      </w:r>
    </w:p>
    <w:p w:rsidR="001949F9" w:rsidRDefault="001949F9" w:rsidP="001949F9">
      <w:pPr>
        <w:spacing w:line="480" w:lineRule="auto"/>
        <w:ind w:firstLine="720"/>
        <w:jc w:val="both"/>
        <w:rPr>
          <w:sz w:val="22"/>
          <w:szCs w:val="24"/>
        </w:rPr>
      </w:pPr>
      <w:r w:rsidRPr="002E3EA4">
        <w:rPr>
          <w:sz w:val="22"/>
          <w:szCs w:val="24"/>
        </w:rPr>
        <w:t>“Educational researchers must endeavour to communicate their findings, and the practical significance of their research, in a clear, straightforward fashion and in language judged appropriate to the intended audience.” (BERA, 2011)</w:t>
      </w:r>
      <w:r w:rsidRPr="00065C77">
        <w:rPr>
          <w:sz w:val="24"/>
          <w:szCs w:val="24"/>
        </w:rPr>
        <w:t xml:space="preserve"> </w:t>
      </w:r>
    </w:p>
    <w:p w:rsidR="001949F9" w:rsidRDefault="001949F9" w:rsidP="001949F9">
      <w:pPr>
        <w:spacing w:line="480" w:lineRule="auto"/>
        <w:ind w:firstLine="720"/>
        <w:rPr>
          <w:sz w:val="24"/>
          <w:szCs w:val="24"/>
        </w:rPr>
      </w:pPr>
    </w:p>
    <w:p w:rsidR="001949F9" w:rsidRDefault="001949F9" w:rsidP="001949F9">
      <w:pPr>
        <w:spacing w:line="480" w:lineRule="auto"/>
        <w:ind w:firstLine="720"/>
        <w:rPr>
          <w:sz w:val="24"/>
          <w:szCs w:val="24"/>
        </w:rPr>
      </w:pPr>
    </w:p>
    <w:p w:rsidR="001949F9" w:rsidRDefault="001949F9" w:rsidP="001949F9">
      <w:pPr>
        <w:spacing w:line="480" w:lineRule="auto"/>
        <w:ind w:firstLine="720"/>
        <w:rPr>
          <w:sz w:val="24"/>
          <w:szCs w:val="24"/>
        </w:rPr>
      </w:pPr>
    </w:p>
    <w:p w:rsidR="001949F9" w:rsidRDefault="001949F9" w:rsidP="001949F9">
      <w:pPr>
        <w:spacing w:line="480" w:lineRule="auto"/>
        <w:rPr>
          <w:sz w:val="24"/>
          <w:szCs w:val="24"/>
          <w:lang w:eastAsia="en-US"/>
        </w:rPr>
      </w:pPr>
      <w:r>
        <w:rPr>
          <w:b/>
          <w:bCs/>
          <w:sz w:val="24"/>
          <w:szCs w:val="24"/>
          <w:u w:val="single"/>
          <w:lang w:eastAsia="en-US"/>
        </w:rPr>
        <w:lastRenderedPageBreak/>
        <w:t>Gwerthusiad a Chasgliadau</w:t>
      </w:r>
      <w:r>
        <w:rPr>
          <w:b/>
          <w:bCs/>
          <w:sz w:val="24"/>
          <w:szCs w:val="24"/>
          <w:lang w:eastAsia="en-US"/>
        </w:rPr>
        <w:t xml:space="preserve"> </w:t>
      </w:r>
      <w:r>
        <w:rPr>
          <w:b/>
          <w:bCs/>
          <w:sz w:val="24"/>
          <w:szCs w:val="24"/>
          <w:lang w:eastAsia="en-US"/>
        </w:rPr>
        <w:tab/>
      </w:r>
      <w:r>
        <w:rPr>
          <w:b/>
          <w:bCs/>
          <w:sz w:val="24"/>
          <w:szCs w:val="24"/>
          <w:lang w:eastAsia="en-US"/>
        </w:rPr>
        <w:tab/>
      </w:r>
      <w:r>
        <w:rPr>
          <w:b/>
          <w:bCs/>
          <w:sz w:val="24"/>
          <w:szCs w:val="24"/>
          <w:lang w:eastAsia="en-US"/>
        </w:rPr>
        <w:tab/>
      </w:r>
      <w:r>
        <w:rPr>
          <w:b/>
          <w:bCs/>
          <w:sz w:val="24"/>
          <w:szCs w:val="24"/>
          <w:lang w:eastAsia="en-US"/>
        </w:rPr>
        <w:tab/>
      </w:r>
      <w:r>
        <w:rPr>
          <w:b/>
          <w:bCs/>
          <w:sz w:val="24"/>
          <w:szCs w:val="24"/>
          <w:lang w:eastAsia="en-US"/>
        </w:rPr>
        <w:tab/>
      </w:r>
      <w:r>
        <w:rPr>
          <w:b/>
          <w:bCs/>
          <w:sz w:val="24"/>
          <w:szCs w:val="24"/>
          <w:lang w:eastAsia="en-US"/>
        </w:rPr>
        <w:tab/>
      </w:r>
      <w:r>
        <w:rPr>
          <w:b/>
          <w:bCs/>
          <w:sz w:val="24"/>
          <w:szCs w:val="24"/>
          <w:lang w:eastAsia="en-US"/>
        </w:rPr>
        <w:tab/>
      </w:r>
      <w:r>
        <w:rPr>
          <w:b/>
          <w:bCs/>
          <w:sz w:val="24"/>
          <w:szCs w:val="24"/>
          <w:lang w:eastAsia="en-US"/>
        </w:rPr>
        <w:tab/>
      </w:r>
      <w:r>
        <w:rPr>
          <w:b/>
          <w:bCs/>
          <w:sz w:val="24"/>
          <w:szCs w:val="24"/>
          <w:lang w:eastAsia="en-US"/>
        </w:rPr>
        <w:tab/>
      </w:r>
      <w:r>
        <w:rPr>
          <w:sz w:val="24"/>
          <w:szCs w:val="24"/>
          <w:lang w:eastAsia="en-US"/>
        </w:rPr>
        <w:t>Ar y cyfan, mae’r defnydd o ‘‘emojis’ wedi rhoi cyfleodd i’r disgyblion i fod yn annibynnol wrth hunan werthuso eu gwaith neu wrth asesu eu dealltwriaeth am y pynciau amrywiol a astudir yn y gyfres o wersi. Bydd y rhan yma o’r traethawd yn gwerthuso’r defnydd o’r delweddau wrth asesu’r disgyblion, a’r ffurfiau gwahanol a ddefnyddiwyd wrth wneud yr ymchwil yma gyda dosbarth gallu cymysg. Cyn dechrau’r ymchwil roedd yna tri chwestiwn o ddiddordeb, sydd yn cwmpasu gwahaniaethu, asesu effeithiol a dibynadwyaeth y dull o asesu, a chaiff y canlynol eu trafod yn ystod y rhan hon o’r traethawd yng nghyd-destun yr ymchwil sydd wedi’i chyflawni:</w:t>
      </w:r>
    </w:p>
    <w:p w:rsidR="001949F9" w:rsidRPr="00065C77" w:rsidRDefault="001949F9" w:rsidP="001949F9">
      <w:pPr>
        <w:spacing w:line="480" w:lineRule="auto"/>
        <w:rPr>
          <w:b/>
          <w:sz w:val="24"/>
          <w:szCs w:val="24"/>
          <w:u w:val="single"/>
        </w:rPr>
      </w:pPr>
    </w:p>
    <w:p w:rsidR="001949F9" w:rsidRPr="00065C77" w:rsidRDefault="001949F9" w:rsidP="001949F9">
      <w:pPr>
        <w:pStyle w:val="NoSpacing"/>
        <w:numPr>
          <w:ilvl w:val="0"/>
          <w:numId w:val="1"/>
        </w:numPr>
        <w:spacing w:line="480" w:lineRule="auto"/>
        <w:rPr>
          <w:sz w:val="22"/>
          <w:szCs w:val="24"/>
        </w:rPr>
      </w:pPr>
      <w:r w:rsidRPr="00065C77">
        <w:rPr>
          <w:sz w:val="22"/>
          <w:szCs w:val="24"/>
          <w:lang w:val="cy-GB"/>
        </w:rPr>
        <w:t>I ba raddau ydy defnyddio delweddau yn ddull effeithiol o asesu?</w:t>
      </w:r>
    </w:p>
    <w:p w:rsidR="001949F9" w:rsidRPr="00065C77" w:rsidRDefault="001949F9" w:rsidP="001949F9">
      <w:pPr>
        <w:pStyle w:val="NoSpacing"/>
        <w:numPr>
          <w:ilvl w:val="0"/>
          <w:numId w:val="1"/>
        </w:numPr>
        <w:spacing w:line="480" w:lineRule="auto"/>
        <w:rPr>
          <w:sz w:val="22"/>
          <w:szCs w:val="24"/>
          <w:lang w:val="cy-GB"/>
        </w:rPr>
      </w:pPr>
      <w:r w:rsidRPr="00065C77">
        <w:rPr>
          <w:sz w:val="22"/>
          <w:szCs w:val="24"/>
          <w:lang w:val="cy-GB"/>
        </w:rPr>
        <w:t>A ydy’r defnydd o ‘</w:t>
      </w:r>
      <w:r>
        <w:rPr>
          <w:sz w:val="22"/>
          <w:szCs w:val="24"/>
          <w:lang w:val="cy-GB"/>
        </w:rPr>
        <w:t>‘emojis’</w:t>
      </w:r>
      <w:r w:rsidRPr="00065C77">
        <w:rPr>
          <w:sz w:val="22"/>
          <w:szCs w:val="24"/>
          <w:lang w:val="cy-GB"/>
        </w:rPr>
        <w:t xml:space="preserve"> fel ffurf o ddelweddu yn gwir adlewyrchiad o ddealltwriaeth y disgyblion?</w:t>
      </w:r>
    </w:p>
    <w:p w:rsidR="001949F9" w:rsidRDefault="001949F9" w:rsidP="001949F9">
      <w:pPr>
        <w:pStyle w:val="NoSpacing"/>
        <w:numPr>
          <w:ilvl w:val="0"/>
          <w:numId w:val="1"/>
        </w:numPr>
        <w:spacing w:line="480" w:lineRule="auto"/>
        <w:rPr>
          <w:sz w:val="22"/>
          <w:szCs w:val="24"/>
          <w:lang w:val="cy-GB"/>
        </w:rPr>
      </w:pPr>
      <w:r w:rsidRPr="00065C77">
        <w:rPr>
          <w:sz w:val="22"/>
          <w:szCs w:val="24"/>
          <w:lang w:val="cy-GB"/>
        </w:rPr>
        <w:t xml:space="preserve">Sut ellir sicrhau fod y dull yma o asesu yn </w:t>
      </w:r>
      <w:r>
        <w:rPr>
          <w:sz w:val="22"/>
          <w:szCs w:val="24"/>
          <w:lang w:val="cy-GB"/>
        </w:rPr>
        <w:t>heriol i’r disgyblion MATh</w:t>
      </w:r>
      <w:r w:rsidRPr="00065C77">
        <w:rPr>
          <w:sz w:val="22"/>
          <w:szCs w:val="24"/>
          <w:lang w:val="cy-GB"/>
        </w:rPr>
        <w:t xml:space="preserve"> a’r ADY?</w:t>
      </w:r>
    </w:p>
    <w:p w:rsidR="001949F9" w:rsidRPr="00065C77" w:rsidRDefault="001949F9" w:rsidP="001949F9">
      <w:pPr>
        <w:pStyle w:val="NoSpacing"/>
        <w:spacing w:line="480" w:lineRule="auto"/>
        <w:ind w:left="720"/>
        <w:jc w:val="center"/>
        <w:rPr>
          <w:sz w:val="22"/>
          <w:szCs w:val="24"/>
          <w:lang w:val="cy-GB"/>
        </w:rPr>
      </w:pPr>
      <w:bookmarkStart w:id="0" w:name="_GoBack"/>
      <w:bookmarkEnd w:id="0"/>
    </w:p>
    <w:p w:rsidR="001949F9" w:rsidRPr="007228E9" w:rsidRDefault="001949F9" w:rsidP="001949F9">
      <w:pPr>
        <w:spacing w:line="480" w:lineRule="auto"/>
        <w:ind w:firstLine="360"/>
        <w:rPr>
          <w:sz w:val="24"/>
          <w:szCs w:val="24"/>
        </w:rPr>
      </w:pPr>
      <w:r>
        <w:rPr>
          <w:sz w:val="24"/>
          <w:szCs w:val="24"/>
          <w:lang w:eastAsia="en-US"/>
        </w:rPr>
        <w:t xml:space="preserve">Rhaid nodi i ddechrau, yn ei gyfanrwydd, roedd yr ymchwil yn llwyddiant gan ei fod wedi rhoi’r cyfle i adlewyrchu ar sut mae disgyblion gwahanol yn dysgu. Mae troi dull syml o asesu ar gyfer dysgu a’i foderneiddio yn dangos bod y disgyblion yn mwynhau dangos eu teimladau am y gwaith maent yn dysgu. Roedd hyn yn werthfawr wrth deilwra gwers i wers, ond hefyd wrth ystyried y darlun ehangach i adnabod dosbarth a’r anghenion amrywiol sydd o fewn y dosbarth yna.  </w:t>
      </w:r>
    </w:p>
    <w:p w:rsidR="001949F9" w:rsidRPr="007228E9" w:rsidRDefault="001949F9" w:rsidP="001949F9">
      <w:pPr>
        <w:spacing w:line="480" w:lineRule="auto"/>
        <w:ind w:firstLine="360"/>
        <w:rPr>
          <w:sz w:val="24"/>
          <w:szCs w:val="24"/>
        </w:rPr>
      </w:pPr>
      <w:r>
        <w:rPr>
          <w:sz w:val="24"/>
          <w:szCs w:val="24"/>
          <w:lang w:eastAsia="en-US"/>
        </w:rPr>
        <w:t>Er hyn, ar y cyfan, wrth ddadansoddi canlyniadau cyn ac ar ôl brofi, nad oedd y defnydd uniongyrchol o’r ‘‘emojis’ wedi gwneud gwahaniaeth i lefelau’r disgyblion, gweler Atodiad 2. Gallai hyn fod o ganlyniad i resymau megis lefelau llythrennedd y disgyblion, oherwydd bod mynegiant hefyd yn rhan allweddol yn ogystal â dealltwriaeth o'r pwnc yn y dasg grynodol.</w:t>
      </w:r>
    </w:p>
    <w:p w:rsidR="001949F9" w:rsidRDefault="001949F9" w:rsidP="001949F9">
      <w:pPr>
        <w:spacing w:line="480" w:lineRule="auto"/>
        <w:ind w:firstLine="360"/>
        <w:rPr>
          <w:sz w:val="24"/>
          <w:szCs w:val="24"/>
        </w:rPr>
      </w:pPr>
      <w:r>
        <w:rPr>
          <w:sz w:val="24"/>
          <w:szCs w:val="24"/>
          <w:lang w:eastAsia="en-US"/>
        </w:rPr>
        <w:lastRenderedPageBreak/>
        <w:t xml:space="preserve">Ar ddiwedd yr ymchwil yn yr ystafell rhoddais holiadur i’r disgyblion i gwblhau ar Microsoft Forms. Rhoddwyd hyn er mwyn asesu eu dealltwriaeth yn ffurfiannol am y wybodaeth roedd angen cynnwys yn y dasg grynodol ac i gael eu barn am y defnydd o ‘‘emojis’ ac i ba raddau wnaeth hyn helpu dangos eu dealltwriaeth am gynnwys y gwersi. Gofynnais y cwestiwn “A wnaeth ddefnyddio’r ‘‘emojis’ yn y gwersi rhoi digon o gyfle i chi esbonio eich dealltwriaeth am y pwnc”. Yn ôl yr holiadur, dangosodd 25 allan o 27 disgybl fod yr ‘‘emojis’ wedi rhoi digon o gyfle iddynt hwy ddangos eu dealltwriaeth. (Atodiad 3). Un o’r prif wendidau gyda'r dull yma yw’r ffaith nad oedd cyfle gan y disgyblion i fynegi barn am sut wnaeth y dull yma rhoi’r cyfle. Gallaf wedi newid yr holiadur i fod yn ansoddol hefyd a gofyn i’r disgyblion “Beth yr oeddech yn hoffi am y defnydd o’r ‘‘emojis’ wrth asesu eich dealltwriaeth?”. Rhan arall o’r holiadur oedd yn ddefnyddiol i werthuso oedd y cwestiynau 1-3 lle'r oedd y disgyblion yn dewis rhif o 1 i 10 i ddangos eu dealltwriaeth am straeon creu Cristnogol a Hindŵaidd am sut grëwyd y byd ynghyd a’r safbwyntiau gwyddonol. Gallaf wedi addasu’r holiadur yma i fod yn rhifau 1 i 5 er mwyn rhoi’r cyfle i’r disgyblion fynegi beth yn union roeddent wedi deall a pa drafferthion cawson nhw gyda phob rhan o’r gwaith. Mae’r defnydd o’r holiadur yma yn codi problemau dilysrwydd gan feddwl i ba raddau mae’r disgyblion yn rhoi’r gwir adborth yn i mewn yn yr holiadur. Ar y cyfan, roedd yr holiadur yn ddangosydd defnyddiol wrth ddadansoddi dealltwriaeth dosbarth cyfan am y pynciau amrywiol cafodd ei hastudio. Fel y mae Atodiad 3 yn dangos, roedd sgôr cyfartaledd i bob cwestiwn yn uchel gyda’r stori creu Gristnogol yn cael sgôr cyfartaledd o 7.96 allan o 10, y stori creu Hindŵaidd yn cael sgôr o 9.11 allan o 10 ac yn olaf y safbwyntiau gwyddonol yn dangos sgôr cyfartaledd o 7.52 allan o 10.  Er mae’n hollol deg i gwestiynu dilysrwydd y canlyniadau yma yn ei gyfanrwydd, dengys y canlyniadau fod y rôl flaengar mae asesu ar gyfer dysgu wedi cael yn y dilyniant o wersi, mae’r disgyblion wedi sicrhau eu dealltwriaeth ar gyfer pob rhan o’r uned. Mae hyn felly yn cyd-fynd a’r ymchwil </w:t>
      </w:r>
      <w:r>
        <w:rPr>
          <w:sz w:val="24"/>
          <w:szCs w:val="24"/>
          <w:lang w:eastAsia="en-US"/>
        </w:rPr>
        <w:lastRenderedPageBreak/>
        <w:t>gan Wiliam &amp; Black (1984) am y defnydd o asesu ffurfiannol cyson yn cael effaith ar ganlyniadau a dealltwriaeth dysgwyr.</w:t>
      </w:r>
    </w:p>
    <w:p w:rsidR="001949F9" w:rsidRPr="007228E9" w:rsidRDefault="001949F9" w:rsidP="001949F9">
      <w:pPr>
        <w:spacing w:line="480" w:lineRule="auto"/>
        <w:ind w:firstLine="360"/>
        <w:rPr>
          <w:sz w:val="24"/>
          <w:szCs w:val="24"/>
        </w:rPr>
      </w:pPr>
      <w:r>
        <w:rPr>
          <w:sz w:val="24"/>
          <w:szCs w:val="24"/>
          <w:lang w:eastAsia="en-US"/>
        </w:rPr>
        <w:tab/>
        <w:t>Y dull cyntaf i werthuso yw’r defnydd o gerdyn allanfa sydd yn cynnwys ‘emojs’. Roedd y defnydd o’r rhain yn ddull effeithiol o asesu dealltwriaeth y disgyblion, er bod yna cyfyngiadau gyda’r tueddiadau o fod yn wir adlewyrchiad neu beidio. Galluogodd y cerdyn allanfa roi data ansoddol ar gyfer dealltwriaeth y disgyblion yn y dosbarth dewisol am fod y disgyblion yn rhoi cylch o gwmpas yr ‘‘emoji’(s)’ sydd yn adlewyrchu sut yr oeddent yn deall cynnwys y wers, ac yna roedd yna gyfle i esbonio pam maent wedi dewis yr ‘emoji’ yma (gweler atodiad 4)</w:t>
      </w:r>
      <w:r>
        <w:rPr>
          <w:b/>
          <w:bCs/>
          <w:sz w:val="24"/>
          <w:szCs w:val="24"/>
          <w:lang w:eastAsia="en-US"/>
        </w:rPr>
        <w:t>.</w:t>
      </w:r>
      <w:r>
        <w:rPr>
          <w:sz w:val="24"/>
          <w:szCs w:val="24"/>
          <w:lang w:eastAsia="en-US"/>
        </w:rPr>
        <w:t xml:space="preserve"> Dengys yr enghreifftiau amrywiol yma bod y defnydd o ‘emoji’s a cherdyn allanfa yn ffordd effeithiol o asesu dealltwriaeth oherwydd mae’r cerdyn yn rhywbeth personol ac mae’n ffordd dda o gael deialog rhwng yr athro a disgybl wrth asesu cynnydd y disgyblion. Roedd hyn yn cydblethu a chysyniad Hattie (2012) o “visible learning” o ochr y disgybl a’r athro, am ei fod yn rhoi’r cyfle i fynegi beth oedd gwendidau neu gryfderau cysyniad mewn gwers.  Un o’r prif wendidau gyda’r dull yma yw bod y disgyblion yn tueddu mynegi sut yr oeddent yn teimlo am gynnwys y wers yn lle roeddent yn mynegi sut oeddent wedi deall y wers. Gan fod yr ‘emoji’s yn rhywbeth cyfoes ac yn weledol, sy’n boblogaidd ar gyfer mynegi teimladau, dyma le mae rhai trafferthion yn codi ynglŷn â dilysrwydd y cerdyn allanfa fel dull i ymchwilio.</w:t>
      </w:r>
    </w:p>
    <w:p w:rsidR="001949F9" w:rsidRDefault="001949F9" w:rsidP="001949F9">
      <w:pPr>
        <w:spacing w:line="480" w:lineRule="auto"/>
        <w:ind w:firstLine="720"/>
        <w:rPr>
          <w:sz w:val="24"/>
          <w:szCs w:val="24"/>
          <w:lang w:eastAsia="en-US"/>
        </w:rPr>
      </w:pPr>
      <w:r>
        <w:rPr>
          <w:sz w:val="24"/>
          <w:szCs w:val="24"/>
          <w:lang w:eastAsia="en-US"/>
        </w:rPr>
        <w:t xml:space="preserve">Er hyn, roedd nifer o’r ymatebion gan y disgyblion yn ddiddorol ac yn ddefnyddiol. Yn gyntaf, o safbwynt yr addysgwyr, braf oedd gweld fod y disgyblion yn mwynhau cynnwys y wers, gan ei fod yn rhoi cylch o gwmpas yr ‘emoji’ gyda llygaid calonnau, neu gan fod ganddyn nhw fwy o gwestiynau i’w ofyn i roi cylch o amgylch yr ‘emoji’ sydd yn meddwl. Roedd rhai o’r sylwadau yn cynnwys “oherwydd roedd y stori yn ddiddorol iawn ac hoffias y gwaith”. Gan ddefnyddiais y dull yma ar ôl wers ar y stori creu Hindŵaidd, roedd yn amlwg fod y plant wedi cofio’r stori ond nad yw hynny yn dangos yn glir i’r addysgwyr ei </w:t>
      </w:r>
      <w:r>
        <w:rPr>
          <w:sz w:val="24"/>
          <w:szCs w:val="24"/>
          <w:lang w:eastAsia="en-US"/>
        </w:rPr>
        <w:lastRenderedPageBreak/>
        <w:t xml:space="preserve">fod yn deall cynnwys y wers a hyd yn oed deall y stori. Ar bob cerdyn roedd yna ddewis o 30 ‘emoji’ gwahanol, gan gynnwys wynebau hapus, grac, sioc a chwerthin, er ar y cychwyn roedd hyn yn edrych yn ddeniadol, mewn gwirionedd roedd yna ormod o wynebau i ddewis. O ganlyniad felly roedd rhoi gormod o ddewis i’r disgyblion yn tynnu i ffwrdd o bwrpas y cerdyn sef i asesu dealltwriaeth yn hytrach na dewis eu hoff ‘emoji’ neu ‘emoji’ roeddent yn teimlo yn y wers.  O’r safbwynt yma felly nad yw’r cerdyn allanfa yn rhoi gwir adlewyrchiad o’r ddealltwriaeth yn y dosbarth oherwydd roedd y cysyniad gwreiddiol yn gallu achosi cymhlethdod wrth gydblethu gyda ‘emoji’s. Mae ymchwil gan </w:t>
      </w:r>
      <w:r>
        <w:rPr>
          <w:color w:val="000000"/>
          <w:sz w:val="24"/>
          <w:szCs w:val="24"/>
          <w:lang w:eastAsia="en-US"/>
        </w:rPr>
        <w:t xml:space="preserve">Danesi (2016) ar ‘‘emojis’ yn diffinio’r defnydd o ‘‘emojis’ fel </w:t>
      </w:r>
      <w:r>
        <w:rPr>
          <w:color w:val="212121"/>
          <w:sz w:val="24"/>
          <w:szCs w:val="24"/>
          <w:lang w:eastAsia="en-US"/>
        </w:rPr>
        <w:t>dyfeisiau gwella sy'n disodli geiriau</w:t>
      </w:r>
      <w:r>
        <w:rPr>
          <w:b/>
          <w:bCs/>
          <w:sz w:val="24"/>
          <w:szCs w:val="24"/>
          <w:lang w:eastAsia="en-US"/>
        </w:rPr>
        <w:t xml:space="preserve">, </w:t>
      </w:r>
      <w:r>
        <w:rPr>
          <w:sz w:val="24"/>
          <w:szCs w:val="24"/>
          <w:lang w:eastAsia="en-US"/>
        </w:rPr>
        <w:t xml:space="preserve">felly rhaid bod yn ofalus gyda dealltwriaeth y disgyblion am beth mae ‘‘emojis’ yn cyfleu, yn erbyn beth yw ei bwrpas yn y dosbarth, sef i ddangos dealltwriaeth nid cyfleu emosiwn. </w:t>
      </w:r>
      <w:r>
        <w:rPr>
          <w:sz w:val="24"/>
          <w:szCs w:val="24"/>
          <w:lang w:eastAsia="en-US"/>
        </w:rPr>
        <w:tab/>
      </w:r>
      <w:r>
        <w:rPr>
          <w:b/>
          <w:bCs/>
          <w:sz w:val="24"/>
          <w:szCs w:val="24"/>
          <w:lang w:eastAsia="en-US"/>
        </w:rPr>
        <w:tab/>
      </w:r>
      <w:r>
        <w:rPr>
          <w:b/>
          <w:bCs/>
          <w:sz w:val="24"/>
          <w:szCs w:val="24"/>
          <w:lang w:eastAsia="en-US"/>
        </w:rPr>
        <w:tab/>
      </w:r>
      <w:r>
        <w:rPr>
          <w:b/>
          <w:bCs/>
          <w:sz w:val="24"/>
          <w:szCs w:val="24"/>
          <w:lang w:eastAsia="en-US"/>
        </w:rPr>
        <w:tab/>
      </w:r>
      <w:r>
        <w:rPr>
          <w:color w:val="212121"/>
          <w:sz w:val="24"/>
          <w:szCs w:val="24"/>
          <w:lang w:eastAsia="en-US"/>
        </w:rPr>
        <w:t xml:space="preserve">Wrth wneud yr ymchwil hon, roedd rhai cyfyngiadau penodol wedi dod wrth wneud yr ymchwil ar ddelweddu. Yn gyntaf, roedd yn anodd amrywio’r defnydd o sut byddaf yn rhoi'r ‘emoji’s i’r disgyblion wrth asesu eu dealltwriaeth. Er fy mod i wedi datgan byddaf yn canolbwyntio ar y defnydd o’r rhain ac roeddwn wedi defnyddio dulliau amrywiol megis Plickers a’r cerdyn allanfa. Roedd yr ‘emoji’s yn eu ffurf yn debyg, felly erbyn y diwedd roedd y disgyblion yn gwybod beth i ddisgwyl ac felly mae hynny yn arwain at gyfyngiad ychwanegol. Bu’r cwestiwn o ddilysrwydd yr adborth hefyd yn gyfyngiad i’r fath o ymchwil yma, oherwydd roedd y defnydd o’r ‘emoji’ gydag wynebau amrywiol ddim o hyd yn cysylltu â gwir ddiffiniad y gair maent yn chwilio amdani wrth wirio dealltwriaeth. Er enghraifft byddai’r defnydd o wyneb hapus yn amlwg yn dangos fod y disgybl yna yn deall y gwaith, ac yn yr un modd gwneud y cysylltiad gydag wyneb trist gyda ddim yn deall. Wnaeth nifer o ddisgyblion wrth lenwi’r cerdyn allanfa roi cylch o amgylch wyneb sydd yn chwerthin wrth ddatgan fod y wers yn un hwyl, ond felly pa raddau may hyn yn datgan dealltwriaeth y disgyblion yn wirioneddol (gweler Atodiad 5).  </w:t>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lastRenderedPageBreak/>
        <w:tab/>
        <w:t xml:space="preserve">Serch hynny, roedd yna rhai esiamplau lle'r oedd y disgyblion yn cymryd y cyfle i fod yn onest am eu dealltwriaeth, gweler yr esiampl yn Atodiad 4 lle mae un disgybl yn rhoi cylch o amgylch yr ‘emoji’ trist gan son nad oedd yn deall y gwaith. Yn ogystal â hyn, </w:t>
      </w:r>
      <w:r>
        <w:rPr>
          <w:color w:val="000000"/>
          <w:sz w:val="24"/>
          <w:szCs w:val="24"/>
          <w:lang w:eastAsia="en-US"/>
        </w:rPr>
        <w:t xml:space="preserve">mynegai Tait (2017) fod cerdyn allanfa ar ffurf ‘emoji’ yn son am ddefnyddio set amryw o wahanol ‘emoji’’s er mwyn rhoi’r cyfle i’r disgyblion i ddangos sut maent wirioneddol yn teimlo. Y broblem am ddilysrwydd y dull wrth feddwl a yw disgyblion yn mynd i roi gylch o gwmpas ‘emoji’ trist neu gyfleu nad ydynt yn deall y gwaith yn yr un modd byddai’r defnydd o oleuadau traffig. Pa mor debygol yw unigolyn i ddangos y coch pam fydd pawb arall yn dangos gwyrdd? Ond, mae cerdyn allanfa yn bersonol ac felly mae rhwng y disgybl a’r athro, nad oes trafod yr atebion unigol oni bai fod yna dueddiad o grŵp neu ddosbarth cael trafferth gyda chysyniad neu gynnwys y wers. </w:t>
      </w:r>
      <w:r>
        <w:rPr>
          <w:sz w:val="24"/>
          <w:szCs w:val="24"/>
          <w:lang w:eastAsia="en-US"/>
        </w:rPr>
        <w:t xml:space="preserve">Pan ddaw i wahaniaethu ar gyfer dosbarth penodol, mae’r dull yma yn medru sicrhau her i ddisgyblion ADY a disgybl MATh y dosbarth ond hefyd herio disgyblion yn unigol. Gellir gwneud hwn gyda’r defnydd o gwestiynu effeithiol fel soniai (Lemov, 2014; Bharti, 2015; Artheton, 2018). Felly, byddai defnyddio’r data ansoddol o’r cerdyn allanfa yn ffordd dda o adnabod lefel personol y disgyblion yn y dosbarth er mwyn galluogi defnyddio strategaethau gwahaniaethu yn effeithiol er mwyn ysgogi’r defnydd o asesu ar gyfer dysgu yn y dosbarth ond hefyd er mwyn sicrhau fod y disgyblion yn gwneud cynnydd yn ystod y gwersi ac yn deall cynnwys y wers yn iawn. </w:t>
      </w:r>
      <w:r>
        <w:rPr>
          <w:sz w:val="24"/>
          <w:szCs w:val="24"/>
          <w:lang w:eastAsia="en-US"/>
        </w:rPr>
        <w:tab/>
      </w:r>
      <w:r>
        <w:rPr>
          <w:sz w:val="24"/>
          <w:szCs w:val="24"/>
          <w:lang w:eastAsia="en-US"/>
        </w:rPr>
        <w:tab/>
        <w:t xml:space="preserve">Dull arall defnyddiwyd fel rhan o’r ymchwil roedd y dull poblogaidd o asesu ffurfiannol sef </w:t>
      </w:r>
      <w:r>
        <w:rPr>
          <w:i/>
          <w:iCs/>
          <w:sz w:val="24"/>
          <w:szCs w:val="24"/>
          <w:lang w:eastAsia="en-US"/>
        </w:rPr>
        <w:t>Plickers</w:t>
      </w:r>
      <w:r>
        <w:rPr>
          <w:sz w:val="24"/>
          <w:szCs w:val="24"/>
          <w:lang w:eastAsia="en-US"/>
        </w:rPr>
        <w:t xml:space="preserve"> gyda’r defnydd o ‘emoji’s i asesu dealltwriaeth y disgyblion. Ar ddiwedd y wers roeddwn yn gwneud cwis gyda’r disgyblion ar gynnwys y stori creu yn ôl Genesis ac yna roedd cwestiwn ar y diwedd lle bu rhaid iddynt dangos gan ddefnyddio eu cerdyn personol sut yr oeddent yn deall cynnwys y wers.  </w:t>
      </w:r>
      <w:r>
        <w:rPr>
          <w:sz w:val="24"/>
          <w:szCs w:val="24"/>
          <w:lang w:val="cy-GB" w:eastAsia="en-US"/>
        </w:rPr>
        <w:t xml:space="preserve">Gan fod Plickers yn ddull o asesu ffurfiannol,  roedd cysylltu’r syniad yma gyda’r ‘emoji’’s yn rhoi’r un fath o ganlyniad a beth oedd y cerdyn allanfa yn ei ddangos. Gweler Atodiad 5, allan o 27 o ddisgyblion roedd 24 </w:t>
      </w:r>
      <w:r>
        <w:rPr>
          <w:sz w:val="24"/>
          <w:szCs w:val="24"/>
          <w:lang w:val="cy-GB" w:eastAsia="en-US"/>
        </w:rPr>
        <w:lastRenderedPageBreak/>
        <w:t xml:space="preserve">wedi gwneud y darn yma o’r ymchwil. Er bod y set o ddata ddim yn gyflawn, nodir fod yn bosib fod rhai newidiadau i’r ffigyrau be bai'r disgyblion coll yn bresennol yn y wers lle cyflwynwyd y dull yma o ymchwil. Rhoddodd 22 o ddisgyblion wedi rhoi ei fod yn deall y gwaith yn iawn a 1 yn son nad oedd yn deall y gwaith ac 1 yn son fod ganddyn nhw gwestiynau ychwanegol fel sydd yn ymddangos yn Atodiad 5. Roedd y dull yma yn effeithiol gan fod Plickers yn casglu data yn y fan ac mae yna opsiwn i gael y canlyniadau yn gyfrinachol oddi wrth y disgyblion. Mae hyn yn dilyn amcanion moeseg yr ymchwil, ac mae’n ffordd syml i dracio cynnydd a dealltwriaeth y disgyblion yn ystod y wers. </w:t>
      </w:r>
      <w:r>
        <w:rPr>
          <w:sz w:val="24"/>
          <w:szCs w:val="24"/>
          <w:lang w:eastAsia="en-US"/>
        </w:rPr>
        <w:t xml:space="preserve">Gellir dadlau fod y dull yma yn rhoi </w:t>
      </w:r>
      <w:r>
        <w:rPr>
          <w:sz w:val="24"/>
          <w:szCs w:val="24"/>
          <w:lang w:val="cy-GB" w:eastAsia="en-US"/>
        </w:rPr>
        <w:t xml:space="preserve">gwell adlewyrchiad o ddealltwriaeth y disgyblion gan fod yna dewis rhwng dim ond 4 ‘emoji’. Yn wahanol i’r defnydd o gerdyn allanfa roedd y gosodiadau a fu’n cyd-fynd gyda’r ‘emoji’ ar gael i’r disgyblion ac felly roeddent yn canolbwyntio ar yr ‘emoji’ yr oeddent yn ei ddewis ond hefyd y gosodiad oedd ar gael er mwyn dangos beth oedd eu dealltwriaeth ar gyfer y wers yna. Serch hynny, daw cyfyngiad pan yn son am y gair ‘gwir’ yng nghyd-destun unrhyw ymchwil oherwydd gyda data ansoddol a meintiol mae yna o hyd posibilrwydd nad yw’r cyfranogwyr yn rhoi’r eu gwir adlewyrchiad i lawr. Mae’r defnydd o Plickers wedi cydblethu a’r ‘emoji’s yn rhoi’r cyfle i’r disgyblion i roi’r ateb sydd yn wir iddynt hwy ac felly rhaid cymryd yn ganiataol wrth ymchwilio yn y dosbarth fod y disgyblion yn fwy tebygol o fod yn onest, ac oherwydd bod y disgyblion yn ymwybodol fod y data yn gyfrinachol, roedd y disgyblion yn gyfforddus wrth wneud. </w:t>
      </w:r>
      <w:r>
        <w:rPr>
          <w:sz w:val="24"/>
          <w:szCs w:val="24"/>
          <w:lang w:eastAsia="en-US"/>
        </w:rPr>
        <w:tab/>
      </w:r>
      <w:r>
        <w:rPr>
          <w:sz w:val="24"/>
          <w:szCs w:val="24"/>
          <w:lang w:eastAsia="en-US"/>
        </w:rPr>
        <w:tab/>
      </w:r>
      <w:r>
        <w:rPr>
          <w:sz w:val="24"/>
          <w:szCs w:val="24"/>
          <w:lang w:eastAsia="en-US"/>
        </w:rPr>
        <w:tab/>
      </w:r>
      <w:r>
        <w:rPr>
          <w:sz w:val="24"/>
          <w:szCs w:val="24"/>
          <w:lang w:val="cy-GB" w:eastAsia="en-US"/>
        </w:rPr>
        <w:t xml:space="preserve">Mae’r dull yma yn gallu fod yn gyfle i herio’r disgyblion ADY a MATh yn y dosbarth am ei fod yn dewis personol. Gan fod y data yma wedi dangos nifer o ddisgyblion yn deall gwaith yn iawn roeddwn yn medru rhoi tasgau amrywiol i’w herio, er enghraifft i drafod beth maent yn meddwl yw’r cysyniadau amrywiol o fewn Cristnogaeth am y stori creu, neu a all Cristnogion credu mewn gwyddoniaeth. Roedd hyn yn rhoi’r cyfle i mi drafod gyda’r disgyblion oedd yn ansicr yn ystod y wers ac ar ôl er mwyn sicrhau fod yr unigolion yn deall </w:t>
      </w:r>
      <w:r>
        <w:rPr>
          <w:sz w:val="24"/>
          <w:szCs w:val="24"/>
          <w:lang w:val="cy-GB" w:eastAsia="en-US"/>
        </w:rPr>
        <w:lastRenderedPageBreak/>
        <w:t xml:space="preserve">cysyniadau allweddol y wers. </w:t>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r>
      <w:r>
        <w:rPr>
          <w:sz w:val="24"/>
          <w:szCs w:val="24"/>
          <w:lang w:eastAsia="en-US"/>
        </w:rPr>
        <w:tab/>
        <w:t>Y dull olaf o ddefnyddio ‘emoji’s yn yr ymchwil oedd rhoi’r cyfle i’r disgyblion i ddelweddu ‘emoji’ eu hunain ar ddiwedd y wers er mwyn dangos eu dealltwriaeth. Ar ddiwedd wers lle'r oedd y disgyblion yn gwneud tasg ymchwil ar gyfer y safbwynt gwyddonol am sut grëwyd y byd roedd yna raddfa ‘‘emojis’ ac roedd rhaid i bob disgybl delweddu ‘emoji’ eu hunain er mwyn dangos sut oeddent wedi deall cynnwys y wers. Rhoddais y raddfa i fyny fel enghraifft o’r rhai o’r ‘emoji’s roedd y disgyblion yn medru delweddu gyda 3 llun i ddewis ohono, gwyneb hapus, gwyneb ansicr a gwyneb trist:</w:t>
      </w:r>
    </w:p>
    <w:p w:rsidR="001949F9" w:rsidRDefault="001949F9" w:rsidP="001949F9">
      <w:pPr>
        <w:spacing w:line="480" w:lineRule="auto"/>
        <w:ind w:firstLine="720"/>
        <w:rPr>
          <w:sz w:val="24"/>
          <w:szCs w:val="24"/>
          <w:lang w:eastAsia="en-US"/>
        </w:rPr>
      </w:pPr>
      <w:r>
        <w:rPr>
          <w:b/>
          <w:noProof/>
          <w:sz w:val="24"/>
          <w:u w:val="single"/>
        </w:rPr>
        <w:drawing>
          <wp:inline distT="0" distB="0" distL="0" distR="0" wp14:anchorId="4DBDC6C0" wp14:editId="047EA02D">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1949F9" w:rsidRDefault="001949F9" w:rsidP="001949F9">
      <w:pPr>
        <w:spacing w:line="480" w:lineRule="auto"/>
        <w:ind w:firstLine="720"/>
        <w:rPr>
          <w:sz w:val="24"/>
          <w:szCs w:val="24"/>
          <w:lang w:eastAsia="en-US"/>
        </w:rPr>
      </w:pPr>
    </w:p>
    <w:p w:rsidR="001949F9" w:rsidRDefault="001949F9" w:rsidP="001949F9">
      <w:pPr>
        <w:spacing w:line="480" w:lineRule="auto"/>
        <w:ind w:firstLine="720"/>
        <w:rPr>
          <w:sz w:val="24"/>
          <w:szCs w:val="24"/>
          <w:lang w:eastAsia="en-US"/>
        </w:rPr>
      </w:pPr>
      <w:r>
        <w:rPr>
          <w:sz w:val="24"/>
          <w:szCs w:val="24"/>
          <w:lang w:eastAsia="en-US"/>
        </w:rPr>
        <w:t>Dengys y graff</w:t>
      </w:r>
      <w:r>
        <w:rPr>
          <w:sz w:val="24"/>
          <w:szCs w:val="24"/>
          <w:lang w:eastAsia="en-US"/>
        </w:rPr>
        <w:tab/>
        <w:t xml:space="preserve"> fod y mwyafrif o’r dosbarth wedi delweddu llun o wyneb hapus, sydd yn rhywbeth bositif ar ddiwedd wers. Y peth mwyaf ddiddorol yw’r ffaith bod y canlyniadau yn dnagos fod y dosbarth yn hollol gymysg ynlyn a’u dealltwriaeth, felly roedd hyn yn ddangosydd clir fod angen wers arall er mwyn sicrhau fod y dealltwriaeth yn well gyda’r un disgyblion. Roedd y raddfa yma yn ffordd effeithiol o wahaniaethu oherwydd roedd yn modelu syniadau o’r ‘emoji’s gallent ddefnyddio i ddangos eu dealltwriaeth. Roedd y dull yma hefyd yn </w:t>
      </w:r>
      <w:r>
        <w:rPr>
          <w:sz w:val="24"/>
          <w:szCs w:val="24"/>
          <w:lang w:val="cy-GB" w:eastAsia="en-US"/>
        </w:rPr>
        <w:t xml:space="preserve">wahaniaethol oherwydd rhoddais y dewis i’r disgyblion i ddelweddu eu </w:t>
      </w:r>
      <w:r>
        <w:rPr>
          <w:sz w:val="24"/>
          <w:szCs w:val="24"/>
          <w:lang w:val="cy-GB" w:eastAsia="en-US"/>
        </w:rPr>
        <w:lastRenderedPageBreak/>
        <w:t xml:space="preserve">dealltwriaeth ac yna rhoi’r dewis i ddisgyblion i esbonio pam yr oeddent wedi dewis yr ‘emoji’ benodol yna. Gwelais fod y disgyblion MATh y dosbarth eisiau esbonio pam yr oeddent wedi dewis yr ‘emoji’ yma, felly roedd yna her ychwanegol iddynt i grynhoi'r safbwynt gwyddonol mewn i ddarn trydar i ffrind nad oedd yn deall y gwaith yn ychwanegol. Roedd y dull yma hefyd yn effeithiol iawn er mwyn gallu grwpio’r disgyblion am y wers ddilynol lle roeddent yn cael gwers i adolygu eu gwybodaeth am sut grëwyd y byd gan gymhwyso eu gwybodaeth er mwyn adolygu. Penderfynais ddefnyddio’r graff yma fel sail i’m grwpio, gan ddefnyddio’r 7 disgybl nad oedd wedi deall y gwaith neu fach yn ansicr a’u gwahanu yn syth, yna rhoi'r 3 disgybl MATh wnaeth cyflawni’r her ychwanegol gyda’r disgyblion lefel is yn y dosbarth ac yna yn creu grwpiau cymysg gyda gweddill y dosbarth. Awgrymai </w:t>
      </w:r>
      <w:r>
        <w:rPr>
          <w:sz w:val="24"/>
          <w:szCs w:val="24"/>
          <w:lang w:eastAsia="en-US"/>
        </w:rPr>
        <w:t xml:space="preserve">Dudley &amp; Osváth (2016) fod grwpio cymysg yn gyfleoedd cyfoethog ar gyfer cydweithredu a chydweithio rhwng myfyrwyr lle maent yn rhannu gwybodaeth ac yn dysgu oddi wrth ei gilydd. </w:t>
      </w:r>
      <w:r>
        <w:rPr>
          <w:sz w:val="24"/>
          <w:szCs w:val="24"/>
          <w:lang w:val="cy-GB" w:eastAsia="en-US"/>
        </w:rPr>
        <w:t xml:space="preserve">Wrth gymharu’r dulliau i gyd, roedd y dull hwn yn ddull oedd yn gallu rhoi’r adlewyrchiad agosach i’r gwir wrth oherwydd roedd rhaid i’r disgyblion delweddu'r ‘emoji’ personol iddynt hwy. Gan fod y sgôr y tro yma gyda’r disgyblion nad oedd yn sicr o’r gwaith neu yn rhoi gwynebau oedd yn cyferbynnu gyda’r lliw oren neu goch ar y raddfa. Dangosai hyd fod yna barodrwydd i fod yn onest gan nad oedd opsiynau gyda nhw i ddewis oddi wrthi. </w:t>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val="cy-GB" w:eastAsia="en-US"/>
        </w:rPr>
        <w:tab/>
      </w:r>
      <w:r>
        <w:rPr>
          <w:sz w:val="24"/>
          <w:szCs w:val="24"/>
          <w:lang w:eastAsia="en-US"/>
        </w:rPr>
        <w:t xml:space="preserve">Y prif wendid gyda’r dull yma yw’r ffaith nad oedd pob disgybl yn esbonio pam yr oeddent wedi dewis ‘emoji’ wahanol felly roedd hyn yn anoddach i asesu pa rannau o’r gwaith nad oedd y disgyblion yn deall. Er bod y disgyblion wedi dweud nad oeddent yn deall beth oedd cynnwys y wers, roedd yn hollbwysig cael y data ansoddol i gyd-fynd gyda’r meintiol er mwyn galluogi newid ac addasu strwythur a chynnwys y gwersi fel bod y disgyblion i gyd yn y dosbarth yn gwneud cynnydd ar lefelau personol a heriol. </w:t>
      </w:r>
      <w:r>
        <w:rPr>
          <w:sz w:val="24"/>
          <w:szCs w:val="24"/>
          <w:lang w:eastAsia="en-US"/>
        </w:rPr>
        <w:tab/>
      </w:r>
      <w:r>
        <w:rPr>
          <w:sz w:val="24"/>
          <w:szCs w:val="24"/>
          <w:lang w:eastAsia="en-US"/>
        </w:rPr>
        <w:tab/>
        <w:t xml:space="preserve">Mae’r ymchwil yma wedi bod yn ymchwil ddiddorol i wneud yn yr ystafell ddosbarth </w:t>
      </w:r>
      <w:r>
        <w:rPr>
          <w:sz w:val="24"/>
          <w:szCs w:val="24"/>
          <w:lang w:eastAsia="en-US"/>
        </w:rPr>
        <w:lastRenderedPageBreak/>
        <w:t>oherwydd er bod y cysyniad o ‘‘emojis’ yn gweld yn eithaf bach, mae ei phwrpas o fewn cysyniadau asesu ar gyfer dysgu yn allweddol. O ganlyniad i’r ymchwil yma, gellir dod i’r casgliad fod y defnydd o’r ‘emojs’ wedi bod yn llwyddiant wrth asesu dealltwriaeth y disgyblion oherwydd gweler enghreifftiau gyda’r defnydd o’r Plickers, cerdyn allanfa a’r raddfa ‘emoji’ bod y disgyblion wedi bod yn onest am eu dealltwriaeth. Roedd hyn yn gyfle da i addasu gwersi a threulio fwy o amser ar gysyniad crefyddol yn ôl y galw. Yn yr un modd, mae’r defnydd o’r ‘‘emojis’ yn rhywbeth cyfoes, ac felly mae hyn yn ennyn diddordeb y disgyblion ac yn galluogi’r cyfle i asesu ar gyfer dysgu yn effeithiol heb fod yn rhy blentynnaidd. Wrth symud ymlaen i archwilio i rai cyfyngiadau’r ymchwil yma, rhaid nodi fod yna rhai gwendidau wedi bod gyda’r defnydd o ‘‘emojis’ a rhain wedi’i thrafod yn y rhan yma. Felly, rhaid sicrhau wrth ddefnyddio ‘emoji’s wrth asesu dealltwriaeth disgyblion, ei bod o hyd yn ymwybodol o’r gwahaniaeth rhwng sut maent wedi deall y gwaith, yn hytrach na sut maent yn teimlo am y gwaith. Ar y cyfan roedd y dulliau yma yn ddefnyddiol yn unigol oherwydd roedd y cyfuniad o ddata ansoddol a meintiol yn rhoi syniad da a chyfartal am ddealltwriaeth unigolion a dosbarth cyfan am gysyniad allweddol yr oeddwn yn astudio. Roedd y defnydd o gwestiynu yn arf dda er mwyn gwahaniaethu ac i herio unigolion ar lefel personol er mwyn sicrhau dealltwriaeth am y pynciau astudiwyd. Yn bwysicach oll, roedd rhoi’r cyfle i’r disgyblion i ddod i’r arfer o hunanwerthuso yn gyson wedi ehangu eu sgiliau o fyfyrio ac ysgogi'r defnydd da ac effeithiol o asesu er mwyn gwella eu dealltwriaeth o fewn yr ystafell ddosbarth, a gallai yn y pendraw cael eu hadlewyrchu mewn cyd-destun llawer ehangach.</w:t>
      </w:r>
    </w:p>
    <w:p w:rsidR="001949F9" w:rsidRDefault="001949F9" w:rsidP="001949F9">
      <w:pPr>
        <w:spacing w:line="480" w:lineRule="auto"/>
        <w:ind w:firstLine="720"/>
        <w:rPr>
          <w:sz w:val="24"/>
          <w:szCs w:val="24"/>
          <w:lang w:eastAsia="en-US"/>
        </w:rPr>
      </w:pPr>
    </w:p>
    <w:p w:rsidR="001949F9" w:rsidRDefault="001949F9" w:rsidP="001949F9">
      <w:pPr>
        <w:spacing w:line="480" w:lineRule="auto"/>
        <w:ind w:firstLine="720"/>
        <w:rPr>
          <w:sz w:val="24"/>
          <w:szCs w:val="24"/>
          <w:lang w:eastAsia="en-US"/>
        </w:rPr>
      </w:pPr>
    </w:p>
    <w:p w:rsidR="001949F9" w:rsidRPr="0057795F" w:rsidRDefault="001949F9" w:rsidP="001949F9">
      <w:pPr>
        <w:spacing w:line="480" w:lineRule="auto"/>
        <w:ind w:firstLine="720"/>
        <w:rPr>
          <w:sz w:val="24"/>
          <w:szCs w:val="24"/>
        </w:rPr>
      </w:pPr>
    </w:p>
    <w:p w:rsidR="001949F9" w:rsidRDefault="001949F9" w:rsidP="001949F9">
      <w:pPr>
        <w:spacing w:line="480" w:lineRule="auto"/>
        <w:rPr>
          <w:b/>
          <w:sz w:val="24"/>
          <w:szCs w:val="24"/>
          <w:u w:val="single"/>
        </w:rPr>
      </w:pPr>
    </w:p>
    <w:p w:rsidR="001949F9" w:rsidRPr="00491E65" w:rsidRDefault="001949F9" w:rsidP="001949F9">
      <w:pPr>
        <w:spacing w:line="480" w:lineRule="auto"/>
        <w:rPr>
          <w:sz w:val="24"/>
          <w:szCs w:val="24"/>
        </w:rPr>
      </w:pPr>
      <w:r w:rsidRPr="00C95595">
        <w:rPr>
          <w:b/>
          <w:sz w:val="24"/>
          <w:szCs w:val="24"/>
          <w:u w:val="single"/>
        </w:rPr>
        <w:lastRenderedPageBreak/>
        <w:t xml:space="preserve">Cyfyngiadau a datblygiad i’r dyfodol </w:t>
      </w:r>
    </w:p>
    <w:p w:rsidR="001949F9" w:rsidRPr="00C95595" w:rsidRDefault="001949F9" w:rsidP="001949F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color w:val="212121"/>
          <w:sz w:val="24"/>
          <w:szCs w:val="24"/>
        </w:rPr>
      </w:pPr>
      <w:r>
        <w:rPr>
          <w:color w:val="212121"/>
          <w:sz w:val="24"/>
          <w:szCs w:val="24"/>
          <w:lang w:eastAsia="en-US"/>
        </w:rPr>
        <w:tab/>
        <w:t xml:space="preserve">Wrth gwblhau’r ymchwil mae yna rhai cyfyngiadau wedi dod i'r brig wrth gwblhau, amlinellir rhai yn y rhan yma o’r traethawd gan son am sut ellir defnyddio i ymchwil yn y dyfodol. Yn gyntaf, mae’r traethawd yma wedi dangos fod yna llenyddiaeth helaeth ar gael sydd yn cwmpasu astudiaethau ar asesu ar gyfer dysgu ac asesu ffurfiannol yn gyffredinol. Er nad oedd yn ddisgwyliedig fod yna amrywiaeth o lenyddiaeth ar gael sydd yn son am ‘‘emojis’, nad oedd unrhyw ymchwil benodol neu lenyddiaeth yn son am y defnydd o’r rhain mewn ffordd feirniadol heblaw ei fod yn disgrifio’r strategaeth. Mae’r ymchwil wedi dangos bod y defnydd o ‘‘emojis’ yn effeithiol am y rheswm fod yn berthnasol i’r dysgwyr yn ein dosbarth heddiw. Er hyn, rhaid ystyried y cymhlethdod wrth ddefnyddio ‘‘emojis’ oherwydd maent yn rhywbeth sydd yn cyfleu emosiwn ac sydd yn cymryd lle geirfa. Roedd yn anodd ar adegau i gael y disgyblion i gysylltu’r ‘‘emojis’ gyda’r hyn maent yn deall yn hytrach na sut maent yn teimlo. Er mwyn datblygu’r ymchwil yma ymhellach gallaf wedi edrych ar ddelweddu yng nghyd-destun strategaethau hunanwerthuso amrywiol a’u chymharu er mwyn ddarganfod os mai hynny yw’r strategaeth fwyaf effeithiol allan o sampl o strategaethau.  </w:t>
      </w:r>
    </w:p>
    <w:p w:rsidR="001949F9" w:rsidRPr="00C95595" w:rsidRDefault="001949F9" w:rsidP="001949F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color w:val="212121"/>
          <w:sz w:val="24"/>
          <w:szCs w:val="24"/>
        </w:rPr>
      </w:pPr>
      <w:r>
        <w:rPr>
          <w:color w:val="212121"/>
          <w:sz w:val="24"/>
          <w:szCs w:val="24"/>
          <w:lang w:eastAsia="en-US"/>
        </w:rPr>
        <w:tab/>
        <w:t xml:space="preserve">Cyfyngiad arall sydd rhaid ystyried yw maint y sampl. Yn yr ymchwil hon roeddwn yn canolbwyntio ar un dosbarth Blwyddyn 7 sydd yn nosbarth gallu cymysg. I raddau roedd edrych ar yr amrywiaeth o fewn y dosbarth yn ddefnyddiol er mwyn darganfod sut yr oedd disgyblion yn dysgu ac yn deall gwaith ar lefelau gwahanol ac mewn ffordd bersonol. Yn y dyfodol, byddai gwneud yr ymchwil yma gydag un dosbarth arall a’u chymharu wedi cyfoethogi’r canfyddiadau ymhellach gan fod y cyfle i edrych ar set o ddata gwahanol a gwneud cymariaethau mwy eang gan nad yw natur un dosbarth yn debyg i’r llall. Yn ystod fy ymchwil, un o’r cwestiynau ymchwil oedd i ba raddau mae’r dull yma yn heriol i ddisgyblion MATh ac ADY. Byddai hefyd yn ddiddorol defnyddio gyda grŵp o ddisgyblion yma yn </w:t>
      </w:r>
      <w:r>
        <w:rPr>
          <w:color w:val="212121"/>
          <w:sz w:val="24"/>
          <w:szCs w:val="24"/>
          <w:lang w:eastAsia="en-US"/>
        </w:rPr>
        <w:lastRenderedPageBreak/>
        <w:t>uniongyrchol er mwyn profi defnyddioldeb hunanwerthuso ar ffurfiau gwahanol gyda lefelau gwahanol.</w:t>
      </w:r>
    </w:p>
    <w:p w:rsidR="001949F9" w:rsidRPr="00C95595" w:rsidRDefault="001949F9" w:rsidP="001949F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color w:val="212121"/>
          <w:sz w:val="24"/>
          <w:szCs w:val="24"/>
        </w:rPr>
      </w:pPr>
      <w:r>
        <w:rPr>
          <w:color w:val="212121"/>
          <w:sz w:val="24"/>
          <w:szCs w:val="24"/>
          <w:lang w:eastAsia="en-US"/>
        </w:rPr>
        <w:tab/>
        <w:t>Dyma’r tro cyntaf yr wyf wedi casglu data cynradd a gwneud ymchwil yn yr ystafell dosbarth ac felly mae cyfyngiadau yn dod i’r brig wrth ystyried dibrofiad. Ar ôl myfyrio ar yr ymchwil sydd wedi digwydd a gwerthuso’r fethodoleg a’r data defnyddiwyd, byddaf yn argymell newidiadau wrth wneud yr ymchwil er mwyn gwella ansawdd y data a’r canfyddiadau. Pe bai cyfle yn codi unwaith eto i wneud ymchwil ar lawr yr ystafell ddosbarth byddaf yn addasu’r dull o ddefnyddio’r holiadur ac i ychwanegu cwestiynau ynddynt sydd yn gofyn am farn bersonol. Er roedd cwestiwn yn gofyn am y defnydd o’r ‘‘emojis’ ac ar y cyfan roedd y dosbarth wedi ymateb yn bositif, byddai cael ychwanegiad o ddata ansoddol er mwyn gwybod beth yn union oedd y disgyblion yn hoffi neu ddim yn hoffi am y defnydd o’r delweddu yn gallu gwella dealltwriaeth.</w:t>
      </w:r>
    </w:p>
    <w:p w:rsidR="001949F9" w:rsidRPr="00C95595" w:rsidRDefault="001949F9" w:rsidP="001949F9">
      <w:pPr>
        <w:spacing w:line="480" w:lineRule="auto"/>
        <w:ind w:firstLine="720"/>
        <w:rPr>
          <w:color w:val="000000"/>
          <w:sz w:val="24"/>
          <w:szCs w:val="24"/>
        </w:rPr>
      </w:pPr>
      <w:r>
        <w:rPr>
          <w:color w:val="000000"/>
          <w:sz w:val="24"/>
          <w:szCs w:val="24"/>
          <w:lang w:eastAsia="en-US"/>
        </w:rPr>
        <w:t>Yn ystod fy nghyfnod yn ‘Ysgol A’ ac wrth gwblhau’r ymchwil yma, rwyf wedi derbyn digonedd o gyfleoedd i ddatblygu fel athrawes yn gyffredinol ond fel athrawes sydd yn ymchwilio ac yn myfyrio yn gyson. Roeddwn yn awyddus i gynnal ymchwil ar effaith asesu yn yr ystafell ddosbarth gan fod hyn yn rhan mor hanfodol i fywyd bob dydd fel athrawon, ond hefyd i’r disgyblion yn yr ysgol. Bodlonaf fy mod wedi gallu cyrraedd Safonau SAC S3 wrth gwblhau’r ymchwil yma; g</w:t>
      </w:r>
      <w:r>
        <w:rPr>
          <w:sz w:val="24"/>
          <w:szCs w:val="24"/>
          <w:lang w:val="en-US" w:eastAsia="en-US"/>
        </w:rPr>
        <w:t xml:space="preserve">osodais amcanion addysgu a dysgu heriol ar gyfer gwersi sydd yn addas ar gyfer dysgwyr wrth ddefnyddio cofnod o ganlyniadau’r dysgwyr o brofion a thasgau asesu flaenorol gan ddefnyddio’r data a gasglwyd yn ystod yr ymchwil (SAC S3.1.1) ; roeddwn yn medru diwallu anghenion dysgwyr wrth ddefnyddio’r adborth roeddwn wedi casglu yn ystod y gwersi gan ddefnyddio’r ‘‘emojis’ ac felly yn teilwra gwersi yn effeithiol ac er mwyn asesu i gefnogi’r dysgu. (SAC S3.2.4 ; S3.3.3 ; S3.2.2)  Mae datblygiad proffesiynol yn rhan hollbwysig o rôl athrawes, ac fel mae’r llenyddiaeth yn dangos, rhaid i ni fel yr addysgwyr bod yn ymwybodol o’r strategaethau a </w:t>
      </w:r>
      <w:r>
        <w:rPr>
          <w:sz w:val="24"/>
          <w:szCs w:val="24"/>
          <w:lang w:val="en-US" w:eastAsia="en-US"/>
        </w:rPr>
        <w:lastRenderedPageBreak/>
        <w:t xml:space="preserve">phwysigrwydd asesu ar gyfer dysgu er mwyn galluogi ei fod yn cael ei integreiddio yn llwyddiannus ar lawr yr ystafell ddosbarth. </w:t>
      </w:r>
      <w:r>
        <w:rPr>
          <w:color w:val="000000"/>
          <w:sz w:val="24"/>
          <w:szCs w:val="24"/>
          <w:lang w:eastAsia="en-US"/>
        </w:rPr>
        <w:tab/>
        <w:t xml:space="preserve">(Wiliam &amp; Black, 1998; </w:t>
      </w:r>
      <w:r>
        <w:rPr>
          <w:sz w:val="24"/>
          <w:szCs w:val="24"/>
          <w:lang w:eastAsia="en-US"/>
        </w:rPr>
        <w:t>Webb &amp; Jones, 2009; Hayward, 2012)</w:t>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r>
      <w:r>
        <w:rPr>
          <w:color w:val="000000"/>
          <w:sz w:val="24"/>
          <w:szCs w:val="24"/>
          <w:lang w:eastAsia="en-US"/>
        </w:rPr>
        <w:tab/>
        <w:t>Y b</w:t>
      </w:r>
      <w:r>
        <w:rPr>
          <w:sz w:val="24"/>
          <w:szCs w:val="24"/>
          <w:lang w:eastAsia="en-US"/>
        </w:rPr>
        <w:t>rif neges sydd wedi dod i’r brig wrth gynnal yr ymchwil yma yw sylwi yn wirioneddol pa mor bwysig ac effeithiol yw asesu ar gyfer dysgu er mwyn gwirio dealltwriaeth a thracio cynnydd y disgyblion yr ydym yn addysgu. Nid yn unig yw dulliau amrywiol yn rhoi cyfleoedd i wahaniaethu yn briodol er mwyn diwallu anghenion disgyblion yn ein dosbarth ond hefyd er mwyn sicrhau fod y disgyblion yn deall gwerth beth maent yn dysgu. Mae hyn yn rhoi’r cyfrifoldeb iddynt i fwynhau ac i werthfawrogi’r asesu er mwyn iddynt wneud cynnydd, boed yn fyr neu’n hir dymor. Mae rôl fel athro i ysgogi disgyblion i gael yr awydd i hunan-werthuso ac i asesu mewn ffyrdd effeithiol, ond hefyd fel athro i fyfyrio ac i werthuso ar ein hunain yn cyd-fynd a’r datblygiad o’r “growth mindset” (Dweck, 2006) sydd yn fwyfwy angenrheidiol a delfrydol wrth edrych i’r dyfodol yng nghyd-destun datblygiadau newydd i’r cwricwlwm newydd yng Nghymru er sicrhau fod ein disgyblion yn anelu at fod yn ddysgwyr uchelgeisiol. (Donaldson, 2015)</w:t>
      </w:r>
    </w:p>
    <w:p w:rsidR="001949F9" w:rsidRDefault="001949F9" w:rsidP="001949F9">
      <w:pPr>
        <w:rPr>
          <w:sz w:val="32"/>
        </w:rPr>
      </w:pPr>
    </w:p>
    <w:p w:rsidR="001949F9" w:rsidRDefault="001949F9" w:rsidP="001949F9">
      <w:pPr>
        <w:rPr>
          <w:sz w:val="32"/>
        </w:rPr>
      </w:pPr>
      <w:bookmarkStart w:id="1" w:name="cysill"/>
      <w:bookmarkEnd w:id="1"/>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Default="001949F9" w:rsidP="001949F9">
      <w:pPr>
        <w:rPr>
          <w:sz w:val="32"/>
        </w:rPr>
      </w:pPr>
    </w:p>
    <w:p w:rsidR="001949F9" w:rsidRPr="008C0DAA" w:rsidRDefault="001949F9" w:rsidP="001949F9">
      <w:pPr>
        <w:rPr>
          <w:b/>
          <w:u w:val="single"/>
        </w:rPr>
      </w:pPr>
      <w:r w:rsidRPr="008C0DAA">
        <w:rPr>
          <w:b/>
          <w:sz w:val="24"/>
          <w:u w:val="single"/>
        </w:rPr>
        <w:lastRenderedPageBreak/>
        <w:t>Cyfeirnodau</w:t>
      </w:r>
    </w:p>
    <w:p w:rsidR="001949F9" w:rsidRDefault="001949F9" w:rsidP="001949F9">
      <w:pPr>
        <w:rPr>
          <w:b/>
          <w:sz w:val="24"/>
          <w:u w:val="single"/>
        </w:rPr>
      </w:pPr>
    </w:p>
    <w:p w:rsidR="001949F9" w:rsidRPr="004419B7" w:rsidRDefault="001949F9" w:rsidP="001949F9">
      <w:pPr>
        <w:pStyle w:val="NoSpacing"/>
        <w:numPr>
          <w:ilvl w:val="0"/>
          <w:numId w:val="2"/>
        </w:numPr>
        <w:rPr>
          <w:sz w:val="24"/>
          <w:szCs w:val="24"/>
        </w:rPr>
      </w:pPr>
      <w:r w:rsidRPr="004419B7">
        <w:rPr>
          <w:sz w:val="24"/>
          <w:szCs w:val="24"/>
        </w:rPr>
        <w:t>Atherton, Peter (2018). 50 Ways to Use Technology Enhanced Learning in the Classroom: Practical Strategies for Teaching. London: SAGE</w:t>
      </w:r>
    </w:p>
    <w:p w:rsidR="001949F9" w:rsidRPr="004419B7" w:rsidRDefault="001949F9" w:rsidP="001949F9">
      <w:pPr>
        <w:pStyle w:val="NoSpacing"/>
        <w:rPr>
          <w:sz w:val="24"/>
          <w:szCs w:val="24"/>
        </w:rPr>
      </w:pPr>
    </w:p>
    <w:p w:rsidR="001949F9" w:rsidRPr="004419B7" w:rsidRDefault="001949F9" w:rsidP="001949F9">
      <w:pPr>
        <w:pStyle w:val="NoSpacing"/>
        <w:numPr>
          <w:ilvl w:val="0"/>
          <w:numId w:val="2"/>
        </w:numPr>
        <w:rPr>
          <w:sz w:val="24"/>
          <w:szCs w:val="24"/>
        </w:rPr>
      </w:pPr>
      <w:r w:rsidRPr="004419B7">
        <w:rPr>
          <w:sz w:val="24"/>
          <w:szCs w:val="24"/>
        </w:rPr>
        <w:t>Bennett, R.E. (2011) ‘Formative Assessment: a critical review’, Assessment in Education: Principles, Policy and Practice, 18(1): 5-25</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Bharti, Prasanna . (2015). Real-time Formative Assessment without the Need for Student Devices. Available: http://edtechreview.in/trends-insights/insights/1755-real-time-formative-assessment-without-the-need-for-student-devices. (Cyrchwyd 9 Ebrill, 2018.)</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color w:val="000000"/>
          <w:sz w:val="24"/>
          <w:szCs w:val="24"/>
          <w:shd w:val="clear" w:color="auto" w:fill="FFFFFF"/>
        </w:rPr>
      </w:pPr>
      <w:r w:rsidRPr="004419B7">
        <w:rPr>
          <w:color w:val="000000"/>
          <w:sz w:val="24"/>
          <w:szCs w:val="24"/>
          <w:shd w:val="clear" w:color="auto" w:fill="FFFFFF"/>
        </w:rPr>
        <w:t>Black, P &amp; Wiliam, D 1998, </w:t>
      </w:r>
      <w:r w:rsidRPr="004419B7">
        <w:rPr>
          <w:rStyle w:val="Emphasis"/>
          <w:color w:val="000000"/>
          <w:sz w:val="24"/>
          <w:szCs w:val="24"/>
          <w:shd w:val="clear" w:color="auto" w:fill="FFFFFF"/>
        </w:rPr>
        <w:t>Inside the Black Box: Raising standards through classroom assessment</w:t>
      </w:r>
      <w:r w:rsidRPr="004419B7">
        <w:rPr>
          <w:color w:val="000000"/>
          <w:sz w:val="24"/>
          <w:szCs w:val="24"/>
          <w:shd w:val="clear" w:color="auto" w:fill="FFFFFF"/>
        </w:rPr>
        <w:t>, School of Education, King’s College, London, United Kingdom.</w:t>
      </w:r>
    </w:p>
    <w:p w:rsidR="001949F9" w:rsidRPr="004419B7" w:rsidRDefault="001949F9" w:rsidP="001949F9">
      <w:pPr>
        <w:pStyle w:val="NoSpacing"/>
        <w:ind w:left="360"/>
        <w:rPr>
          <w:sz w:val="24"/>
          <w:szCs w:val="24"/>
          <w:shd w:val="clear" w:color="auto" w:fill="FFFFFF"/>
        </w:rPr>
      </w:pPr>
    </w:p>
    <w:p w:rsidR="001949F9" w:rsidRPr="004419B7" w:rsidRDefault="001949F9" w:rsidP="001949F9">
      <w:pPr>
        <w:pStyle w:val="NoSpacing"/>
        <w:numPr>
          <w:ilvl w:val="0"/>
          <w:numId w:val="2"/>
        </w:numPr>
        <w:rPr>
          <w:sz w:val="24"/>
          <w:szCs w:val="24"/>
          <w:shd w:val="clear" w:color="auto" w:fill="FFFFFF"/>
        </w:rPr>
      </w:pPr>
      <w:r w:rsidRPr="004419B7">
        <w:rPr>
          <w:rStyle w:val="hlfld-contribauthor"/>
          <w:sz w:val="24"/>
          <w:szCs w:val="24"/>
        </w:rPr>
        <w:t>Black, </w:t>
      </w:r>
      <w:r w:rsidRPr="004419B7">
        <w:rPr>
          <w:rStyle w:val="nlmgiven-names"/>
          <w:sz w:val="24"/>
          <w:szCs w:val="24"/>
        </w:rPr>
        <w:t>P.</w:t>
      </w:r>
      <w:r w:rsidRPr="004419B7">
        <w:rPr>
          <w:sz w:val="24"/>
          <w:szCs w:val="24"/>
          <w:shd w:val="clear" w:color="auto" w:fill="FFFFFF"/>
        </w:rPr>
        <w:t>, </w:t>
      </w:r>
      <w:r w:rsidRPr="004419B7">
        <w:rPr>
          <w:rStyle w:val="hlfld-contribauthor"/>
          <w:sz w:val="24"/>
          <w:szCs w:val="24"/>
        </w:rPr>
        <w:t>Harrison, </w:t>
      </w:r>
      <w:r w:rsidRPr="004419B7">
        <w:rPr>
          <w:rStyle w:val="nlmgiven-names"/>
          <w:sz w:val="24"/>
          <w:szCs w:val="24"/>
        </w:rPr>
        <w:t>C.</w:t>
      </w:r>
      <w:r w:rsidRPr="004419B7">
        <w:rPr>
          <w:sz w:val="24"/>
          <w:szCs w:val="24"/>
          <w:shd w:val="clear" w:color="auto" w:fill="FFFFFF"/>
        </w:rPr>
        <w:t>, </w:t>
      </w:r>
      <w:r w:rsidRPr="004419B7">
        <w:rPr>
          <w:rStyle w:val="hlfld-contribauthor"/>
          <w:sz w:val="24"/>
          <w:szCs w:val="24"/>
        </w:rPr>
        <w:t>Lee, </w:t>
      </w:r>
      <w:r w:rsidRPr="004419B7">
        <w:rPr>
          <w:rStyle w:val="nlmgiven-names"/>
          <w:sz w:val="24"/>
          <w:szCs w:val="24"/>
        </w:rPr>
        <w:t>C.</w:t>
      </w:r>
      <w:r w:rsidRPr="004419B7">
        <w:rPr>
          <w:sz w:val="24"/>
          <w:szCs w:val="24"/>
          <w:shd w:val="clear" w:color="auto" w:fill="FFFFFF"/>
        </w:rPr>
        <w:t>, </w:t>
      </w:r>
      <w:r w:rsidRPr="004419B7">
        <w:rPr>
          <w:rStyle w:val="hlfld-contribauthor"/>
          <w:sz w:val="24"/>
          <w:szCs w:val="24"/>
        </w:rPr>
        <w:t>Marshall, </w:t>
      </w:r>
      <w:r w:rsidRPr="004419B7">
        <w:rPr>
          <w:rStyle w:val="nlmgiven-names"/>
          <w:sz w:val="24"/>
          <w:szCs w:val="24"/>
        </w:rPr>
        <w:t>B.</w:t>
      </w:r>
      <w:r w:rsidRPr="004419B7">
        <w:rPr>
          <w:sz w:val="24"/>
          <w:szCs w:val="24"/>
          <w:shd w:val="clear" w:color="auto" w:fill="FFFFFF"/>
        </w:rPr>
        <w:t>and </w:t>
      </w:r>
      <w:r w:rsidRPr="004419B7">
        <w:rPr>
          <w:rStyle w:val="hlfld-contribauthor"/>
          <w:sz w:val="24"/>
          <w:szCs w:val="24"/>
        </w:rPr>
        <w:t>Wiliam, </w:t>
      </w:r>
      <w:r w:rsidRPr="004419B7">
        <w:rPr>
          <w:rStyle w:val="nlmgiven-names"/>
          <w:sz w:val="24"/>
          <w:szCs w:val="24"/>
        </w:rPr>
        <w:t>D.</w:t>
      </w:r>
      <w:r w:rsidRPr="004419B7">
        <w:rPr>
          <w:sz w:val="24"/>
          <w:szCs w:val="24"/>
          <w:shd w:val="clear" w:color="auto" w:fill="FFFFFF"/>
        </w:rPr>
        <w:t> </w:t>
      </w:r>
      <w:r w:rsidRPr="004419B7">
        <w:rPr>
          <w:rStyle w:val="nlmyear"/>
          <w:sz w:val="24"/>
          <w:szCs w:val="24"/>
        </w:rPr>
        <w:t>2003</w:t>
      </w:r>
      <w:r w:rsidRPr="004419B7">
        <w:rPr>
          <w:sz w:val="24"/>
          <w:szCs w:val="24"/>
          <w:shd w:val="clear" w:color="auto" w:fill="FFFFFF"/>
        </w:rPr>
        <w:t>. </w:t>
      </w:r>
      <w:r w:rsidRPr="004419B7">
        <w:rPr>
          <w:sz w:val="24"/>
          <w:szCs w:val="24"/>
        </w:rPr>
        <w:t>Assessment for learning: Putting it into practice</w:t>
      </w:r>
      <w:r w:rsidRPr="004419B7">
        <w:rPr>
          <w:sz w:val="24"/>
          <w:szCs w:val="24"/>
          <w:shd w:val="clear" w:color="auto" w:fill="FFFFFF"/>
        </w:rPr>
        <w:t>, </w:t>
      </w:r>
      <w:r w:rsidRPr="004419B7">
        <w:rPr>
          <w:rStyle w:val="nlmpublisher-loc"/>
          <w:sz w:val="24"/>
          <w:szCs w:val="24"/>
        </w:rPr>
        <w:t>Buckingham, , UK</w:t>
      </w:r>
      <w:r w:rsidRPr="004419B7">
        <w:rPr>
          <w:sz w:val="24"/>
          <w:szCs w:val="24"/>
          <w:shd w:val="clear" w:color="auto" w:fill="FFFFFF"/>
        </w:rPr>
        <w:t>: </w:t>
      </w:r>
      <w:r w:rsidRPr="004419B7">
        <w:rPr>
          <w:rStyle w:val="nlmpublisher-name"/>
          <w:sz w:val="24"/>
          <w:szCs w:val="24"/>
        </w:rPr>
        <w:t>Open University</w:t>
      </w:r>
      <w:r w:rsidRPr="004419B7">
        <w:rPr>
          <w:sz w:val="24"/>
          <w:szCs w:val="24"/>
          <w:shd w:val="clear" w:color="auto" w:fill="FFFFFF"/>
        </w:rPr>
        <w:t>.</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Bloom, B. S.; Hastings, J. T. &amp; Madaus, G. F. (Eds.). (1971).  Handbook on the formative and summative evaluation of student learning. New York, NY: McGraw-Hill.</w:t>
      </w:r>
    </w:p>
    <w:p w:rsidR="001949F9" w:rsidRPr="004419B7" w:rsidRDefault="001949F9" w:rsidP="001949F9">
      <w:pPr>
        <w:pStyle w:val="NoSpacing"/>
        <w:rPr>
          <w:sz w:val="24"/>
          <w:szCs w:val="24"/>
        </w:rPr>
      </w:pPr>
    </w:p>
    <w:p w:rsidR="001949F9" w:rsidRPr="004419B7" w:rsidRDefault="001949F9" w:rsidP="001949F9">
      <w:pPr>
        <w:pStyle w:val="NoSpacing"/>
        <w:numPr>
          <w:ilvl w:val="0"/>
          <w:numId w:val="2"/>
        </w:numPr>
        <w:rPr>
          <w:sz w:val="24"/>
          <w:szCs w:val="24"/>
        </w:rPr>
      </w:pPr>
      <w:r w:rsidRPr="004419B7">
        <w:rPr>
          <w:sz w:val="24"/>
          <w:szCs w:val="24"/>
          <w:shd w:val="clear" w:color="auto" w:fill="FFFFFF"/>
        </w:rPr>
        <w:t>British Educational Research Association (BERA) (2011) </w:t>
      </w:r>
      <w:r w:rsidRPr="004419B7">
        <w:rPr>
          <w:rStyle w:val="Emphasis"/>
          <w:sz w:val="24"/>
          <w:szCs w:val="24"/>
          <w:shd w:val="clear" w:color="auto" w:fill="FFFFFF"/>
        </w:rPr>
        <w:t>Ethical guidelines for educational research</w:t>
      </w:r>
      <w:r w:rsidRPr="004419B7">
        <w:rPr>
          <w:sz w:val="24"/>
          <w:szCs w:val="24"/>
          <w:shd w:val="clear" w:color="auto" w:fill="FFFFFF"/>
        </w:rPr>
        <w:t>. Available at: </w:t>
      </w:r>
      <w:hyperlink r:id="rId6" w:tgtFrame="_blank" w:history="1">
        <w:r w:rsidRPr="004419B7">
          <w:rPr>
            <w:rStyle w:val="Hyperlink"/>
            <w:sz w:val="24"/>
            <w:szCs w:val="24"/>
            <w:shd w:val="clear" w:color="auto" w:fill="FFFFFF"/>
          </w:rPr>
          <w:t>https://www.bera.ac.uk/researchers-resources/publications/ethical-guidelines-for-educational-research-2011</w:t>
        </w:r>
      </w:hyperlink>
      <w:r w:rsidRPr="004419B7">
        <w:rPr>
          <w:sz w:val="24"/>
          <w:szCs w:val="24"/>
          <w:shd w:val="clear" w:color="auto" w:fill="FFFFFF"/>
        </w:rPr>
        <w:t> (Cyrchwyd: 4 Ebrill, 2018).</w:t>
      </w:r>
      <w:r w:rsidRPr="004419B7">
        <w:rPr>
          <w:sz w:val="24"/>
          <w:szCs w:val="24"/>
        </w:rPr>
        <w:t xml:space="preserve"> </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Burton, Diana and Steve Bartlett (2009). Key Issues for Education Researchers . London: SAGE.</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 xml:space="preserve">Cohen, Louis, Manion, Lawrence &amp; Keith Morrison (2008). Research Methods in Education. 6th ed. Oxon: Routledge. </w:t>
      </w:r>
    </w:p>
    <w:p w:rsidR="001949F9" w:rsidRPr="004419B7" w:rsidRDefault="001949F9" w:rsidP="001949F9">
      <w:pPr>
        <w:pStyle w:val="NoSpacing"/>
        <w:ind w:left="360"/>
        <w:rPr>
          <w:rStyle w:val="Hyperlink"/>
          <w:sz w:val="24"/>
          <w:szCs w:val="24"/>
        </w:rPr>
      </w:pPr>
    </w:p>
    <w:p w:rsidR="001949F9" w:rsidRPr="004419B7" w:rsidRDefault="001949F9" w:rsidP="001949F9">
      <w:pPr>
        <w:pStyle w:val="NoSpacing"/>
        <w:numPr>
          <w:ilvl w:val="0"/>
          <w:numId w:val="2"/>
        </w:numPr>
        <w:rPr>
          <w:sz w:val="24"/>
          <w:szCs w:val="24"/>
        </w:rPr>
      </w:pPr>
      <w:r w:rsidRPr="004419B7">
        <w:rPr>
          <w:sz w:val="24"/>
          <w:szCs w:val="24"/>
        </w:rPr>
        <w:t xml:space="preserve">Christodolou, Daisy (2016) Making Good Progress? The future of Assessment for Learning, Oxford, Oxford University Press.  </w:t>
      </w:r>
    </w:p>
    <w:p w:rsidR="001949F9" w:rsidRPr="004419B7" w:rsidRDefault="001949F9" w:rsidP="001949F9">
      <w:pPr>
        <w:pStyle w:val="NoSpacing"/>
        <w:ind w:left="360"/>
        <w:rPr>
          <w:sz w:val="24"/>
          <w:szCs w:val="24"/>
        </w:rPr>
      </w:pP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Didau, David. (2015). </w:t>
      </w:r>
      <w:r w:rsidRPr="004419B7">
        <w:rPr>
          <w:i/>
          <w:iCs/>
          <w:sz w:val="24"/>
          <w:szCs w:val="24"/>
        </w:rPr>
        <w:t>Two stars and a bloody wish!.</w:t>
      </w:r>
      <w:r w:rsidRPr="004419B7">
        <w:rPr>
          <w:sz w:val="24"/>
          <w:szCs w:val="24"/>
        </w:rPr>
        <w:t> Available: http://www.learningspy.co.uk/leadership/two-stars-and-a-bloody-wish/. (Cyrchwyd: 30ain o Ebrill, 2018)</w:t>
      </w:r>
    </w:p>
    <w:p w:rsidR="001949F9" w:rsidRPr="004419B7" w:rsidRDefault="001949F9" w:rsidP="001949F9">
      <w:pPr>
        <w:pStyle w:val="paragraph"/>
        <w:numPr>
          <w:ilvl w:val="0"/>
          <w:numId w:val="2"/>
        </w:numPr>
        <w:spacing w:before="0" w:beforeAutospacing="0" w:after="0" w:afterAutospacing="0" w:line="276" w:lineRule="auto"/>
        <w:textAlignment w:val="baseline"/>
        <w:rPr>
          <w:rStyle w:val="eop"/>
        </w:rPr>
      </w:pPr>
      <w:r w:rsidRPr="004419B7">
        <w:rPr>
          <w:rStyle w:val="normaltextrun"/>
          <w:rFonts w:eastAsiaTheme="minorEastAsia"/>
        </w:rPr>
        <w:t>Donaldson, G (2015) </w:t>
      </w:r>
      <w:r w:rsidRPr="004419B7">
        <w:rPr>
          <w:rStyle w:val="normaltextrun"/>
          <w:rFonts w:eastAsiaTheme="minorEastAsia"/>
          <w:i/>
          <w:iCs/>
        </w:rPr>
        <w:t>Dyfodol Llwyddiannus</w:t>
      </w:r>
      <w:r w:rsidRPr="004419B7">
        <w:rPr>
          <w:rStyle w:val="normaltextrun"/>
          <w:rFonts w:eastAsiaTheme="minorEastAsia"/>
        </w:rPr>
        <w:t>. OGL. [Ar-lein]. Ar gael ar:</w:t>
      </w:r>
      <w:r w:rsidRPr="004419B7">
        <w:t xml:space="preserve"> </w:t>
      </w:r>
      <w:hyperlink r:id="rId7" w:tgtFrame="_blank" w:history="1">
        <w:r w:rsidRPr="004419B7">
          <w:rPr>
            <w:rStyle w:val="normaltextrun"/>
            <w:rFonts w:eastAsiaTheme="minorEastAsia"/>
          </w:rPr>
          <w:t>http://gov.wales/docs/dcells/publications/150317-successful-futures-en.pdf</w:t>
        </w:r>
      </w:hyperlink>
      <w:r w:rsidRPr="004419B7">
        <w:rPr>
          <w:rStyle w:val="normaltextrun"/>
          <w:rFonts w:eastAsiaTheme="minorEastAsia"/>
        </w:rPr>
        <w:t> (Cyrchwyd: 1af o Fai 2018) </w:t>
      </w:r>
      <w:r w:rsidRPr="004419B7">
        <w:rPr>
          <w:rStyle w:val="eop"/>
        </w:rPr>
        <w:t> </w:t>
      </w:r>
    </w:p>
    <w:p w:rsidR="001949F9" w:rsidRPr="004419B7" w:rsidRDefault="001949F9" w:rsidP="001949F9">
      <w:pPr>
        <w:pStyle w:val="paragraph"/>
        <w:spacing w:before="0" w:beforeAutospacing="0" w:after="0" w:afterAutospacing="0" w:line="276" w:lineRule="auto"/>
        <w:ind w:left="360"/>
        <w:textAlignment w:val="baseline"/>
      </w:pPr>
    </w:p>
    <w:p w:rsidR="001949F9" w:rsidRPr="004419B7" w:rsidRDefault="001949F9" w:rsidP="001949F9">
      <w:pPr>
        <w:pStyle w:val="NoSpacing"/>
        <w:numPr>
          <w:ilvl w:val="0"/>
          <w:numId w:val="2"/>
        </w:numPr>
        <w:rPr>
          <w:sz w:val="24"/>
          <w:szCs w:val="24"/>
        </w:rPr>
      </w:pPr>
      <w:bookmarkStart w:id="2" w:name="_Hlk513980615"/>
      <w:r w:rsidRPr="004419B7">
        <w:rPr>
          <w:sz w:val="24"/>
          <w:szCs w:val="24"/>
        </w:rPr>
        <w:lastRenderedPageBreak/>
        <w:t>Dr. Ismail Elmahdi</w:t>
      </w:r>
      <w:bookmarkEnd w:id="2"/>
      <w:r w:rsidRPr="004419B7">
        <w:rPr>
          <w:sz w:val="24"/>
          <w:szCs w:val="24"/>
        </w:rPr>
        <w:t xml:space="preserve">, Dr. Abdulghani Al-Hattami &amp; Dr. Hala Fawzi . (2018). Using Technology for Formative Assessment to Improve Students’ Learning. The Turkish Online Journal of Educational Technology. 17 (2), 192-198. </w:t>
      </w:r>
    </w:p>
    <w:p w:rsidR="001949F9" w:rsidRPr="004419B7" w:rsidRDefault="001949F9" w:rsidP="001949F9">
      <w:pPr>
        <w:pStyle w:val="NoSpacing"/>
        <w:ind w:left="360"/>
        <w:rPr>
          <w:sz w:val="24"/>
          <w:szCs w:val="24"/>
        </w:rPr>
      </w:pP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Dudley, Edmund &amp; Erika Osváth (2016). </w:t>
      </w:r>
      <w:r w:rsidRPr="004419B7">
        <w:rPr>
          <w:i/>
          <w:iCs/>
          <w:sz w:val="24"/>
          <w:szCs w:val="24"/>
        </w:rPr>
        <w:t>Mixed Ability Teaching - Into the Classroom</w:t>
      </w:r>
      <w:r w:rsidRPr="004419B7">
        <w:rPr>
          <w:sz w:val="24"/>
          <w:szCs w:val="24"/>
        </w:rPr>
        <w:t>. Oxford: Oxford University Press .</w:t>
      </w:r>
    </w:p>
    <w:p w:rsidR="001949F9" w:rsidRPr="004419B7" w:rsidRDefault="001949F9" w:rsidP="001949F9">
      <w:pPr>
        <w:pStyle w:val="NoSpacing"/>
        <w:numPr>
          <w:ilvl w:val="0"/>
          <w:numId w:val="2"/>
        </w:numPr>
        <w:rPr>
          <w:sz w:val="24"/>
          <w:szCs w:val="24"/>
        </w:rPr>
      </w:pPr>
      <w:r w:rsidRPr="004419B7">
        <w:rPr>
          <w:sz w:val="24"/>
          <w:szCs w:val="24"/>
        </w:rPr>
        <w:t>Dweck, C.S. (2006). Mindset: The new psychology of success. New York: Balantine Books.</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 xml:space="preserve">ESTYN. (2015). Adroddiad ar Ysgol A . Ar gael yn ddigidol o:. </w:t>
      </w:r>
      <w:hyperlink r:id="rId8" w:history="1">
        <w:r w:rsidRPr="004419B7">
          <w:rPr>
            <w:rStyle w:val="Hyperlink"/>
            <w:sz w:val="24"/>
            <w:szCs w:val="24"/>
          </w:rPr>
          <w:t>https://www.estyn.gov.wales/sites/default/files/documents/Ysgol%20Gyfun%20Gwyr%20eng.pdf</w:t>
        </w:r>
      </w:hyperlink>
      <w:r w:rsidRPr="004419B7">
        <w:rPr>
          <w:sz w:val="24"/>
          <w:szCs w:val="24"/>
        </w:rPr>
        <w:t xml:space="preserve">  Cyrchwyd: 14/04/18.</w:t>
      </w:r>
    </w:p>
    <w:p w:rsidR="001949F9" w:rsidRPr="004419B7" w:rsidRDefault="001949F9" w:rsidP="001949F9">
      <w:pPr>
        <w:pStyle w:val="NoSpacing"/>
        <w:ind w:left="360"/>
        <w:rPr>
          <w:sz w:val="24"/>
          <w:szCs w:val="24"/>
        </w:rPr>
      </w:pPr>
    </w:p>
    <w:p w:rsidR="001949F9" w:rsidRDefault="001949F9" w:rsidP="001949F9">
      <w:pPr>
        <w:pStyle w:val="NoSpacing"/>
        <w:numPr>
          <w:ilvl w:val="0"/>
          <w:numId w:val="2"/>
        </w:numPr>
        <w:rPr>
          <w:sz w:val="24"/>
          <w:szCs w:val="24"/>
        </w:rPr>
      </w:pPr>
      <w:r w:rsidRPr="004419B7">
        <w:rPr>
          <w:sz w:val="24"/>
          <w:szCs w:val="24"/>
        </w:rPr>
        <w:t>Fletcher-Wood, Harry. (2016). Using exit tickets to assess and plan: 'The tuning fork of teaching'. Available: https://improvingteaching.co.uk/2016/04/24/exit-tickets-assess-plan/.(Cyrchwyd: 17 Ebrill, 2018)</w:t>
      </w:r>
    </w:p>
    <w:p w:rsidR="001949F9" w:rsidRPr="004419B7" w:rsidRDefault="001949F9" w:rsidP="001949F9">
      <w:pPr>
        <w:pStyle w:val="NoSpacing"/>
        <w:rPr>
          <w:sz w:val="24"/>
          <w:szCs w:val="24"/>
        </w:rPr>
      </w:pP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Fusco, Esther (2012). </w:t>
      </w:r>
      <w:r w:rsidRPr="004419B7">
        <w:rPr>
          <w:i/>
          <w:iCs/>
          <w:sz w:val="24"/>
          <w:szCs w:val="24"/>
        </w:rPr>
        <w:t>Effective Questioning Strategies in the Classroom: A Step-by-Step Approach to Engaged Thinking and Learning</w:t>
      </w:r>
      <w:r w:rsidRPr="004419B7">
        <w:rPr>
          <w:sz w:val="24"/>
          <w:szCs w:val="24"/>
        </w:rPr>
        <w:t>. New York: Teacher's College Press</w:t>
      </w: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Gardener, John. (2012).Assessment and Learning: An Introduction. In: Gardner, John Assessment and Learning. 2nd ed. London: SAGE. 1-8</w:t>
      </w:r>
    </w:p>
    <w:p w:rsidR="001949F9" w:rsidRPr="004419B7" w:rsidRDefault="001949F9" w:rsidP="001949F9">
      <w:pPr>
        <w:pStyle w:val="NoSpacing"/>
        <w:numPr>
          <w:ilvl w:val="0"/>
          <w:numId w:val="2"/>
        </w:numPr>
        <w:rPr>
          <w:sz w:val="24"/>
          <w:szCs w:val="24"/>
        </w:rPr>
      </w:pPr>
      <w:bookmarkStart w:id="3" w:name="_Hlk513464800"/>
      <w:r w:rsidRPr="004419B7">
        <w:rPr>
          <w:sz w:val="24"/>
          <w:szCs w:val="24"/>
        </w:rPr>
        <w:t>Guskey, Thomas R. and McTighe</w:t>
      </w:r>
      <w:bookmarkEnd w:id="3"/>
      <w:r w:rsidRPr="004419B7">
        <w:rPr>
          <w:sz w:val="24"/>
          <w:szCs w:val="24"/>
        </w:rPr>
        <w:t>, Jay, "PRE-ASSESSMENT: Promises and Cautions" (2016). Educational, School, and Counseling Psychology Faculty Publications. 17</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Harlen, Wynne. (2012). The Role of Assessment in Developing Motivation for Learning . In: Gardner, John Assessment and Learning. 2nd ed. London: SAGE. 171-184.</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rStyle w:val="pagerange"/>
          <w:sz w:val="24"/>
          <w:szCs w:val="24"/>
          <w:shd w:val="clear" w:color="auto" w:fill="FFFFFF"/>
        </w:rPr>
      </w:pPr>
      <w:r w:rsidRPr="004419B7">
        <w:rPr>
          <w:rStyle w:val="authors"/>
          <w:sz w:val="24"/>
          <w:szCs w:val="24"/>
          <w:shd w:val="clear" w:color="auto" w:fill="FFFFFF"/>
        </w:rPr>
        <w:t>Harry Torrance</w:t>
      </w:r>
      <w:r w:rsidRPr="004419B7">
        <w:rPr>
          <w:sz w:val="24"/>
          <w:szCs w:val="24"/>
          <w:shd w:val="clear" w:color="auto" w:fill="FFFFFF"/>
        </w:rPr>
        <w:t> </w:t>
      </w:r>
      <w:r w:rsidRPr="004419B7">
        <w:rPr>
          <w:rStyle w:val="Date1"/>
          <w:sz w:val="24"/>
          <w:szCs w:val="24"/>
          <w:shd w:val="clear" w:color="auto" w:fill="FFFFFF"/>
        </w:rPr>
        <w:t>(2012)</w:t>
      </w:r>
      <w:r w:rsidRPr="004419B7">
        <w:rPr>
          <w:sz w:val="24"/>
          <w:szCs w:val="24"/>
          <w:shd w:val="clear" w:color="auto" w:fill="FFFFFF"/>
        </w:rPr>
        <w:t> </w:t>
      </w:r>
      <w:r w:rsidRPr="004419B7">
        <w:rPr>
          <w:rStyle w:val="arttitle"/>
          <w:sz w:val="24"/>
          <w:szCs w:val="24"/>
          <w:shd w:val="clear" w:color="auto" w:fill="FFFFFF"/>
        </w:rPr>
        <w:t>Formative assessment at the crossroads: conformative, deformative and transformative assessment,</w:t>
      </w:r>
      <w:r w:rsidRPr="004419B7">
        <w:rPr>
          <w:sz w:val="24"/>
          <w:szCs w:val="24"/>
          <w:shd w:val="clear" w:color="auto" w:fill="FFFFFF"/>
        </w:rPr>
        <w:t> </w:t>
      </w:r>
      <w:r w:rsidRPr="004419B7">
        <w:rPr>
          <w:rStyle w:val="serialtitle"/>
          <w:sz w:val="24"/>
          <w:szCs w:val="24"/>
          <w:shd w:val="clear" w:color="auto" w:fill="FFFFFF"/>
        </w:rPr>
        <w:t>Oxford Review of Education,</w:t>
      </w:r>
      <w:r w:rsidRPr="004419B7">
        <w:rPr>
          <w:sz w:val="24"/>
          <w:szCs w:val="24"/>
          <w:shd w:val="clear" w:color="auto" w:fill="FFFFFF"/>
        </w:rPr>
        <w:t> </w:t>
      </w:r>
      <w:r w:rsidRPr="004419B7">
        <w:rPr>
          <w:rStyle w:val="volumeissue"/>
          <w:sz w:val="24"/>
          <w:szCs w:val="24"/>
          <w:shd w:val="clear" w:color="auto" w:fill="FFFFFF"/>
        </w:rPr>
        <w:t>38:3,</w:t>
      </w:r>
      <w:r w:rsidRPr="004419B7">
        <w:rPr>
          <w:sz w:val="24"/>
          <w:szCs w:val="24"/>
          <w:shd w:val="clear" w:color="auto" w:fill="FFFFFF"/>
        </w:rPr>
        <w:t> </w:t>
      </w:r>
      <w:r w:rsidRPr="004419B7">
        <w:rPr>
          <w:rStyle w:val="pagerange"/>
          <w:sz w:val="24"/>
          <w:szCs w:val="24"/>
          <w:shd w:val="clear" w:color="auto" w:fill="FFFFFF"/>
        </w:rPr>
        <w:t>323-342</w:t>
      </w:r>
    </w:p>
    <w:p w:rsidR="001949F9" w:rsidRPr="004419B7" w:rsidRDefault="001949F9" w:rsidP="001949F9">
      <w:pPr>
        <w:pStyle w:val="NoSpacing"/>
        <w:ind w:left="360"/>
        <w:rPr>
          <w:rStyle w:val="pagerange"/>
          <w:sz w:val="24"/>
          <w:szCs w:val="24"/>
          <w:shd w:val="clear" w:color="auto" w:fill="FFFFFF"/>
        </w:rPr>
      </w:pPr>
    </w:p>
    <w:p w:rsidR="001949F9" w:rsidRPr="004419B7" w:rsidRDefault="001949F9" w:rsidP="001949F9">
      <w:pPr>
        <w:pStyle w:val="NoSpacing"/>
        <w:numPr>
          <w:ilvl w:val="0"/>
          <w:numId w:val="2"/>
        </w:numPr>
        <w:rPr>
          <w:rStyle w:val="Subtitle2"/>
          <w:bCs/>
          <w:sz w:val="24"/>
          <w:szCs w:val="24"/>
        </w:rPr>
      </w:pPr>
      <w:r w:rsidRPr="004419B7">
        <w:rPr>
          <w:sz w:val="24"/>
          <w:szCs w:val="24"/>
        </w:rPr>
        <w:t xml:space="preserve">Hattie, John, (2012) </w:t>
      </w:r>
      <w:r w:rsidRPr="004419B7">
        <w:rPr>
          <w:rStyle w:val="fn"/>
          <w:sz w:val="24"/>
          <w:szCs w:val="24"/>
        </w:rPr>
        <w:t>Visible Learning for Teachers</w:t>
      </w:r>
      <w:r w:rsidRPr="004419B7">
        <w:rPr>
          <w:sz w:val="24"/>
          <w:szCs w:val="24"/>
        </w:rPr>
        <w:t>: </w:t>
      </w:r>
      <w:r w:rsidRPr="004419B7">
        <w:rPr>
          <w:rStyle w:val="Subtitle2"/>
          <w:bCs/>
          <w:sz w:val="24"/>
          <w:szCs w:val="24"/>
        </w:rPr>
        <w:t xml:space="preserve">Maximizing Impact on Learning, Oxon, Routledge. </w:t>
      </w:r>
    </w:p>
    <w:p w:rsidR="001949F9" w:rsidRPr="004419B7" w:rsidRDefault="001949F9" w:rsidP="001949F9">
      <w:pPr>
        <w:pStyle w:val="NoSpacing"/>
        <w:ind w:left="360"/>
        <w:rPr>
          <w:rStyle w:val="Subtitle2"/>
          <w:bCs/>
          <w:sz w:val="24"/>
          <w:szCs w:val="24"/>
        </w:rPr>
      </w:pPr>
    </w:p>
    <w:p w:rsidR="001949F9" w:rsidRPr="004419B7" w:rsidRDefault="001949F9" w:rsidP="001949F9">
      <w:pPr>
        <w:pStyle w:val="NoSpacing"/>
        <w:numPr>
          <w:ilvl w:val="0"/>
          <w:numId w:val="2"/>
        </w:numPr>
        <w:rPr>
          <w:sz w:val="24"/>
          <w:szCs w:val="24"/>
        </w:rPr>
      </w:pPr>
      <w:r w:rsidRPr="004419B7">
        <w:rPr>
          <w:sz w:val="24"/>
          <w:szCs w:val="24"/>
        </w:rPr>
        <w:t>Hayward, Louise . (2012). Assessment and Learning: The Learner's Perspective . In: Gardner, John Assessment and Learning. 2nd ed. London: SAGE. 125-139.</w:t>
      </w:r>
    </w:p>
    <w:p w:rsidR="001949F9" w:rsidRPr="004419B7" w:rsidRDefault="001949F9" w:rsidP="001949F9">
      <w:pPr>
        <w:pStyle w:val="paragraph"/>
        <w:spacing w:before="0" w:beforeAutospacing="0" w:after="0" w:afterAutospacing="0" w:line="276" w:lineRule="auto"/>
        <w:textAlignment w:val="baseline"/>
        <w:rPr>
          <w:rFonts w:eastAsiaTheme="minorHAnsi"/>
          <w:lang w:val="cy-GB" w:eastAsia="en-US"/>
        </w:rPr>
      </w:pPr>
    </w:p>
    <w:p w:rsidR="001949F9" w:rsidRPr="004419B7" w:rsidRDefault="001949F9" w:rsidP="001949F9">
      <w:pPr>
        <w:pStyle w:val="paragraph"/>
        <w:numPr>
          <w:ilvl w:val="0"/>
          <w:numId w:val="2"/>
        </w:numPr>
        <w:spacing w:before="0" w:beforeAutospacing="0" w:after="0" w:afterAutospacing="0" w:line="276" w:lineRule="auto"/>
        <w:textAlignment w:val="baseline"/>
        <w:rPr>
          <w:shd w:val="clear" w:color="auto" w:fill="FFFFFF"/>
        </w:rPr>
      </w:pPr>
      <w:r w:rsidRPr="004419B7">
        <w:rPr>
          <w:shd w:val="clear" w:color="auto" w:fill="FFFFFF"/>
        </w:rPr>
        <w:t>Jick, T.D. (1979) Mixing Qualitative and Quantitative Methods: Triangulation in Action. Administrative Science Quarterly, 24, 602-611</w:t>
      </w:r>
    </w:p>
    <w:p w:rsidR="001949F9" w:rsidRPr="004419B7" w:rsidRDefault="001949F9" w:rsidP="001949F9">
      <w:pPr>
        <w:pStyle w:val="paragraph"/>
        <w:spacing w:before="0" w:beforeAutospacing="0" w:after="0" w:afterAutospacing="0" w:line="276" w:lineRule="auto"/>
        <w:textAlignment w:val="baseline"/>
      </w:pPr>
    </w:p>
    <w:p w:rsidR="001949F9" w:rsidRPr="004419B7" w:rsidRDefault="001949F9" w:rsidP="001949F9">
      <w:pPr>
        <w:pStyle w:val="NoSpacing"/>
        <w:numPr>
          <w:ilvl w:val="0"/>
          <w:numId w:val="2"/>
        </w:numPr>
        <w:rPr>
          <w:sz w:val="24"/>
          <w:szCs w:val="24"/>
        </w:rPr>
      </w:pPr>
      <w:hyperlink r:id="rId9" w:history="1">
        <w:r w:rsidRPr="004419B7">
          <w:rPr>
            <w:rStyle w:val="Hyperlink"/>
            <w:sz w:val="24"/>
            <w:szCs w:val="24"/>
          </w:rPr>
          <w:t>Jim Knight</w:t>
        </w:r>
      </w:hyperlink>
      <w:r w:rsidRPr="004419B7">
        <w:rPr>
          <w:sz w:val="24"/>
          <w:szCs w:val="24"/>
        </w:rPr>
        <w:t xml:space="preserve"> (2017) </w:t>
      </w:r>
      <w:r w:rsidRPr="004419B7">
        <w:rPr>
          <w:rStyle w:val="fn"/>
          <w:sz w:val="24"/>
          <w:szCs w:val="24"/>
        </w:rPr>
        <w:t>The Impact Cycle</w:t>
      </w:r>
      <w:r w:rsidRPr="004419B7">
        <w:rPr>
          <w:sz w:val="24"/>
          <w:szCs w:val="24"/>
        </w:rPr>
        <w:t>: </w:t>
      </w:r>
      <w:r w:rsidRPr="004419B7">
        <w:rPr>
          <w:rStyle w:val="Subtitle1"/>
          <w:sz w:val="24"/>
          <w:szCs w:val="24"/>
        </w:rPr>
        <w:t xml:space="preserve">What Instructional Coaches Should Do to Foster Powerful Improvements in Teaching </w:t>
      </w:r>
      <w:r w:rsidRPr="004419B7">
        <w:rPr>
          <w:sz w:val="24"/>
          <w:szCs w:val="24"/>
        </w:rPr>
        <w:t xml:space="preserve">Corwin Press,  </w:t>
      </w:r>
    </w:p>
    <w:p w:rsidR="001949F9" w:rsidRPr="004419B7" w:rsidRDefault="001949F9" w:rsidP="001949F9">
      <w:pPr>
        <w:pStyle w:val="NoSpacing"/>
        <w:ind w:left="360"/>
        <w:rPr>
          <w:sz w:val="24"/>
          <w:szCs w:val="24"/>
        </w:rPr>
      </w:pPr>
    </w:p>
    <w:p w:rsidR="001949F9" w:rsidRDefault="001949F9" w:rsidP="001949F9">
      <w:pPr>
        <w:pStyle w:val="NoSpacing"/>
        <w:numPr>
          <w:ilvl w:val="0"/>
          <w:numId w:val="2"/>
        </w:numPr>
        <w:rPr>
          <w:sz w:val="24"/>
          <w:szCs w:val="24"/>
        </w:rPr>
      </w:pPr>
      <w:r w:rsidRPr="004419B7">
        <w:rPr>
          <w:sz w:val="24"/>
          <w:szCs w:val="24"/>
        </w:rPr>
        <w:t>Jones, Cheryl A. (2005). Assessment for Learning. London: Learning and Skills Development Agency.</w:t>
      </w:r>
    </w:p>
    <w:p w:rsidR="001949F9" w:rsidRPr="004419B7" w:rsidRDefault="001949F9" w:rsidP="001949F9">
      <w:pPr>
        <w:pStyle w:val="NoSpacing"/>
        <w:rPr>
          <w:sz w:val="24"/>
          <w:szCs w:val="24"/>
        </w:rPr>
      </w:pP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La Barge, G.. (2007). Pre and Post-Testing with More Impact. </w:t>
      </w:r>
      <w:r w:rsidRPr="004419B7">
        <w:rPr>
          <w:i/>
          <w:iCs/>
          <w:sz w:val="24"/>
          <w:szCs w:val="24"/>
        </w:rPr>
        <w:t>Journal of Extension </w:t>
      </w:r>
      <w:r w:rsidRPr="004419B7">
        <w:rPr>
          <w:sz w:val="24"/>
          <w:szCs w:val="24"/>
        </w:rPr>
        <w:t>. 45 (6)</w:t>
      </w:r>
    </w:p>
    <w:p w:rsidR="001949F9" w:rsidRPr="004419B7" w:rsidRDefault="001949F9" w:rsidP="001949F9">
      <w:pPr>
        <w:pStyle w:val="NoSpacing"/>
        <w:numPr>
          <w:ilvl w:val="0"/>
          <w:numId w:val="2"/>
        </w:numPr>
        <w:rPr>
          <w:sz w:val="24"/>
          <w:szCs w:val="24"/>
          <w:shd w:val="clear" w:color="auto" w:fill="FFFFFF"/>
        </w:rPr>
      </w:pPr>
      <w:r w:rsidRPr="004419B7">
        <w:rPr>
          <w:sz w:val="24"/>
          <w:szCs w:val="24"/>
        </w:rPr>
        <w:t xml:space="preserve">Lemov. D  </w:t>
      </w:r>
      <w:r w:rsidRPr="004419B7">
        <w:rPr>
          <w:caps/>
          <w:sz w:val="24"/>
          <w:szCs w:val="24"/>
        </w:rPr>
        <w:t>EXIT TICKETS THAT ENCOURAGE SELF-REFLECTION</w:t>
      </w:r>
      <w:r w:rsidRPr="004419B7">
        <w:rPr>
          <w:sz w:val="24"/>
          <w:szCs w:val="24"/>
          <w:shd w:val="clear" w:color="auto" w:fill="FFFFFF"/>
        </w:rPr>
        <w:t>. (2015). [Blog] DOUG LEMOV'S FIELD NOTES : Reflections on teaching, literacy, coaching, and practice.. Available at: http://teachlikeachampion.com/blog/upon-reflection-exit-tickets/ [Accessed 10 Apr. 2018].</w:t>
      </w:r>
    </w:p>
    <w:p w:rsidR="001949F9" w:rsidRPr="004419B7" w:rsidRDefault="001949F9" w:rsidP="001949F9">
      <w:pPr>
        <w:pStyle w:val="NoSpacing"/>
        <w:ind w:left="360"/>
        <w:rPr>
          <w:sz w:val="24"/>
          <w:szCs w:val="24"/>
          <w:shd w:val="clear" w:color="auto" w:fill="FFFFFF"/>
        </w:rPr>
      </w:pPr>
    </w:p>
    <w:p w:rsidR="001949F9" w:rsidRPr="004419B7" w:rsidRDefault="001949F9" w:rsidP="001949F9">
      <w:pPr>
        <w:pStyle w:val="NoSpacing"/>
        <w:numPr>
          <w:ilvl w:val="0"/>
          <w:numId w:val="2"/>
        </w:numPr>
        <w:rPr>
          <w:sz w:val="24"/>
          <w:szCs w:val="24"/>
        </w:rPr>
      </w:pPr>
      <w:r w:rsidRPr="004419B7">
        <w:rPr>
          <w:sz w:val="24"/>
          <w:szCs w:val="24"/>
        </w:rPr>
        <w:t>Lemov. D (2015). Teach Like a Champion 2.0: 62 Techniques that Put Students on the Path to College. San Fransisco: Jossey-Bass</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shd w:val="clear" w:color="auto" w:fill="FFFFFF"/>
        </w:rPr>
      </w:pPr>
      <w:r w:rsidRPr="004419B7">
        <w:rPr>
          <w:sz w:val="24"/>
          <w:szCs w:val="24"/>
        </w:rPr>
        <w:t xml:space="preserve">Lemov. D, </w:t>
      </w:r>
      <w:r w:rsidRPr="004419B7">
        <w:rPr>
          <w:caps/>
          <w:sz w:val="24"/>
          <w:szCs w:val="24"/>
          <w:lang w:eastAsia="en-GB"/>
        </w:rPr>
        <w:t>EVEN MORE ON ANALYZING EXIT TICKETS</w:t>
      </w:r>
      <w:r w:rsidRPr="004419B7">
        <w:rPr>
          <w:sz w:val="24"/>
          <w:szCs w:val="24"/>
          <w:shd w:val="clear" w:color="auto" w:fill="FFFFFF"/>
        </w:rPr>
        <w:t>. (2014). [Blog] DOUG LEMOV'S FIELD NOTES : Reflections on teaching, literacy, coaching, and practice.. Available at: http://teachlikeachampion.com/blog/even-analyzing-exit-tickets/ [Accessed 10 Apr. 2018].</w:t>
      </w:r>
    </w:p>
    <w:p w:rsidR="001949F9" w:rsidRPr="004419B7" w:rsidRDefault="001949F9" w:rsidP="001949F9">
      <w:pPr>
        <w:pStyle w:val="NoSpacing"/>
        <w:ind w:left="360"/>
        <w:rPr>
          <w:sz w:val="24"/>
          <w:szCs w:val="24"/>
          <w:shd w:val="clear" w:color="auto" w:fill="FFFFFF"/>
        </w:rPr>
      </w:pPr>
    </w:p>
    <w:p w:rsidR="001949F9" w:rsidRPr="004419B7" w:rsidRDefault="001949F9" w:rsidP="001949F9">
      <w:pPr>
        <w:pStyle w:val="NoSpacing"/>
        <w:numPr>
          <w:ilvl w:val="0"/>
          <w:numId w:val="2"/>
        </w:numPr>
        <w:rPr>
          <w:sz w:val="24"/>
          <w:szCs w:val="24"/>
          <w:shd w:val="clear" w:color="auto" w:fill="FFFFFF"/>
        </w:rPr>
      </w:pPr>
      <w:r w:rsidRPr="004419B7">
        <w:rPr>
          <w:sz w:val="24"/>
          <w:szCs w:val="24"/>
        </w:rPr>
        <w:t xml:space="preserve">Lemov. D, </w:t>
      </w:r>
      <w:r w:rsidRPr="004419B7">
        <w:rPr>
          <w:sz w:val="24"/>
          <w:szCs w:val="24"/>
          <w:shd w:val="clear" w:color="auto" w:fill="FFFFFF"/>
        </w:rPr>
        <w:t>UPON FURTHER REFLECTION: EXIT TICKETS. (2014). [Blog] DOUG LEMOV'S FIELD NOTES : Reflections on teaching, literacy, coaching, and practice.. Available at: http://teachlikeachampion.com/blog/upon-reflection-exit-tickets/ [Accessed 10 Apr. 2018].</w:t>
      </w:r>
    </w:p>
    <w:p w:rsidR="001949F9" w:rsidRPr="004419B7" w:rsidRDefault="001949F9" w:rsidP="001949F9">
      <w:pPr>
        <w:pStyle w:val="NoSpacing"/>
        <w:ind w:left="360"/>
        <w:rPr>
          <w:sz w:val="24"/>
          <w:szCs w:val="24"/>
          <w:shd w:val="clear" w:color="auto" w:fill="FFFFFF"/>
        </w:rPr>
      </w:pPr>
    </w:p>
    <w:p w:rsidR="001949F9" w:rsidRPr="004419B7" w:rsidRDefault="001949F9" w:rsidP="001949F9">
      <w:pPr>
        <w:pStyle w:val="NoSpacing"/>
        <w:numPr>
          <w:ilvl w:val="0"/>
          <w:numId w:val="2"/>
        </w:numPr>
        <w:rPr>
          <w:rStyle w:val="normaltextrun"/>
          <w:sz w:val="24"/>
          <w:szCs w:val="24"/>
        </w:rPr>
      </w:pPr>
      <w:r w:rsidRPr="004419B7">
        <w:rPr>
          <w:sz w:val="24"/>
          <w:szCs w:val="24"/>
        </w:rPr>
        <w:t>Llywodraeth Cymru . (2009). Safonau Statws Athro Cymwysedig Cymru 2009 http://gov.wales/legislation/subordinate/nonsi/educationwales/2009/3220099/?skip=1&amp;lang=cy.</w:t>
      </w:r>
      <w:r w:rsidRPr="004419B7">
        <w:rPr>
          <w:rStyle w:val="normaltextrun"/>
          <w:sz w:val="24"/>
          <w:szCs w:val="24"/>
        </w:rPr>
        <w:t xml:space="preserve"> (Ymwelwyd: 15fed o Ebrill 2018)</w:t>
      </w:r>
    </w:p>
    <w:p w:rsidR="001949F9" w:rsidRPr="004419B7" w:rsidRDefault="001949F9" w:rsidP="001949F9">
      <w:pPr>
        <w:pStyle w:val="NoSpacing"/>
        <w:ind w:left="360"/>
        <w:rPr>
          <w:rStyle w:val="normaltextrun"/>
          <w:sz w:val="24"/>
          <w:szCs w:val="24"/>
        </w:rPr>
      </w:pPr>
    </w:p>
    <w:p w:rsidR="001949F9" w:rsidRPr="004419B7" w:rsidRDefault="001949F9" w:rsidP="001949F9">
      <w:pPr>
        <w:pStyle w:val="NoSpacing"/>
        <w:numPr>
          <w:ilvl w:val="0"/>
          <w:numId w:val="2"/>
        </w:numPr>
        <w:rPr>
          <w:rStyle w:val="normaltextrun"/>
          <w:sz w:val="24"/>
          <w:szCs w:val="24"/>
        </w:rPr>
      </w:pPr>
      <w:r w:rsidRPr="004419B7">
        <w:rPr>
          <w:sz w:val="24"/>
          <w:szCs w:val="24"/>
        </w:rPr>
        <w:t>Llywodraeth Cynulliad Cymru (2008) “</w:t>
      </w:r>
      <w:r w:rsidRPr="004419B7">
        <w:rPr>
          <w:spacing w:val="-12"/>
          <w:sz w:val="24"/>
          <w:szCs w:val="24"/>
        </w:rPr>
        <w:t xml:space="preserve">Fframwaith enghreifftiol cenedlaethol ar gyfer cyflwyno addysg grefyddol i ddysgwyr 3 i 19 oed yng Nghymru </w:t>
      </w:r>
      <w:r w:rsidRPr="004419B7">
        <w:rPr>
          <w:sz w:val="24"/>
          <w:szCs w:val="24"/>
        </w:rPr>
        <w:t>” [www] http://learning.gov.wales/docs/learningwales/publications/130426-re-national-exemplar-framework-cy-v2.pdf</w:t>
      </w:r>
      <w:r w:rsidRPr="004419B7">
        <w:rPr>
          <w:rStyle w:val="normaltextrun"/>
          <w:sz w:val="24"/>
          <w:szCs w:val="24"/>
        </w:rPr>
        <w:t xml:space="preserve"> (Cyrchwyd: 18eg o Fawrth 2018)</w:t>
      </w:r>
    </w:p>
    <w:p w:rsidR="001949F9" w:rsidRPr="004419B7" w:rsidRDefault="001949F9" w:rsidP="001949F9">
      <w:pPr>
        <w:pStyle w:val="NoSpacing"/>
        <w:ind w:left="360"/>
        <w:rPr>
          <w:spacing w:val="-12"/>
          <w:sz w:val="24"/>
          <w:szCs w:val="24"/>
        </w:rPr>
      </w:pPr>
    </w:p>
    <w:p w:rsidR="001949F9" w:rsidRPr="004419B7" w:rsidRDefault="001949F9" w:rsidP="001949F9">
      <w:pPr>
        <w:pStyle w:val="NoSpacing"/>
        <w:numPr>
          <w:ilvl w:val="0"/>
          <w:numId w:val="2"/>
        </w:numPr>
        <w:rPr>
          <w:rStyle w:val="normaltextrun"/>
          <w:sz w:val="24"/>
          <w:szCs w:val="24"/>
        </w:rPr>
      </w:pPr>
      <w:r w:rsidRPr="004419B7">
        <w:rPr>
          <w:sz w:val="24"/>
          <w:szCs w:val="24"/>
        </w:rPr>
        <w:t xml:space="preserve">Llywodraeth Cynulliad Cymru (2010) </w:t>
      </w:r>
      <w:bookmarkStart w:id="4" w:name="_Hlk513973452"/>
      <w:r w:rsidRPr="004419B7">
        <w:rPr>
          <w:sz w:val="24"/>
          <w:szCs w:val="24"/>
        </w:rPr>
        <w:t xml:space="preserve">Sut i ddatblygu meddwl ac asesu ar gyfer dysgu yn yr ystafell ddosbarth </w:t>
      </w:r>
      <w:bookmarkEnd w:id="4"/>
      <w:r w:rsidRPr="004419B7">
        <w:rPr>
          <w:sz w:val="24"/>
          <w:szCs w:val="24"/>
        </w:rPr>
        <w:t xml:space="preserve">[www] http://wales.gov.uk/docs/dcells/publications/110111howtodevelopeen.pdf </w:t>
      </w:r>
      <w:r w:rsidRPr="004419B7">
        <w:rPr>
          <w:rStyle w:val="normaltextrun"/>
          <w:sz w:val="24"/>
          <w:szCs w:val="24"/>
        </w:rPr>
        <w:t>(Ymwelwyd: 10fed o Fawrth, 2018)</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lang w:eastAsia="en-GB"/>
        </w:rPr>
      </w:pPr>
      <w:r w:rsidRPr="004419B7">
        <w:rPr>
          <w:sz w:val="24"/>
          <w:szCs w:val="24"/>
        </w:rPr>
        <w:t xml:space="preserve">Madden, Jake (2017) Teachers Teaching Teachers How teacher learning iproves student learning </w:t>
      </w:r>
      <w:r w:rsidRPr="004419B7">
        <w:rPr>
          <w:sz w:val="24"/>
          <w:szCs w:val="24"/>
          <w:lang w:eastAsia="en-GB"/>
        </w:rPr>
        <w:t>Sydney, N.S.W. Oxford Global Press.</w:t>
      </w:r>
    </w:p>
    <w:p w:rsidR="001949F9" w:rsidRPr="004419B7" w:rsidRDefault="001949F9" w:rsidP="001949F9">
      <w:pPr>
        <w:pStyle w:val="NoSpacing"/>
        <w:ind w:left="360" w:firstLine="60"/>
        <w:rPr>
          <w:sz w:val="24"/>
          <w:szCs w:val="24"/>
          <w:lang w:eastAsia="en-GB"/>
        </w:rPr>
      </w:pPr>
    </w:p>
    <w:p w:rsidR="001949F9" w:rsidRPr="004419B7" w:rsidRDefault="001949F9" w:rsidP="001949F9">
      <w:pPr>
        <w:pStyle w:val="NoSpacing"/>
        <w:numPr>
          <w:ilvl w:val="0"/>
          <w:numId w:val="2"/>
        </w:numPr>
        <w:rPr>
          <w:sz w:val="24"/>
          <w:szCs w:val="24"/>
        </w:rPr>
      </w:pPr>
      <w:hyperlink r:id="rId10" w:history="1">
        <w:r w:rsidRPr="004419B7">
          <w:rPr>
            <w:rStyle w:val="Hyperlink"/>
            <w:sz w:val="24"/>
            <w:szCs w:val="24"/>
          </w:rPr>
          <w:t>Marcel Danesi</w:t>
        </w:r>
      </w:hyperlink>
      <w:r w:rsidRPr="004419B7">
        <w:rPr>
          <w:sz w:val="24"/>
          <w:szCs w:val="24"/>
        </w:rPr>
        <w:t xml:space="preserve"> (2016) </w:t>
      </w:r>
      <w:r w:rsidRPr="004419B7">
        <w:rPr>
          <w:rStyle w:val="fn"/>
          <w:sz w:val="24"/>
          <w:szCs w:val="24"/>
        </w:rPr>
        <w:t xml:space="preserve">The Semiotics of </w:t>
      </w:r>
      <w:r>
        <w:rPr>
          <w:rStyle w:val="fn"/>
          <w:sz w:val="24"/>
          <w:szCs w:val="24"/>
        </w:rPr>
        <w:t>‘emoji’</w:t>
      </w:r>
      <w:r w:rsidRPr="004419B7">
        <w:rPr>
          <w:sz w:val="24"/>
          <w:szCs w:val="24"/>
        </w:rPr>
        <w:t>: </w:t>
      </w:r>
      <w:r w:rsidRPr="004419B7">
        <w:rPr>
          <w:rStyle w:val="Subtitle1"/>
          <w:sz w:val="24"/>
          <w:szCs w:val="24"/>
        </w:rPr>
        <w:t xml:space="preserve">The Rise of Visual Language in the Age of the Internet  </w:t>
      </w:r>
      <w:r w:rsidRPr="004419B7">
        <w:rPr>
          <w:sz w:val="24"/>
          <w:szCs w:val="24"/>
        </w:rPr>
        <w:t>Bloomsbury Publishing, </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kern w:val="36"/>
          <w:sz w:val="24"/>
          <w:szCs w:val="24"/>
        </w:rPr>
      </w:pPr>
      <w:r w:rsidRPr="004419B7">
        <w:rPr>
          <w:sz w:val="24"/>
          <w:szCs w:val="24"/>
        </w:rPr>
        <w:t xml:space="preserve">Marzano, R. (2012) </w:t>
      </w:r>
      <w:r w:rsidRPr="004419B7">
        <w:rPr>
          <w:kern w:val="36"/>
          <w:sz w:val="24"/>
          <w:szCs w:val="24"/>
        </w:rPr>
        <w:t>Art and Science of Teaching / The Many Uses of Exit Slips in Students Who Challenge Us 70, (2), 80-81</w:t>
      </w:r>
    </w:p>
    <w:p w:rsidR="001949F9" w:rsidRPr="004419B7" w:rsidRDefault="001949F9" w:rsidP="001949F9">
      <w:pPr>
        <w:pStyle w:val="NoSpacing"/>
        <w:ind w:left="360"/>
        <w:rPr>
          <w:kern w:val="36"/>
          <w:sz w:val="24"/>
          <w:szCs w:val="24"/>
        </w:rPr>
      </w:pPr>
    </w:p>
    <w:p w:rsidR="001949F9" w:rsidRPr="004419B7" w:rsidRDefault="001949F9" w:rsidP="001949F9">
      <w:pPr>
        <w:pStyle w:val="NoSpacing"/>
        <w:numPr>
          <w:ilvl w:val="0"/>
          <w:numId w:val="2"/>
        </w:numPr>
        <w:rPr>
          <w:sz w:val="24"/>
          <w:szCs w:val="24"/>
        </w:rPr>
      </w:pPr>
      <w:r w:rsidRPr="004419B7">
        <w:rPr>
          <w:sz w:val="24"/>
          <w:szCs w:val="24"/>
        </w:rPr>
        <w:lastRenderedPageBreak/>
        <w:t xml:space="preserve">Mastromonaco, Amy, "Exit Tickets' Effect on Engagement and Concept Attainment in High School Science" (2015). Master's Theses and Capstone Projects. </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McAteer, Mary (2013). Action Research in Education. London: SAGE/BERA.</w:t>
      </w:r>
    </w:p>
    <w:p w:rsidR="001949F9" w:rsidRPr="004419B7" w:rsidRDefault="001949F9" w:rsidP="001949F9">
      <w:pPr>
        <w:pStyle w:val="NoSpacing"/>
        <w:ind w:left="360"/>
        <w:rPr>
          <w:sz w:val="24"/>
          <w:szCs w:val="24"/>
        </w:rPr>
      </w:pP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McMillan, James H &amp; Hearn, Jessica. (2008). Student Self-Assessment: The Key to Stronger Student Motivation and Higher Achievement. </w:t>
      </w:r>
      <w:r w:rsidRPr="004419B7">
        <w:rPr>
          <w:i/>
          <w:iCs/>
          <w:sz w:val="24"/>
          <w:szCs w:val="24"/>
        </w:rPr>
        <w:t>Educational Horizons</w:t>
      </w:r>
      <w:r w:rsidRPr="004419B7">
        <w:rPr>
          <w:sz w:val="24"/>
          <w:szCs w:val="24"/>
        </w:rPr>
        <w:t>. 87 (1), 40-49.</w:t>
      </w:r>
    </w:p>
    <w:p w:rsidR="001949F9" w:rsidRPr="004419B7" w:rsidRDefault="001949F9" w:rsidP="001949F9">
      <w:pPr>
        <w:pStyle w:val="NoSpacing"/>
        <w:numPr>
          <w:ilvl w:val="0"/>
          <w:numId w:val="2"/>
        </w:numPr>
        <w:rPr>
          <w:sz w:val="24"/>
          <w:szCs w:val="24"/>
        </w:rPr>
      </w:pPr>
      <w:r w:rsidRPr="004419B7">
        <w:rPr>
          <w:sz w:val="24"/>
          <w:szCs w:val="24"/>
        </w:rPr>
        <w:t>McNiff, Jean and Jack Whitehead (2002). Action Research Principles and Practice . 2nd ed. London: Routledge Falmer.</w:t>
      </w:r>
    </w:p>
    <w:p w:rsidR="001949F9" w:rsidRPr="004419B7" w:rsidRDefault="001949F9" w:rsidP="001949F9">
      <w:pPr>
        <w:pStyle w:val="NoSpacing"/>
        <w:ind w:left="360"/>
        <w:rPr>
          <w:sz w:val="24"/>
          <w:szCs w:val="24"/>
        </w:rPr>
      </w:pP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Oppermann, Martin. (2000). Triangulation - a methodological discussion. </w:t>
      </w:r>
      <w:r w:rsidRPr="004419B7">
        <w:rPr>
          <w:i/>
          <w:iCs/>
          <w:sz w:val="24"/>
          <w:szCs w:val="24"/>
        </w:rPr>
        <w:t>The International Journal of Tourism Research </w:t>
      </w:r>
      <w:r w:rsidRPr="004419B7">
        <w:rPr>
          <w:sz w:val="24"/>
          <w:szCs w:val="24"/>
        </w:rPr>
        <w:t>. 2 (2), 141-146.</w:t>
      </w:r>
    </w:p>
    <w:p w:rsidR="001949F9" w:rsidRPr="004419B7" w:rsidRDefault="001949F9" w:rsidP="001949F9">
      <w:pPr>
        <w:pStyle w:val="NoSpacing"/>
        <w:numPr>
          <w:ilvl w:val="0"/>
          <w:numId w:val="2"/>
        </w:numPr>
        <w:rPr>
          <w:rStyle w:val="Subtitle1"/>
          <w:bCs/>
          <w:sz w:val="24"/>
          <w:szCs w:val="24"/>
        </w:rPr>
      </w:pPr>
      <w:r w:rsidRPr="004419B7">
        <w:rPr>
          <w:sz w:val="24"/>
          <w:szCs w:val="24"/>
          <w:shd w:val="clear" w:color="auto" w:fill="FFFFFF"/>
        </w:rPr>
        <w:t xml:space="preserve">Organisation for Economic Co-operation and Development </w:t>
      </w:r>
      <w:r w:rsidRPr="004419B7">
        <w:rPr>
          <w:rStyle w:val="fn"/>
          <w:sz w:val="24"/>
          <w:szCs w:val="24"/>
        </w:rPr>
        <w:t>OECD (2005), Formative Assessment Improving Learning in Secondary Classrooms</w:t>
      </w:r>
      <w:r w:rsidRPr="004419B7">
        <w:rPr>
          <w:sz w:val="24"/>
          <w:szCs w:val="24"/>
        </w:rPr>
        <w:t>: </w:t>
      </w:r>
      <w:r w:rsidRPr="004419B7">
        <w:rPr>
          <w:rStyle w:val="Subtitle1"/>
          <w:sz w:val="24"/>
          <w:szCs w:val="24"/>
        </w:rPr>
        <w:t xml:space="preserve">Improving Learning in Secondary Classrooms OECD Publishing </w:t>
      </w:r>
    </w:p>
    <w:p w:rsidR="001949F9" w:rsidRPr="004419B7" w:rsidRDefault="001949F9" w:rsidP="001949F9">
      <w:pPr>
        <w:pStyle w:val="NoSpacing"/>
        <w:ind w:left="360"/>
        <w:rPr>
          <w:rStyle w:val="Subtitle1"/>
          <w:bCs/>
          <w:sz w:val="24"/>
          <w:szCs w:val="24"/>
        </w:rPr>
      </w:pPr>
    </w:p>
    <w:p w:rsidR="001949F9" w:rsidRPr="004419B7" w:rsidRDefault="001949F9" w:rsidP="001949F9">
      <w:pPr>
        <w:pStyle w:val="NoSpacing"/>
        <w:numPr>
          <w:ilvl w:val="0"/>
          <w:numId w:val="2"/>
        </w:numPr>
        <w:rPr>
          <w:sz w:val="24"/>
          <w:szCs w:val="24"/>
        </w:rPr>
      </w:pPr>
      <w:r w:rsidRPr="004419B7">
        <w:rPr>
          <w:sz w:val="24"/>
          <w:szCs w:val="24"/>
        </w:rPr>
        <w:t xml:space="preserve">Pagliaro, M.M. (2011) Exemplary Classroom Questioning: Practices to Promote Thinking and Learning Rowman &amp; Littlefield Publishing Group, Incorporated </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 xml:space="preserve">Scriven, M. (1967). The methodology of evaluation. Washington, DC: American Educational Research Association.  </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rFonts w:eastAsia="Meiryo"/>
          <w:sz w:val="24"/>
          <w:szCs w:val="24"/>
        </w:rPr>
      </w:pPr>
      <w:hyperlink r:id="rId11" w:tooltip="Shuichi NINOMIYA, Wakayama University" w:history="1">
        <w:r w:rsidRPr="004419B7">
          <w:rPr>
            <w:rStyle w:val="Hyperlink"/>
            <w:rFonts w:eastAsia="Meiryo"/>
            <w:sz w:val="24"/>
            <w:szCs w:val="24"/>
            <w:bdr w:val="none" w:sz="0" w:space="0" w:color="auto" w:frame="1"/>
          </w:rPr>
          <w:t>Shuichi Ninomiya</w:t>
        </w:r>
      </w:hyperlink>
      <w:r w:rsidRPr="004419B7">
        <w:rPr>
          <w:rFonts w:eastAsia="Meiryo"/>
          <w:sz w:val="24"/>
          <w:szCs w:val="24"/>
        </w:rPr>
        <w:t xml:space="preserve">, (2016) The Possibilities and Limitations of Assessment for Learning: Exploring the Theory of Formative Assessment and the Notion of “Closing the Learning Gap” </w:t>
      </w:r>
      <w:r w:rsidRPr="004419B7">
        <w:rPr>
          <w:sz w:val="24"/>
          <w:szCs w:val="24"/>
        </w:rPr>
        <w:t xml:space="preserve">Educational Studies in Japan: International Yearbook </w:t>
      </w:r>
      <w:r w:rsidRPr="004419B7">
        <w:rPr>
          <w:rFonts w:eastAsia="Meiryo"/>
          <w:sz w:val="24"/>
          <w:szCs w:val="24"/>
        </w:rPr>
        <w:t>Vol. 10, 79-91</w:t>
      </w:r>
    </w:p>
    <w:p w:rsidR="001949F9" w:rsidRPr="004419B7" w:rsidRDefault="001949F9" w:rsidP="001949F9">
      <w:pPr>
        <w:pStyle w:val="NoSpacing"/>
        <w:ind w:left="360"/>
        <w:rPr>
          <w:rFonts w:eastAsia="Meiryo"/>
          <w:sz w:val="24"/>
          <w:szCs w:val="24"/>
        </w:rPr>
      </w:pPr>
    </w:p>
    <w:p w:rsidR="001949F9" w:rsidRPr="004419B7" w:rsidRDefault="001949F9" w:rsidP="001949F9">
      <w:pPr>
        <w:pStyle w:val="NoSpacing"/>
        <w:numPr>
          <w:ilvl w:val="0"/>
          <w:numId w:val="2"/>
        </w:numPr>
        <w:rPr>
          <w:rStyle w:val="pagerange"/>
          <w:sz w:val="24"/>
          <w:szCs w:val="24"/>
          <w:shd w:val="clear" w:color="auto" w:fill="FFFFFF"/>
        </w:rPr>
      </w:pPr>
      <w:r w:rsidRPr="004419B7">
        <w:rPr>
          <w:rStyle w:val="authors"/>
          <w:sz w:val="24"/>
          <w:szCs w:val="24"/>
          <w:shd w:val="clear" w:color="auto" w:fill="FFFFFF"/>
        </w:rPr>
        <w:t>Sue Swaffield</w:t>
      </w:r>
      <w:r w:rsidRPr="004419B7">
        <w:rPr>
          <w:sz w:val="24"/>
          <w:szCs w:val="24"/>
          <w:shd w:val="clear" w:color="auto" w:fill="FFFFFF"/>
        </w:rPr>
        <w:t> </w:t>
      </w:r>
      <w:r w:rsidRPr="004419B7">
        <w:rPr>
          <w:rStyle w:val="Date1"/>
          <w:sz w:val="24"/>
          <w:szCs w:val="24"/>
          <w:shd w:val="clear" w:color="auto" w:fill="FFFFFF"/>
        </w:rPr>
        <w:t>(2011)</w:t>
      </w:r>
      <w:r w:rsidRPr="004419B7">
        <w:rPr>
          <w:sz w:val="24"/>
          <w:szCs w:val="24"/>
          <w:shd w:val="clear" w:color="auto" w:fill="FFFFFF"/>
        </w:rPr>
        <w:t> </w:t>
      </w:r>
      <w:r w:rsidRPr="004419B7">
        <w:rPr>
          <w:rStyle w:val="arttitle"/>
          <w:sz w:val="24"/>
          <w:szCs w:val="24"/>
          <w:shd w:val="clear" w:color="auto" w:fill="FFFFFF"/>
        </w:rPr>
        <w:t>Getting to the heart of authentic Assessment for Learning,</w:t>
      </w:r>
      <w:r w:rsidRPr="004419B7">
        <w:rPr>
          <w:sz w:val="24"/>
          <w:szCs w:val="24"/>
          <w:shd w:val="clear" w:color="auto" w:fill="FFFFFF"/>
        </w:rPr>
        <w:t> </w:t>
      </w:r>
      <w:r w:rsidRPr="004419B7">
        <w:rPr>
          <w:rStyle w:val="serialtitle"/>
          <w:sz w:val="24"/>
          <w:szCs w:val="24"/>
          <w:shd w:val="clear" w:color="auto" w:fill="FFFFFF"/>
        </w:rPr>
        <w:t>Assessment in Education: Principles, Policy &amp; Practice,</w:t>
      </w:r>
      <w:r w:rsidRPr="004419B7">
        <w:rPr>
          <w:sz w:val="24"/>
          <w:szCs w:val="24"/>
          <w:shd w:val="clear" w:color="auto" w:fill="FFFFFF"/>
        </w:rPr>
        <w:t> </w:t>
      </w:r>
      <w:r w:rsidRPr="004419B7">
        <w:rPr>
          <w:rStyle w:val="volumeissue"/>
          <w:sz w:val="24"/>
          <w:szCs w:val="24"/>
          <w:shd w:val="clear" w:color="auto" w:fill="FFFFFF"/>
        </w:rPr>
        <w:t>18:4,</w:t>
      </w:r>
      <w:r w:rsidRPr="004419B7">
        <w:rPr>
          <w:sz w:val="24"/>
          <w:szCs w:val="24"/>
          <w:shd w:val="clear" w:color="auto" w:fill="FFFFFF"/>
        </w:rPr>
        <w:t> </w:t>
      </w:r>
      <w:r w:rsidRPr="004419B7">
        <w:rPr>
          <w:rStyle w:val="pagerange"/>
          <w:sz w:val="24"/>
          <w:szCs w:val="24"/>
          <w:shd w:val="clear" w:color="auto" w:fill="FFFFFF"/>
        </w:rPr>
        <w:t>433-449</w:t>
      </w:r>
    </w:p>
    <w:p w:rsidR="001949F9" w:rsidRPr="004419B7" w:rsidRDefault="001949F9" w:rsidP="001949F9">
      <w:pPr>
        <w:pStyle w:val="NoSpacing"/>
        <w:ind w:left="360"/>
        <w:rPr>
          <w:rStyle w:val="pagerange"/>
          <w:sz w:val="24"/>
          <w:szCs w:val="24"/>
          <w:shd w:val="clear" w:color="auto" w:fill="FFFFFF"/>
        </w:rPr>
      </w:pPr>
    </w:p>
    <w:p w:rsidR="001949F9" w:rsidRPr="004419B7" w:rsidRDefault="001949F9" w:rsidP="001949F9">
      <w:pPr>
        <w:pStyle w:val="NoSpacing"/>
        <w:numPr>
          <w:ilvl w:val="0"/>
          <w:numId w:val="2"/>
        </w:numPr>
        <w:rPr>
          <w:sz w:val="24"/>
          <w:szCs w:val="24"/>
        </w:rPr>
      </w:pPr>
      <w:r w:rsidRPr="004419B7">
        <w:rPr>
          <w:sz w:val="24"/>
          <w:szCs w:val="24"/>
        </w:rPr>
        <w:t>Taber, Keith S. (2007). Classroom-based Research and Evidence-based Practice. London: SAGE.</w:t>
      </w:r>
    </w:p>
    <w:p w:rsidR="001949F9" w:rsidRPr="004419B7" w:rsidRDefault="001949F9" w:rsidP="001949F9">
      <w:pPr>
        <w:pStyle w:val="NoSpacing"/>
        <w:ind w:left="360"/>
        <w:rPr>
          <w:sz w:val="24"/>
          <w:szCs w:val="24"/>
        </w:rPr>
      </w:pPr>
    </w:p>
    <w:p w:rsidR="001949F9" w:rsidRPr="004419B7" w:rsidRDefault="001949F9" w:rsidP="001949F9">
      <w:pPr>
        <w:pStyle w:val="NoSpacing"/>
        <w:numPr>
          <w:ilvl w:val="0"/>
          <w:numId w:val="2"/>
        </w:numPr>
        <w:rPr>
          <w:sz w:val="24"/>
          <w:szCs w:val="24"/>
        </w:rPr>
      </w:pPr>
      <w:r w:rsidRPr="004419B7">
        <w:rPr>
          <w:sz w:val="24"/>
          <w:szCs w:val="24"/>
        </w:rPr>
        <w:t>Tait, Jon (2017). 100 Ideas for Secondary Teachers: Engaging Learners. London : Bloomsbury Publishing PLC</w:t>
      </w:r>
    </w:p>
    <w:p w:rsidR="001949F9" w:rsidRPr="004419B7" w:rsidRDefault="001949F9" w:rsidP="001949F9">
      <w:pPr>
        <w:pStyle w:val="NoSpacing"/>
        <w:ind w:left="360"/>
        <w:rPr>
          <w:sz w:val="24"/>
          <w:szCs w:val="24"/>
        </w:rPr>
      </w:pPr>
    </w:p>
    <w:p w:rsidR="001949F9" w:rsidRPr="004419B7" w:rsidRDefault="001949F9" w:rsidP="001949F9">
      <w:pPr>
        <w:pStyle w:val="ListParagraph"/>
        <w:numPr>
          <w:ilvl w:val="0"/>
          <w:numId w:val="2"/>
        </w:numPr>
        <w:spacing w:after="160" w:line="360" w:lineRule="auto"/>
        <w:rPr>
          <w:sz w:val="24"/>
          <w:szCs w:val="24"/>
          <w:shd w:val="clear" w:color="auto" w:fill="FFFFFF"/>
        </w:rPr>
      </w:pPr>
      <w:r w:rsidRPr="004419B7">
        <w:rPr>
          <w:bCs/>
          <w:sz w:val="24"/>
          <w:szCs w:val="24"/>
          <w:shd w:val="clear" w:color="auto" w:fill="FFFFFF"/>
        </w:rPr>
        <w:t>Tymms, P.</w:t>
      </w:r>
      <w:r w:rsidRPr="004419B7">
        <w:rPr>
          <w:sz w:val="24"/>
          <w:szCs w:val="24"/>
          <w:shd w:val="clear" w:color="auto" w:fill="FFFFFF"/>
        </w:rPr>
        <w:t> (2017). Purposes for Educational Research. In The BERA/SAGE Handbook of Educational Research. Wyse, D., Selwyn, N., Smith, E. &amp; Suter, L.E. London: Sage. 165-179</w:t>
      </w:r>
    </w:p>
    <w:p w:rsidR="001949F9" w:rsidRPr="004419B7" w:rsidRDefault="001949F9" w:rsidP="001949F9">
      <w:pPr>
        <w:pStyle w:val="ListParagraph"/>
        <w:numPr>
          <w:ilvl w:val="0"/>
          <w:numId w:val="2"/>
        </w:numPr>
        <w:spacing w:after="160" w:line="360" w:lineRule="auto"/>
        <w:rPr>
          <w:sz w:val="24"/>
          <w:szCs w:val="24"/>
          <w:shd w:val="clear" w:color="auto" w:fill="FFFFFF"/>
        </w:rPr>
      </w:pPr>
      <w:r w:rsidRPr="004419B7">
        <w:rPr>
          <w:sz w:val="24"/>
          <w:szCs w:val="24"/>
        </w:rPr>
        <w:t>Venables, D. (2014). </w:t>
      </w:r>
      <w:r w:rsidRPr="004419B7">
        <w:rPr>
          <w:i/>
          <w:iCs/>
          <w:sz w:val="24"/>
          <w:szCs w:val="24"/>
        </w:rPr>
        <w:t>How Teachers Can Turn Data into Action</w:t>
      </w:r>
      <w:r w:rsidRPr="004419B7">
        <w:rPr>
          <w:sz w:val="24"/>
          <w:szCs w:val="24"/>
        </w:rPr>
        <w:t>. Alexandria: ASCD.</w:t>
      </w:r>
    </w:p>
    <w:p w:rsidR="001949F9" w:rsidRPr="004419B7" w:rsidRDefault="001949F9" w:rsidP="001949F9">
      <w:pPr>
        <w:pStyle w:val="NoSpacing"/>
        <w:numPr>
          <w:ilvl w:val="0"/>
          <w:numId w:val="2"/>
        </w:numPr>
        <w:rPr>
          <w:rStyle w:val="pagerange"/>
          <w:sz w:val="24"/>
          <w:szCs w:val="24"/>
          <w:shd w:val="clear" w:color="auto" w:fill="FFFFFF"/>
        </w:rPr>
      </w:pPr>
      <w:r w:rsidRPr="004419B7">
        <w:rPr>
          <w:rStyle w:val="authors"/>
          <w:sz w:val="24"/>
          <w:szCs w:val="24"/>
          <w:shd w:val="clear" w:color="auto" w:fill="FFFFFF"/>
        </w:rPr>
        <w:t>W. James Popham</w:t>
      </w:r>
      <w:r w:rsidRPr="004419B7">
        <w:rPr>
          <w:sz w:val="24"/>
          <w:szCs w:val="24"/>
          <w:shd w:val="clear" w:color="auto" w:fill="FFFFFF"/>
        </w:rPr>
        <w:t> </w:t>
      </w:r>
      <w:r w:rsidRPr="004419B7">
        <w:rPr>
          <w:rStyle w:val="Date1"/>
          <w:sz w:val="24"/>
          <w:szCs w:val="24"/>
          <w:shd w:val="clear" w:color="auto" w:fill="FFFFFF"/>
        </w:rPr>
        <w:t>(2011)</w:t>
      </w:r>
      <w:r w:rsidRPr="004419B7">
        <w:rPr>
          <w:sz w:val="24"/>
          <w:szCs w:val="24"/>
          <w:shd w:val="clear" w:color="auto" w:fill="FFFFFF"/>
        </w:rPr>
        <w:t> </w:t>
      </w:r>
      <w:r w:rsidRPr="004419B7">
        <w:rPr>
          <w:rStyle w:val="arttitle"/>
          <w:sz w:val="24"/>
          <w:szCs w:val="24"/>
          <w:shd w:val="clear" w:color="auto" w:fill="FFFFFF"/>
        </w:rPr>
        <w:t>Assessment Literacy Overlooked: A Teacher Educator's Confession,</w:t>
      </w:r>
      <w:r w:rsidRPr="004419B7">
        <w:rPr>
          <w:sz w:val="24"/>
          <w:szCs w:val="24"/>
          <w:shd w:val="clear" w:color="auto" w:fill="FFFFFF"/>
        </w:rPr>
        <w:t> </w:t>
      </w:r>
      <w:r w:rsidRPr="004419B7">
        <w:rPr>
          <w:rStyle w:val="serialtitle"/>
          <w:sz w:val="24"/>
          <w:szCs w:val="24"/>
          <w:shd w:val="clear" w:color="auto" w:fill="FFFFFF"/>
        </w:rPr>
        <w:t>The Teacher Educator,</w:t>
      </w:r>
      <w:r w:rsidRPr="004419B7">
        <w:rPr>
          <w:sz w:val="24"/>
          <w:szCs w:val="24"/>
          <w:shd w:val="clear" w:color="auto" w:fill="FFFFFF"/>
        </w:rPr>
        <w:t> </w:t>
      </w:r>
      <w:r w:rsidRPr="004419B7">
        <w:rPr>
          <w:rStyle w:val="volumeissue"/>
          <w:sz w:val="24"/>
          <w:szCs w:val="24"/>
          <w:shd w:val="clear" w:color="auto" w:fill="FFFFFF"/>
        </w:rPr>
        <w:t xml:space="preserve">46:4, </w:t>
      </w:r>
      <w:r w:rsidRPr="004419B7">
        <w:rPr>
          <w:rStyle w:val="pagerange"/>
          <w:sz w:val="24"/>
          <w:szCs w:val="24"/>
          <w:shd w:val="clear" w:color="auto" w:fill="FFFFFF"/>
        </w:rPr>
        <w:t>265-273</w:t>
      </w:r>
    </w:p>
    <w:p w:rsidR="001949F9" w:rsidRPr="004419B7" w:rsidRDefault="001949F9" w:rsidP="001949F9">
      <w:pPr>
        <w:pStyle w:val="NoSpacing"/>
        <w:ind w:left="360"/>
        <w:rPr>
          <w:rStyle w:val="pagerange"/>
          <w:sz w:val="24"/>
          <w:szCs w:val="24"/>
          <w:shd w:val="clear" w:color="auto" w:fill="FFFFFF"/>
        </w:rPr>
      </w:pPr>
    </w:p>
    <w:p w:rsidR="001949F9" w:rsidRPr="004419B7" w:rsidRDefault="001949F9" w:rsidP="001949F9">
      <w:pPr>
        <w:pStyle w:val="NoSpacing"/>
        <w:numPr>
          <w:ilvl w:val="0"/>
          <w:numId w:val="2"/>
        </w:numPr>
        <w:rPr>
          <w:sz w:val="24"/>
          <w:szCs w:val="24"/>
        </w:rPr>
      </w:pPr>
      <w:r w:rsidRPr="004419B7">
        <w:rPr>
          <w:sz w:val="24"/>
          <w:szCs w:val="24"/>
        </w:rPr>
        <w:lastRenderedPageBreak/>
        <w:t>Webb, Mary &amp; Jane Jones (2009) Exploring tensions in developing assessment for learning, Assessment in Education: Principles, Policy &amp; Practice, 16:2, 165-184</w:t>
      </w:r>
    </w:p>
    <w:p w:rsidR="001949F9" w:rsidRPr="004419B7" w:rsidRDefault="001949F9" w:rsidP="001949F9">
      <w:pPr>
        <w:pStyle w:val="NoSpacing"/>
        <w:ind w:left="360"/>
        <w:rPr>
          <w:sz w:val="24"/>
          <w:szCs w:val="24"/>
        </w:rPr>
      </w:pPr>
    </w:p>
    <w:p w:rsidR="001949F9" w:rsidRPr="004419B7" w:rsidRDefault="001949F9" w:rsidP="001949F9">
      <w:pPr>
        <w:pStyle w:val="ListParagraph"/>
        <w:numPr>
          <w:ilvl w:val="0"/>
          <w:numId w:val="2"/>
        </w:numPr>
        <w:spacing w:after="160" w:line="360" w:lineRule="auto"/>
        <w:rPr>
          <w:sz w:val="24"/>
          <w:szCs w:val="24"/>
        </w:rPr>
      </w:pPr>
      <w:r w:rsidRPr="004419B7">
        <w:rPr>
          <w:sz w:val="24"/>
          <w:szCs w:val="24"/>
        </w:rPr>
        <w:t>White, S. (2005). </w:t>
      </w:r>
      <w:r w:rsidRPr="004419B7">
        <w:rPr>
          <w:i/>
          <w:iCs/>
          <w:sz w:val="24"/>
          <w:szCs w:val="24"/>
        </w:rPr>
        <w:t>Show Me the Proof!: Tools and Strategies to Make Data Work for You</w:t>
      </w:r>
      <w:r w:rsidRPr="004419B7">
        <w:rPr>
          <w:sz w:val="24"/>
          <w:szCs w:val="24"/>
        </w:rPr>
        <w:t>. Englewood: Advanced Learning Press.</w:t>
      </w:r>
    </w:p>
    <w:p w:rsidR="008827E5" w:rsidRDefault="001949F9" w:rsidP="001949F9">
      <w:r w:rsidRPr="004419B7">
        <w:rPr>
          <w:sz w:val="24"/>
          <w:szCs w:val="24"/>
          <w:shd w:val="clear" w:color="auto" w:fill="FFFFFF"/>
        </w:rPr>
        <w:t>Wiliam, Dylan. Embedded Formative Assessment : (Strategies for Classroom Assessment That Drives Student Engagement</w:t>
      </w:r>
    </w:p>
    <w:sectPr w:rsidR="008827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eiryo">
    <w:charset w:val="80"/>
    <w:family w:val="swiss"/>
    <w:pitch w:val="variable"/>
    <w:sig w:usb0="E00002FF" w:usb1="6AC7FFFF"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A5853"/>
    <w:multiLevelType w:val="hybridMultilevel"/>
    <w:tmpl w:val="A35CAC66"/>
    <w:lvl w:ilvl="0" w:tplc="4044D60C">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420E55"/>
    <w:multiLevelType w:val="hybridMultilevel"/>
    <w:tmpl w:val="E9FC1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9F9"/>
    <w:rsid w:val="001949F9"/>
    <w:rsid w:val="00882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765965-9B64-448E-A47B-C4408D9C1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49F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949F9"/>
    <w:rPr>
      <w:color w:val="0000FF"/>
      <w:u w:val="single"/>
    </w:rPr>
  </w:style>
  <w:style w:type="paragraph" w:styleId="ListParagraph">
    <w:name w:val="List Paragraph"/>
    <w:basedOn w:val="Normal"/>
    <w:uiPriority w:val="34"/>
    <w:qFormat/>
    <w:rsid w:val="001949F9"/>
    <w:pPr>
      <w:ind w:left="720"/>
      <w:contextualSpacing/>
    </w:pPr>
  </w:style>
  <w:style w:type="character" w:styleId="Emphasis">
    <w:name w:val="Emphasis"/>
    <w:uiPriority w:val="20"/>
    <w:qFormat/>
    <w:rsid w:val="001949F9"/>
    <w:rPr>
      <w:i/>
      <w:iCs/>
    </w:rPr>
  </w:style>
  <w:style w:type="paragraph" w:styleId="HTMLPreformatted">
    <w:name w:val="HTML Preformatted"/>
    <w:basedOn w:val="Normal"/>
    <w:link w:val="HTMLPreformattedChar"/>
    <w:uiPriority w:val="99"/>
    <w:unhideWhenUsed/>
    <w:rsid w:val="001949F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1949F9"/>
    <w:rPr>
      <w:rFonts w:ascii="Courier New" w:eastAsia="Times New Roman" w:hAnsi="Courier New" w:cs="Courier New"/>
      <w:sz w:val="20"/>
      <w:szCs w:val="20"/>
      <w:lang w:eastAsia="en-GB"/>
    </w:rPr>
  </w:style>
  <w:style w:type="paragraph" w:styleId="NoSpacing">
    <w:name w:val="No Spacing"/>
    <w:uiPriority w:val="1"/>
    <w:qFormat/>
    <w:rsid w:val="001949F9"/>
    <w:pPr>
      <w:spacing w:after="0" w:line="240" w:lineRule="auto"/>
    </w:pPr>
    <w:rPr>
      <w:rFonts w:ascii="Times New Roman" w:eastAsia="Times New Roman" w:hAnsi="Times New Roman" w:cs="Times New Roman"/>
      <w:sz w:val="20"/>
      <w:szCs w:val="20"/>
    </w:rPr>
  </w:style>
  <w:style w:type="character" w:customStyle="1" w:styleId="normaltextrun">
    <w:name w:val="normaltextrun"/>
    <w:basedOn w:val="DefaultParagraphFont"/>
    <w:rsid w:val="001949F9"/>
  </w:style>
  <w:style w:type="character" w:customStyle="1" w:styleId="hlfld-contribauthor">
    <w:name w:val="hlfld-contribauthor"/>
    <w:basedOn w:val="DefaultParagraphFont"/>
    <w:rsid w:val="001949F9"/>
  </w:style>
  <w:style w:type="character" w:customStyle="1" w:styleId="nlmgiven-names">
    <w:name w:val="nlm_given-names"/>
    <w:basedOn w:val="DefaultParagraphFont"/>
    <w:rsid w:val="001949F9"/>
  </w:style>
  <w:style w:type="character" w:customStyle="1" w:styleId="nlmyear">
    <w:name w:val="nlm_year"/>
    <w:basedOn w:val="DefaultParagraphFont"/>
    <w:rsid w:val="001949F9"/>
  </w:style>
  <w:style w:type="character" w:customStyle="1" w:styleId="nlmpublisher-loc">
    <w:name w:val="nlm_publisher-loc"/>
    <w:basedOn w:val="DefaultParagraphFont"/>
    <w:rsid w:val="001949F9"/>
  </w:style>
  <w:style w:type="character" w:customStyle="1" w:styleId="nlmpublisher-name">
    <w:name w:val="nlm_publisher-name"/>
    <w:basedOn w:val="DefaultParagraphFont"/>
    <w:rsid w:val="001949F9"/>
  </w:style>
  <w:style w:type="character" w:customStyle="1" w:styleId="authors">
    <w:name w:val="authors"/>
    <w:basedOn w:val="DefaultParagraphFont"/>
    <w:rsid w:val="001949F9"/>
  </w:style>
  <w:style w:type="character" w:customStyle="1" w:styleId="Date1">
    <w:name w:val="Date1"/>
    <w:basedOn w:val="DefaultParagraphFont"/>
    <w:rsid w:val="001949F9"/>
  </w:style>
  <w:style w:type="character" w:customStyle="1" w:styleId="arttitle">
    <w:name w:val="art_title"/>
    <w:basedOn w:val="DefaultParagraphFont"/>
    <w:rsid w:val="001949F9"/>
  </w:style>
  <w:style w:type="character" w:customStyle="1" w:styleId="serialtitle">
    <w:name w:val="serial_title"/>
    <w:basedOn w:val="DefaultParagraphFont"/>
    <w:rsid w:val="001949F9"/>
  </w:style>
  <w:style w:type="character" w:customStyle="1" w:styleId="volumeissue">
    <w:name w:val="volume_issue"/>
    <w:basedOn w:val="DefaultParagraphFont"/>
    <w:rsid w:val="001949F9"/>
  </w:style>
  <w:style w:type="character" w:customStyle="1" w:styleId="pagerange">
    <w:name w:val="page_range"/>
    <w:basedOn w:val="DefaultParagraphFont"/>
    <w:rsid w:val="001949F9"/>
  </w:style>
  <w:style w:type="character" w:customStyle="1" w:styleId="fn">
    <w:name w:val="fn"/>
    <w:basedOn w:val="DefaultParagraphFont"/>
    <w:rsid w:val="001949F9"/>
  </w:style>
  <w:style w:type="character" w:customStyle="1" w:styleId="Subtitle1">
    <w:name w:val="Subtitle1"/>
    <w:basedOn w:val="DefaultParagraphFont"/>
    <w:rsid w:val="001949F9"/>
  </w:style>
  <w:style w:type="character" w:customStyle="1" w:styleId="Subtitle2">
    <w:name w:val="Subtitle2"/>
    <w:basedOn w:val="DefaultParagraphFont"/>
    <w:rsid w:val="001949F9"/>
  </w:style>
  <w:style w:type="character" w:customStyle="1" w:styleId="eop">
    <w:name w:val="eop"/>
    <w:basedOn w:val="DefaultParagraphFont"/>
    <w:rsid w:val="001949F9"/>
  </w:style>
  <w:style w:type="paragraph" w:customStyle="1" w:styleId="paragraph">
    <w:name w:val="paragraph"/>
    <w:basedOn w:val="Normal"/>
    <w:rsid w:val="001949F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Ysgol%20Gyfun%20Gwyr%20eng.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50317-successful-futures-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researchers-resources/publications/ethical-guidelines-for-educational-research-2011" TargetMode="External"/><Relationship Id="rId11" Type="http://schemas.openxmlformats.org/officeDocument/2006/relationships/hyperlink" Target="https://www.jstage.jst.go.jp/search/global/_search/-char/en?item=8&amp;word=Shuichi+NINOMIYA" TargetMode="External"/><Relationship Id="rId5" Type="http://schemas.openxmlformats.org/officeDocument/2006/relationships/chart" Target="charts/chart1.xml"/><Relationship Id="rId10" Type="http://schemas.openxmlformats.org/officeDocument/2006/relationships/hyperlink" Target="https://www.google.co.uk/search?tbo=p&amp;tbm=bks&amp;q=inauthor:%22Marcel+Danesi%22" TargetMode="External"/><Relationship Id="rId4" Type="http://schemas.openxmlformats.org/officeDocument/2006/relationships/webSettings" Target="webSettings.xml"/><Relationship Id="rId9" Type="http://schemas.openxmlformats.org/officeDocument/2006/relationships/hyperlink" Target="https://www.google.co.uk/search?tbo=p&amp;tbm=bks&amp;q=inauthor:%22Jim+Knight%2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Data</a:t>
            </a:r>
            <a:r>
              <a:rPr lang="en-GB" baseline="0"/>
              <a:t> graddfa '</a:t>
            </a:r>
            <a:r>
              <a:rPr lang="en-GB" sz="1600" b="1" i="0" u="none" strike="noStrike" kern="1200" baseline="0">
                <a:solidFill>
                  <a:sysClr val="windowText" lastClr="000000">
                    <a:lumMod val="65000"/>
                    <a:lumOff val="35000"/>
                  </a:sysClr>
                </a:solidFill>
                <a:latin typeface="+mn-lt"/>
                <a:ea typeface="+mn-ea"/>
                <a:cs typeface="+mn-cs"/>
              </a:rPr>
              <a:t>‘emoji’</a:t>
            </a:r>
            <a:r>
              <a:rPr lang="en-GB" baseline="0"/>
              <a:t>'</a:t>
            </a:r>
            <a:endParaRPr lang="en-GB"/>
          </a:p>
        </c:rich>
      </c:tx>
      <c:layout>
        <c:manualLayout>
          <c:xMode val="edge"/>
          <c:yMode val="edge"/>
          <c:x val="0.25861676144648588"/>
          <c:y val="1.984126984126984E-2"/>
        </c:manualLayout>
      </c:layout>
      <c:overlay val="1"/>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7673702245552639E-2"/>
          <c:y val="0.14053587051618546"/>
          <c:w val="0.74366870807815677"/>
          <c:h val="0.76521809773778282"/>
        </c:manualLayout>
      </c:layout>
      <c:barChart>
        <c:barDir val="col"/>
        <c:grouping val="clustered"/>
        <c:varyColors val="0"/>
        <c:ser>
          <c:idx val="0"/>
          <c:order val="0"/>
          <c:tx>
            <c:strRef>
              <c:f>Sheet1!$B$1</c:f>
              <c:strCache>
                <c:ptCount val="1"/>
                <c:pt idx="0">
                  <c:v>Hapus </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1"/>
                <c:pt idx="0">
                  <c:v>Dosbarth 7 </c:v>
                </c:pt>
              </c:strCache>
            </c:strRef>
          </c:cat>
          <c:val>
            <c:numRef>
              <c:f>Sheet1!$B$2:$B$5</c:f>
              <c:numCache>
                <c:formatCode>General</c:formatCode>
                <c:ptCount val="4"/>
                <c:pt idx="0">
                  <c:v>10</c:v>
                </c:pt>
              </c:numCache>
            </c:numRef>
          </c:val>
          <c:extLst>
            <c:ext xmlns:c16="http://schemas.microsoft.com/office/drawing/2014/chart" uri="{C3380CC4-5D6E-409C-BE32-E72D297353CC}">
              <c16:uniqueId val="{00000000-685E-452B-8150-58D170D30632}"/>
            </c:ext>
          </c:extLst>
        </c:ser>
        <c:ser>
          <c:idx val="1"/>
          <c:order val="1"/>
          <c:tx>
            <c:strRef>
              <c:f>Sheet1!$C$1</c:f>
              <c:strCache>
                <c:ptCount val="1"/>
                <c:pt idx="0">
                  <c:v>Ansicr  </c:v>
                </c:pt>
              </c:strCache>
            </c:strRef>
          </c:tx>
          <c:spPr>
            <a:gradFill rotWithShape="1">
              <a:gsLst>
                <a:gs pos="0">
                  <a:schemeClr val="accent2">
                    <a:tint val="100000"/>
                    <a:shade val="100000"/>
                    <a:satMod val="130000"/>
                  </a:schemeClr>
                </a:gs>
                <a:gs pos="100000">
                  <a:schemeClr val="accent2">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1"/>
                <c:pt idx="0">
                  <c:v>Dosbarth 7 </c:v>
                </c:pt>
              </c:strCache>
            </c:strRef>
          </c:cat>
          <c:val>
            <c:numRef>
              <c:f>Sheet1!$C$2:$C$5</c:f>
              <c:numCache>
                <c:formatCode>General</c:formatCode>
                <c:ptCount val="4"/>
                <c:pt idx="0">
                  <c:v>5</c:v>
                </c:pt>
              </c:numCache>
            </c:numRef>
          </c:val>
          <c:extLst>
            <c:ext xmlns:c16="http://schemas.microsoft.com/office/drawing/2014/chart" uri="{C3380CC4-5D6E-409C-BE32-E72D297353CC}">
              <c16:uniqueId val="{00000001-685E-452B-8150-58D170D30632}"/>
            </c:ext>
          </c:extLst>
        </c:ser>
        <c:ser>
          <c:idx val="2"/>
          <c:order val="2"/>
          <c:tx>
            <c:strRef>
              <c:f>Sheet1!$D$1</c:f>
              <c:strCache>
                <c:ptCount val="1"/>
                <c:pt idx="0">
                  <c:v>Trist</c:v>
                </c:pt>
              </c:strCache>
            </c:strRef>
          </c:tx>
          <c:spPr>
            <a:gradFill rotWithShape="1">
              <a:gsLst>
                <a:gs pos="0">
                  <a:schemeClr val="accent3">
                    <a:tint val="100000"/>
                    <a:shade val="100000"/>
                    <a:satMod val="130000"/>
                  </a:schemeClr>
                </a:gs>
                <a:gs pos="100000">
                  <a:schemeClr val="accent3">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Sheet1!$A$2:$A$5</c:f>
              <c:strCache>
                <c:ptCount val="1"/>
                <c:pt idx="0">
                  <c:v>Dosbarth 7 </c:v>
                </c:pt>
              </c:strCache>
            </c:strRef>
          </c:cat>
          <c:val>
            <c:numRef>
              <c:f>Sheet1!$D$2:$D$5</c:f>
              <c:numCache>
                <c:formatCode>General</c:formatCode>
                <c:ptCount val="4"/>
                <c:pt idx="0">
                  <c:v>7</c:v>
                </c:pt>
              </c:numCache>
            </c:numRef>
          </c:val>
          <c:extLst>
            <c:ext xmlns:c16="http://schemas.microsoft.com/office/drawing/2014/chart" uri="{C3380CC4-5D6E-409C-BE32-E72D297353CC}">
              <c16:uniqueId val="{00000002-685E-452B-8150-58D170D30632}"/>
            </c:ext>
          </c:extLst>
        </c:ser>
        <c:dLbls>
          <c:showLegendKey val="0"/>
          <c:showVal val="0"/>
          <c:showCatName val="0"/>
          <c:showSerName val="0"/>
          <c:showPercent val="0"/>
          <c:showBubbleSize val="0"/>
        </c:dLbls>
        <c:gapWidth val="100"/>
        <c:overlap val="-24"/>
        <c:axId val="289329520"/>
        <c:axId val="674610856"/>
      </c:barChart>
      <c:catAx>
        <c:axId val="28932952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610856"/>
        <c:crosses val="autoZero"/>
        <c:auto val="1"/>
        <c:lblAlgn val="ctr"/>
        <c:lblOffset val="100"/>
        <c:noMultiLvlLbl val="0"/>
      </c:catAx>
      <c:valAx>
        <c:axId val="674610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329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8508</Words>
  <Characters>48497</Characters>
  <Application>Microsoft Office Word</Application>
  <DocSecurity>0</DocSecurity>
  <Lines>404</Lines>
  <Paragraphs>113</Paragraphs>
  <ScaleCrop>false</ScaleCrop>
  <Company/>
  <LinksUpToDate>false</LinksUpToDate>
  <CharactersWithSpaces>56892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Alys-meleri Rosser (1703624)</dc:creator>
  <cp:keywords/>
  <dc:description/>
  <cp:lastModifiedBy>Alys-meleri Rosser (1703624)</cp:lastModifiedBy>
  <cp:revision>1</cp:revision>
  <dcterms:created xsi:type="dcterms:W3CDTF">2018-05-13T18:00:00Z</dcterms:created>
  <dcterms:modified xsi:type="dcterms:W3CDTF">2018-05-13T18:00:00Z</dcterms:modified>
</cp:coreProperties>
</file>