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16F3C1" w14:textId="4BE680A4" w:rsidR="007C5F69" w:rsidRDefault="007C5F69" w:rsidP="007C5F69">
      <w:pPr>
        <w:jc w:val="center"/>
        <w:rPr>
          <w:rFonts w:cs="Times New Roman"/>
          <w:b/>
          <w:bCs/>
          <w:sz w:val="56"/>
          <w:szCs w:val="52"/>
        </w:rPr>
      </w:pPr>
    </w:p>
    <w:p w14:paraId="64E2010C" w14:textId="635D8BD0" w:rsidR="00327E41" w:rsidRDefault="00327E41" w:rsidP="007C5F69">
      <w:pPr>
        <w:jc w:val="center"/>
        <w:rPr>
          <w:rFonts w:cs="Times New Roman"/>
          <w:b/>
          <w:bCs/>
          <w:sz w:val="56"/>
          <w:szCs w:val="52"/>
        </w:rPr>
      </w:pPr>
    </w:p>
    <w:p w14:paraId="2BD9D39A" w14:textId="77777777" w:rsidR="00327E41" w:rsidRDefault="00327E41" w:rsidP="00327E41">
      <w:pPr>
        <w:jc w:val="center"/>
        <w:rPr>
          <w:bCs/>
          <w:sz w:val="28"/>
          <w:szCs w:val="28"/>
        </w:rPr>
      </w:pPr>
      <w:r>
        <w:rPr>
          <w:bCs/>
          <w:sz w:val="28"/>
          <w:szCs w:val="28"/>
        </w:rPr>
        <w:t xml:space="preserve">NAME: </w:t>
      </w:r>
      <w:r>
        <w:rPr>
          <w:b/>
          <w:sz w:val="28"/>
          <w:szCs w:val="28"/>
        </w:rPr>
        <w:t>YEDUKONDALU VADLAMUDI</w:t>
      </w:r>
    </w:p>
    <w:p w14:paraId="5E978353" w14:textId="77777777" w:rsidR="00327E41" w:rsidRDefault="00327E41" w:rsidP="00327E41">
      <w:pPr>
        <w:jc w:val="center"/>
        <w:rPr>
          <w:bCs/>
          <w:sz w:val="28"/>
          <w:szCs w:val="28"/>
        </w:rPr>
      </w:pPr>
      <w:r>
        <w:rPr>
          <w:bCs/>
          <w:sz w:val="28"/>
          <w:szCs w:val="28"/>
        </w:rPr>
        <w:t xml:space="preserve">STUDENT ID : </w:t>
      </w:r>
      <w:r>
        <w:rPr>
          <w:b/>
          <w:sz w:val="28"/>
          <w:szCs w:val="28"/>
        </w:rPr>
        <w:t>2127061</w:t>
      </w:r>
    </w:p>
    <w:p w14:paraId="7595F2D2" w14:textId="3A606B92" w:rsidR="00327E41" w:rsidRDefault="00327E41" w:rsidP="00327E41">
      <w:pPr>
        <w:jc w:val="center"/>
        <w:rPr>
          <w:b/>
          <w:bCs/>
          <w:szCs w:val="24"/>
        </w:rPr>
      </w:pPr>
      <w:r>
        <w:rPr>
          <w:bCs/>
          <w:sz w:val="28"/>
          <w:szCs w:val="28"/>
        </w:rPr>
        <w:t xml:space="preserve">MODULE: </w:t>
      </w:r>
      <w:r>
        <w:rPr>
          <w:rFonts w:ascii="Arial" w:hAnsi="Arial" w:cs="Arial"/>
          <w:b/>
          <w:bCs/>
          <w:color w:val="222222"/>
          <w:shd w:val="clear" w:color="auto" w:fill="FFFFFF"/>
        </w:rPr>
        <w:t>LCMB7012 - OCT 22</w:t>
      </w:r>
    </w:p>
    <w:p w14:paraId="1491632B" w14:textId="35406995" w:rsidR="00327E41" w:rsidRDefault="00327E41" w:rsidP="00327E41">
      <w:pPr>
        <w:jc w:val="center"/>
        <w:rPr>
          <w:bCs/>
          <w:sz w:val="28"/>
          <w:szCs w:val="28"/>
        </w:rPr>
      </w:pPr>
      <w:r>
        <w:rPr>
          <w:bCs/>
          <w:sz w:val="28"/>
          <w:szCs w:val="28"/>
        </w:rPr>
        <w:t xml:space="preserve">PROFESSOR: </w:t>
      </w:r>
      <w:r w:rsidR="00EB0A1C">
        <w:rPr>
          <w:bCs/>
          <w:sz w:val="28"/>
          <w:szCs w:val="28"/>
        </w:rPr>
        <w:t>Konstantina Mari</w:t>
      </w:r>
    </w:p>
    <w:p w14:paraId="28962C48" w14:textId="77777777" w:rsidR="00327E41" w:rsidRDefault="00327E41" w:rsidP="00327E41">
      <w:pPr>
        <w:jc w:val="center"/>
        <w:rPr>
          <w:bCs/>
          <w:sz w:val="28"/>
          <w:szCs w:val="28"/>
        </w:rPr>
      </w:pPr>
      <w:r>
        <w:rPr>
          <w:bCs/>
          <w:sz w:val="28"/>
          <w:szCs w:val="28"/>
        </w:rPr>
        <w:t xml:space="preserve">COURSE: </w:t>
      </w:r>
      <w:r>
        <w:rPr>
          <w:b/>
          <w:sz w:val="28"/>
          <w:szCs w:val="28"/>
        </w:rPr>
        <w:t>MASTERS IN BUSINESS ADMINISTRATION</w:t>
      </w:r>
    </w:p>
    <w:p w14:paraId="242DA0D2" w14:textId="12617411" w:rsidR="00327E41" w:rsidRDefault="00327E41" w:rsidP="00327E41">
      <w:pPr>
        <w:jc w:val="center"/>
        <w:rPr>
          <w:bCs/>
          <w:sz w:val="28"/>
          <w:szCs w:val="28"/>
        </w:rPr>
      </w:pPr>
      <w:r>
        <w:rPr>
          <w:bCs/>
          <w:sz w:val="28"/>
          <w:szCs w:val="28"/>
        </w:rPr>
        <w:t xml:space="preserve">SUBMISSION DATE: </w:t>
      </w:r>
      <w:r w:rsidR="00AF7646">
        <w:rPr>
          <w:b/>
          <w:sz w:val="28"/>
          <w:szCs w:val="28"/>
        </w:rPr>
        <w:t>09</w:t>
      </w:r>
      <w:r>
        <w:rPr>
          <w:b/>
          <w:sz w:val="28"/>
          <w:szCs w:val="28"/>
        </w:rPr>
        <w:t>.01.2023</w:t>
      </w:r>
    </w:p>
    <w:p w14:paraId="057F69E4" w14:textId="6AACB22A" w:rsidR="00327E41" w:rsidRDefault="00327E41" w:rsidP="00327E41">
      <w:pPr>
        <w:jc w:val="center"/>
        <w:rPr>
          <w:b/>
          <w:sz w:val="28"/>
          <w:szCs w:val="28"/>
        </w:rPr>
      </w:pPr>
      <w:r>
        <w:rPr>
          <w:bCs/>
          <w:sz w:val="28"/>
          <w:szCs w:val="28"/>
        </w:rPr>
        <w:t>TITLE</w:t>
      </w:r>
      <w:r>
        <w:rPr>
          <w:b/>
        </w:rPr>
        <w:t xml:space="preserve">: </w:t>
      </w:r>
      <w:r>
        <w:rPr>
          <w:rFonts w:ascii="Arial" w:hAnsi="Arial" w:cs="Arial"/>
          <w:b/>
          <w:color w:val="222222"/>
          <w:u w:val="single"/>
          <w:shd w:val="clear" w:color="auto" w:fill="DADCFF"/>
        </w:rPr>
        <w:t>Banking Financial Management and Financial Markets</w:t>
      </w:r>
    </w:p>
    <w:p w14:paraId="502E9894" w14:textId="6DF4009F" w:rsidR="00327E41" w:rsidRDefault="00327E41" w:rsidP="00327E41">
      <w:pPr>
        <w:jc w:val="center"/>
        <w:rPr>
          <w:b/>
          <w:sz w:val="28"/>
          <w:szCs w:val="28"/>
        </w:rPr>
      </w:pPr>
      <w:r>
        <w:rPr>
          <w:bCs/>
          <w:sz w:val="28"/>
          <w:szCs w:val="28"/>
        </w:rPr>
        <w:t xml:space="preserve">FILE NAME: </w:t>
      </w:r>
      <w:r>
        <w:rPr>
          <w:b/>
          <w:sz w:val="28"/>
          <w:szCs w:val="28"/>
        </w:rPr>
        <w:t>2127061-YEDUKONDALU VADLAMUDI-</w:t>
      </w:r>
      <w:r w:rsidRPr="00327E41">
        <w:rPr>
          <w:rFonts w:ascii="Arial" w:hAnsi="Arial" w:cs="Arial"/>
          <w:b/>
          <w:color w:val="222222"/>
          <w:u w:val="single"/>
          <w:shd w:val="clear" w:color="auto" w:fill="DADCFF"/>
        </w:rPr>
        <w:t xml:space="preserve"> </w:t>
      </w:r>
      <w:r>
        <w:rPr>
          <w:rFonts w:ascii="Arial" w:hAnsi="Arial" w:cs="Arial"/>
          <w:b/>
          <w:color w:val="222222"/>
          <w:u w:val="single"/>
          <w:shd w:val="clear" w:color="auto" w:fill="DADCFF"/>
        </w:rPr>
        <w:t>Banking Financial Management and Financial Markets</w:t>
      </w:r>
    </w:p>
    <w:p w14:paraId="040DFBE4" w14:textId="491DAE1E" w:rsidR="00327E41" w:rsidRDefault="00327E41" w:rsidP="00327E41">
      <w:pPr>
        <w:jc w:val="center"/>
        <w:rPr>
          <w:bCs/>
          <w:sz w:val="28"/>
          <w:szCs w:val="28"/>
        </w:rPr>
      </w:pPr>
      <w:r>
        <w:rPr>
          <w:b/>
          <w:sz w:val="28"/>
          <w:szCs w:val="28"/>
        </w:rPr>
        <w:t>- LCMB7012</w:t>
      </w:r>
    </w:p>
    <w:p w14:paraId="16C99AE2" w14:textId="4F478E4B" w:rsidR="00327E41" w:rsidRDefault="00327E41" w:rsidP="007C5F69">
      <w:pPr>
        <w:jc w:val="center"/>
        <w:rPr>
          <w:rFonts w:cs="Times New Roman"/>
          <w:b/>
          <w:bCs/>
          <w:sz w:val="56"/>
          <w:szCs w:val="52"/>
        </w:rPr>
      </w:pPr>
    </w:p>
    <w:p w14:paraId="072AA3F3" w14:textId="09E04672" w:rsidR="00327E41" w:rsidRDefault="00327E41" w:rsidP="007C5F69">
      <w:pPr>
        <w:jc w:val="center"/>
        <w:rPr>
          <w:rFonts w:cs="Times New Roman"/>
          <w:b/>
          <w:bCs/>
          <w:sz w:val="56"/>
          <w:szCs w:val="52"/>
        </w:rPr>
      </w:pPr>
    </w:p>
    <w:p w14:paraId="7BFB3A7C" w14:textId="6FFF944A" w:rsidR="00327E41" w:rsidRDefault="00327E41" w:rsidP="007C5F69">
      <w:pPr>
        <w:jc w:val="center"/>
        <w:rPr>
          <w:rFonts w:cs="Times New Roman"/>
          <w:b/>
          <w:bCs/>
          <w:sz w:val="56"/>
          <w:szCs w:val="52"/>
        </w:rPr>
      </w:pPr>
    </w:p>
    <w:p w14:paraId="3AE8D4CB" w14:textId="1138379B" w:rsidR="00327E41" w:rsidRDefault="00327E41" w:rsidP="007C5F69">
      <w:pPr>
        <w:jc w:val="center"/>
        <w:rPr>
          <w:rFonts w:cs="Times New Roman"/>
          <w:b/>
          <w:bCs/>
          <w:sz w:val="56"/>
          <w:szCs w:val="52"/>
        </w:rPr>
      </w:pPr>
    </w:p>
    <w:p w14:paraId="34B9F034" w14:textId="5C40CBE3" w:rsidR="00327E41" w:rsidRDefault="00327E41" w:rsidP="007C5F69">
      <w:pPr>
        <w:jc w:val="center"/>
        <w:rPr>
          <w:rFonts w:cs="Times New Roman"/>
          <w:b/>
          <w:bCs/>
          <w:sz w:val="56"/>
          <w:szCs w:val="52"/>
        </w:rPr>
      </w:pPr>
    </w:p>
    <w:p w14:paraId="3CDAAADE" w14:textId="77777777" w:rsidR="00327E41" w:rsidRDefault="00327E41" w:rsidP="007C5F69">
      <w:pPr>
        <w:jc w:val="center"/>
        <w:rPr>
          <w:rFonts w:cs="Times New Roman"/>
          <w:b/>
          <w:bCs/>
          <w:sz w:val="56"/>
          <w:szCs w:val="52"/>
        </w:rPr>
      </w:pPr>
    </w:p>
    <w:p w14:paraId="5181A974" w14:textId="77777777" w:rsidR="007C5F69" w:rsidRDefault="007C5F69" w:rsidP="007C5F69">
      <w:pPr>
        <w:jc w:val="center"/>
        <w:rPr>
          <w:rFonts w:cs="Times New Roman"/>
          <w:b/>
          <w:bCs/>
          <w:sz w:val="56"/>
          <w:szCs w:val="52"/>
        </w:rPr>
      </w:pPr>
    </w:p>
    <w:p w14:paraId="41828EDB" w14:textId="77777777" w:rsidR="007C5F69" w:rsidRDefault="007C5F69" w:rsidP="007C5F69">
      <w:pPr>
        <w:jc w:val="center"/>
        <w:rPr>
          <w:rFonts w:cs="Times New Roman"/>
          <w:b/>
          <w:bCs/>
          <w:sz w:val="56"/>
          <w:szCs w:val="52"/>
        </w:rPr>
      </w:pPr>
    </w:p>
    <w:p w14:paraId="0661383F" w14:textId="77777777" w:rsidR="007C5F69" w:rsidRDefault="007C5F69" w:rsidP="007C5F69">
      <w:pPr>
        <w:jc w:val="center"/>
        <w:rPr>
          <w:rFonts w:cs="Times New Roman"/>
          <w:b/>
          <w:bCs/>
          <w:sz w:val="56"/>
          <w:szCs w:val="52"/>
        </w:rPr>
      </w:pPr>
    </w:p>
    <w:p w14:paraId="08F0D852" w14:textId="48AF4119" w:rsidR="00935C43" w:rsidRPr="007C5F69" w:rsidRDefault="00763851" w:rsidP="007C5F69">
      <w:pPr>
        <w:jc w:val="center"/>
        <w:rPr>
          <w:rFonts w:cs="Times New Roman"/>
          <w:b/>
          <w:bCs/>
          <w:sz w:val="56"/>
          <w:szCs w:val="52"/>
        </w:rPr>
      </w:pPr>
      <w:r w:rsidRPr="007C5F69">
        <w:rPr>
          <w:rFonts w:cs="Times New Roman"/>
          <w:b/>
          <w:bCs/>
          <w:sz w:val="56"/>
          <w:szCs w:val="52"/>
        </w:rPr>
        <w:t>LCMB7012</w:t>
      </w:r>
      <w:r w:rsidR="00C1727E" w:rsidRPr="007C5F69">
        <w:rPr>
          <w:rFonts w:cs="Times New Roman"/>
          <w:b/>
          <w:bCs/>
          <w:sz w:val="56"/>
          <w:szCs w:val="52"/>
        </w:rPr>
        <w:t xml:space="preserve"> Banking Financial Management and Financial Markets</w:t>
      </w:r>
    </w:p>
    <w:p w14:paraId="0E2F7E9B" w14:textId="77777777" w:rsidR="00DC645C" w:rsidRPr="00DC645C" w:rsidRDefault="00DC645C" w:rsidP="00DC645C">
      <w:pPr>
        <w:jc w:val="both"/>
        <w:rPr>
          <w:rFonts w:cs="Times New Roman"/>
        </w:rPr>
      </w:pPr>
      <w:r w:rsidRPr="00DC645C">
        <w:rPr>
          <w:rFonts w:cs="Times New Roman"/>
        </w:rPr>
        <w:br w:type="page"/>
      </w:r>
    </w:p>
    <w:sdt>
      <w:sdtPr>
        <w:rPr>
          <w:rFonts w:ascii="Times New Roman" w:eastAsiaTheme="minorHAnsi" w:hAnsi="Times New Roman" w:cs="Times New Roman"/>
          <w:b/>
          <w:bCs/>
          <w:color w:val="auto"/>
          <w:sz w:val="24"/>
          <w:szCs w:val="22"/>
          <w:lang w:val="en-IN"/>
        </w:rPr>
        <w:id w:val="-1019626289"/>
        <w:docPartObj>
          <w:docPartGallery w:val="Table of Contents"/>
          <w:docPartUnique/>
        </w:docPartObj>
      </w:sdtPr>
      <w:sdtEndPr>
        <w:rPr>
          <w:noProof/>
        </w:rPr>
      </w:sdtEndPr>
      <w:sdtContent>
        <w:p w14:paraId="5D247680" w14:textId="65ED748C" w:rsidR="00DC645C" w:rsidRPr="00DC645C" w:rsidRDefault="00DC645C" w:rsidP="00DC645C">
          <w:pPr>
            <w:pStyle w:val="TOCHeading"/>
            <w:spacing w:line="360" w:lineRule="auto"/>
            <w:jc w:val="both"/>
            <w:rPr>
              <w:rFonts w:ascii="Times New Roman" w:hAnsi="Times New Roman" w:cs="Times New Roman"/>
              <w:b/>
              <w:bCs/>
              <w:color w:val="auto"/>
            </w:rPr>
          </w:pPr>
          <w:r w:rsidRPr="00DC645C">
            <w:rPr>
              <w:rFonts w:ascii="Times New Roman" w:hAnsi="Times New Roman" w:cs="Times New Roman"/>
              <w:b/>
              <w:bCs/>
              <w:color w:val="auto"/>
            </w:rPr>
            <w:t>Table of Contents</w:t>
          </w:r>
        </w:p>
        <w:p w14:paraId="70AD39FC" w14:textId="1788DE41" w:rsidR="00881137" w:rsidRDefault="00DC645C">
          <w:pPr>
            <w:pStyle w:val="TOC1"/>
            <w:tabs>
              <w:tab w:val="right" w:leader="dot" w:pos="9016"/>
            </w:tabs>
            <w:rPr>
              <w:rFonts w:asciiTheme="minorHAnsi" w:eastAsiaTheme="minorEastAsia" w:hAnsiTheme="minorHAnsi"/>
              <w:noProof/>
              <w:sz w:val="22"/>
              <w:lang w:eastAsia="en-IN"/>
            </w:rPr>
          </w:pPr>
          <w:r w:rsidRPr="00DC645C">
            <w:rPr>
              <w:rFonts w:cs="Times New Roman"/>
            </w:rPr>
            <w:fldChar w:fldCharType="begin"/>
          </w:r>
          <w:r w:rsidRPr="00DC645C">
            <w:rPr>
              <w:rFonts w:cs="Times New Roman"/>
            </w:rPr>
            <w:instrText xml:space="preserve"> TOC \o "1-3" \h \z \u </w:instrText>
          </w:r>
          <w:r w:rsidRPr="00DC645C">
            <w:rPr>
              <w:rFonts w:cs="Times New Roman"/>
            </w:rPr>
            <w:fldChar w:fldCharType="separate"/>
          </w:r>
          <w:hyperlink w:anchor="_Toc121571264" w:history="1">
            <w:r w:rsidR="00881137" w:rsidRPr="00937B06">
              <w:rPr>
                <w:rStyle w:val="Hyperlink"/>
                <w:rFonts w:cs="Times New Roman"/>
                <w:noProof/>
              </w:rPr>
              <w:t>Introduction</w:t>
            </w:r>
            <w:r w:rsidR="00881137">
              <w:rPr>
                <w:noProof/>
                <w:webHidden/>
              </w:rPr>
              <w:tab/>
            </w:r>
            <w:r w:rsidR="00881137">
              <w:rPr>
                <w:noProof/>
                <w:webHidden/>
              </w:rPr>
              <w:fldChar w:fldCharType="begin"/>
            </w:r>
            <w:r w:rsidR="00881137">
              <w:rPr>
                <w:noProof/>
                <w:webHidden/>
              </w:rPr>
              <w:instrText xml:space="preserve"> PAGEREF _Toc121571264 \h </w:instrText>
            </w:r>
            <w:r w:rsidR="00881137">
              <w:rPr>
                <w:noProof/>
                <w:webHidden/>
              </w:rPr>
            </w:r>
            <w:r w:rsidR="00881137">
              <w:rPr>
                <w:noProof/>
                <w:webHidden/>
              </w:rPr>
              <w:fldChar w:fldCharType="separate"/>
            </w:r>
            <w:r w:rsidR="00881137">
              <w:rPr>
                <w:noProof/>
                <w:webHidden/>
              </w:rPr>
              <w:t>3</w:t>
            </w:r>
            <w:r w:rsidR="00881137">
              <w:rPr>
                <w:noProof/>
                <w:webHidden/>
              </w:rPr>
              <w:fldChar w:fldCharType="end"/>
            </w:r>
          </w:hyperlink>
        </w:p>
        <w:p w14:paraId="40967694" w14:textId="22816FEA" w:rsidR="00881137" w:rsidRDefault="001A7B56">
          <w:pPr>
            <w:pStyle w:val="TOC1"/>
            <w:tabs>
              <w:tab w:val="right" w:leader="dot" w:pos="9016"/>
            </w:tabs>
            <w:rPr>
              <w:rFonts w:asciiTheme="minorHAnsi" w:eastAsiaTheme="minorEastAsia" w:hAnsiTheme="minorHAnsi"/>
              <w:noProof/>
              <w:sz w:val="22"/>
              <w:lang w:eastAsia="en-IN"/>
            </w:rPr>
          </w:pPr>
          <w:hyperlink w:anchor="_Toc121571265" w:history="1">
            <w:r w:rsidR="00881137" w:rsidRPr="00937B06">
              <w:rPr>
                <w:rStyle w:val="Hyperlink"/>
                <w:noProof/>
              </w:rPr>
              <w:t>Significant financial crisis-era legislation, rules, and agreements established in the United Kingdom, the United States, and the European Union</w:t>
            </w:r>
            <w:r w:rsidR="00881137">
              <w:rPr>
                <w:noProof/>
                <w:webHidden/>
              </w:rPr>
              <w:tab/>
            </w:r>
            <w:r w:rsidR="00881137">
              <w:rPr>
                <w:noProof/>
                <w:webHidden/>
              </w:rPr>
              <w:fldChar w:fldCharType="begin"/>
            </w:r>
            <w:r w:rsidR="00881137">
              <w:rPr>
                <w:noProof/>
                <w:webHidden/>
              </w:rPr>
              <w:instrText xml:space="preserve"> PAGEREF _Toc121571265 \h </w:instrText>
            </w:r>
            <w:r w:rsidR="00881137">
              <w:rPr>
                <w:noProof/>
                <w:webHidden/>
              </w:rPr>
            </w:r>
            <w:r w:rsidR="00881137">
              <w:rPr>
                <w:noProof/>
                <w:webHidden/>
              </w:rPr>
              <w:fldChar w:fldCharType="separate"/>
            </w:r>
            <w:r w:rsidR="00881137">
              <w:rPr>
                <w:noProof/>
                <w:webHidden/>
              </w:rPr>
              <w:t>3</w:t>
            </w:r>
            <w:r w:rsidR="00881137">
              <w:rPr>
                <w:noProof/>
                <w:webHidden/>
              </w:rPr>
              <w:fldChar w:fldCharType="end"/>
            </w:r>
          </w:hyperlink>
        </w:p>
        <w:p w14:paraId="674FD352" w14:textId="315BD85C" w:rsidR="00881137" w:rsidRDefault="001A7B56">
          <w:pPr>
            <w:pStyle w:val="TOC1"/>
            <w:tabs>
              <w:tab w:val="right" w:leader="dot" w:pos="9016"/>
            </w:tabs>
            <w:rPr>
              <w:rFonts w:asciiTheme="minorHAnsi" w:eastAsiaTheme="minorEastAsia" w:hAnsiTheme="minorHAnsi"/>
              <w:noProof/>
              <w:sz w:val="22"/>
              <w:lang w:eastAsia="en-IN"/>
            </w:rPr>
          </w:pPr>
          <w:hyperlink w:anchor="_Toc121571266" w:history="1">
            <w:r w:rsidR="00881137" w:rsidRPr="00937B06">
              <w:rPr>
                <w:rStyle w:val="Hyperlink"/>
                <w:rFonts w:cs="Times New Roman"/>
                <w:noProof/>
              </w:rPr>
              <w:t>Stabilising the financial system and the different banking institutions</w:t>
            </w:r>
            <w:r w:rsidR="00881137">
              <w:rPr>
                <w:noProof/>
                <w:webHidden/>
              </w:rPr>
              <w:tab/>
            </w:r>
            <w:r w:rsidR="00881137">
              <w:rPr>
                <w:noProof/>
                <w:webHidden/>
              </w:rPr>
              <w:fldChar w:fldCharType="begin"/>
            </w:r>
            <w:r w:rsidR="00881137">
              <w:rPr>
                <w:noProof/>
                <w:webHidden/>
              </w:rPr>
              <w:instrText xml:space="preserve"> PAGEREF _Toc121571266 \h </w:instrText>
            </w:r>
            <w:r w:rsidR="00881137">
              <w:rPr>
                <w:noProof/>
                <w:webHidden/>
              </w:rPr>
            </w:r>
            <w:r w:rsidR="00881137">
              <w:rPr>
                <w:noProof/>
                <w:webHidden/>
              </w:rPr>
              <w:fldChar w:fldCharType="separate"/>
            </w:r>
            <w:r w:rsidR="00881137">
              <w:rPr>
                <w:noProof/>
                <w:webHidden/>
              </w:rPr>
              <w:t>4</w:t>
            </w:r>
            <w:r w:rsidR="00881137">
              <w:rPr>
                <w:noProof/>
                <w:webHidden/>
              </w:rPr>
              <w:fldChar w:fldCharType="end"/>
            </w:r>
          </w:hyperlink>
        </w:p>
        <w:p w14:paraId="7C6ADC88" w14:textId="1C2DDA0E" w:rsidR="00881137" w:rsidRDefault="001A7B56">
          <w:pPr>
            <w:pStyle w:val="TOC1"/>
            <w:tabs>
              <w:tab w:val="right" w:leader="dot" w:pos="9016"/>
            </w:tabs>
            <w:rPr>
              <w:rFonts w:asciiTheme="minorHAnsi" w:eastAsiaTheme="minorEastAsia" w:hAnsiTheme="minorHAnsi"/>
              <w:noProof/>
              <w:sz w:val="22"/>
              <w:lang w:eastAsia="en-IN"/>
            </w:rPr>
          </w:pPr>
          <w:hyperlink w:anchor="_Toc121571267" w:history="1">
            <w:r w:rsidR="00881137" w:rsidRPr="00937B06">
              <w:rPr>
                <w:rStyle w:val="Hyperlink"/>
                <w:rFonts w:cs="Times New Roman"/>
                <w:noProof/>
              </w:rPr>
              <w:t>Impact on their business model and their level of compliance/non-compliance to these reforms</w:t>
            </w:r>
            <w:r w:rsidR="00881137">
              <w:rPr>
                <w:noProof/>
                <w:webHidden/>
              </w:rPr>
              <w:tab/>
            </w:r>
            <w:r w:rsidR="00881137">
              <w:rPr>
                <w:noProof/>
                <w:webHidden/>
              </w:rPr>
              <w:fldChar w:fldCharType="begin"/>
            </w:r>
            <w:r w:rsidR="00881137">
              <w:rPr>
                <w:noProof/>
                <w:webHidden/>
              </w:rPr>
              <w:instrText xml:space="preserve"> PAGEREF _Toc121571267 \h </w:instrText>
            </w:r>
            <w:r w:rsidR="00881137">
              <w:rPr>
                <w:noProof/>
                <w:webHidden/>
              </w:rPr>
            </w:r>
            <w:r w:rsidR="00881137">
              <w:rPr>
                <w:noProof/>
                <w:webHidden/>
              </w:rPr>
              <w:fldChar w:fldCharType="separate"/>
            </w:r>
            <w:r w:rsidR="00881137">
              <w:rPr>
                <w:noProof/>
                <w:webHidden/>
              </w:rPr>
              <w:t>4</w:t>
            </w:r>
            <w:r w:rsidR="00881137">
              <w:rPr>
                <w:noProof/>
                <w:webHidden/>
              </w:rPr>
              <w:fldChar w:fldCharType="end"/>
            </w:r>
          </w:hyperlink>
        </w:p>
        <w:p w14:paraId="2A9B5541" w14:textId="22FC57CB" w:rsidR="00881137" w:rsidRDefault="001A7B56">
          <w:pPr>
            <w:pStyle w:val="TOC1"/>
            <w:tabs>
              <w:tab w:val="right" w:leader="dot" w:pos="9016"/>
            </w:tabs>
            <w:rPr>
              <w:rFonts w:asciiTheme="minorHAnsi" w:eastAsiaTheme="minorEastAsia" w:hAnsiTheme="minorHAnsi"/>
              <w:noProof/>
              <w:sz w:val="22"/>
              <w:lang w:eastAsia="en-IN"/>
            </w:rPr>
          </w:pPr>
          <w:hyperlink w:anchor="_Toc121571268" w:history="1">
            <w:r w:rsidR="00881137" w:rsidRPr="00937B06">
              <w:rPr>
                <w:rStyle w:val="Hyperlink"/>
                <w:rFonts w:cs="Times New Roman"/>
                <w:noProof/>
              </w:rPr>
              <w:t>Conclusion</w:t>
            </w:r>
            <w:r w:rsidR="00881137">
              <w:rPr>
                <w:noProof/>
                <w:webHidden/>
              </w:rPr>
              <w:tab/>
            </w:r>
            <w:r w:rsidR="00881137">
              <w:rPr>
                <w:noProof/>
                <w:webHidden/>
              </w:rPr>
              <w:fldChar w:fldCharType="begin"/>
            </w:r>
            <w:r w:rsidR="00881137">
              <w:rPr>
                <w:noProof/>
                <w:webHidden/>
              </w:rPr>
              <w:instrText xml:space="preserve"> PAGEREF _Toc121571268 \h </w:instrText>
            </w:r>
            <w:r w:rsidR="00881137">
              <w:rPr>
                <w:noProof/>
                <w:webHidden/>
              </w:rPr>
            </w:r>
            <w:r w:rsidR="00881137">
              <w:rPr>
                <w:noProof/>
                <w:webHidden/>
              </w:rPr>
              <w:fldChar w:fldCharType="separate"/>
            </w:r>
            <w:r w:rsidR="00881137">
              <w:rPr>
                <w:noProof/>
                <w:webHidden/>
              </w:rPr>
              <w:t>5</w:t>
            </w:r>
            <w:r w:rsidR="00881137">
              <w:rPr>
                <w:noProof/>
                <w:webHidden/>
              </w:rPr>
              <w:fldChar w:fldCharType="end"/>
            </w:r>
          </w:hyperlink>
        </w:p>
        <w:p w14:paraId="24225E3B" w14:textId="4B3436CF" w:rsidR="00881137" w:rsidRDefault="001A7B56">
          <w:pPr>
            <w:pStyle w:val="TOC1"/>
            <w:tabs>
              <w:tab w:val="right" w:leader="dot" w:pos="9016"/>
            </w:tabs>
            <w:rPr>
              <w:rFonts w:asciiTheme="minorHAnsi" w:eastAsiaTheme="minorEastAsia" w:hAnsiTheme="minorHAnsi"/>
              <w:noProof/>
              <w:sz w:val="22"/>
              <w:lang w:eastAsia="en-IN"/>
            </w:rPr>
          </w:pPr>
          <w:hyperlink w:anchor="_Toc121571269" w:history="1">
            <w:r w:rsidR="00881137" w:rsidRPr="00937B06">
              <w:rPr>
                <w:rStyle w:val="Hyperlink"/>
                <w:rFonts w:cs="Times New Roman"/>
                <w:noProof/>
              </w:rPr>
              <w:t>References</w:t>
            </w:r>
            <w:r w:rsidR="00881137">
              <w:rPr>
                <w:noProof/>
                <w:webHidden/>
              </w:rPr>
              <w:tab/>
            </w:r>
            <w:r w:rsidR="00881137">
              <w:rPr>
                <w:noProof/>
                <w:webHidden/>
              </w:rPr>
              <w:fldChar w:fldCharType="begin"/>
            </w:r>
            <w:r w:rsidR="00881137">
              <w:rPr>
                <w:noProof/>
                <w:webHidden/>
              </w:rPr>
              <w:instrText xml:space="preserve"> PAGEREF _Toc121571269 \h </w:instrText>
            </w:r>
            <w:r w:rsidR="00881137">
              <w:rPr>
                <w:noProof/>
                <w:webHidden/>
              </w:rPr>
            </w:r>
            <w:r w:rsidR="00881137">
              <w:rPr>
                <w:noProof/>
                <w:webHidden/>
              </w:rPr>
              <w:fldChar w:fldCharType="separate"/>
            </w:r>
            <w:r w:rsidR="00881137">
              <w:rPr>
                <w:noProof/>
                <w:webHidden/>
              </w:rPr>
              <w:t>5</w:t>
            </w:r>
            <w:r w:rsidR="00881137">
              <w:rPr>
                <w:noProof/>
                <w:webHidden/>
              </w:rPr>
              <w:fldChar w:fldCharType="end"/>
            </w:r>
          </w:hyperlink>
        </w:p>
        <w:p w14:paraId="5AE2FC71" w14:textId="5585B913" w:rsidR="00DC645C" w:rsidRPr="00DC645C" w:rsidRDefault="00DC645C" w:rsidP="00DC645C">
          <w:pPr>
            <w:jc w:val="both"/>
            <w:rPr>
              <w:rFonts w:cs="Times New Roman"/>
            </w:rPr>
          </w:pPr>
          <w:r w:rsidRPr="00DC645C">
            <w:rPr>
              <w:rFonts w:cs="Times New Roman"/>
              <w:b/>
              <w:bCs/>
              <w:noProof/>
            </w:rPr>
            <w:fldChar w:fldCharType="end"/>
          </w:r>
        </w:p>
      </w:sdtContent>
    </w:sdt>
    <w:p w14:paraId="487F74AF" w14:textId="35EE3336" w:rsidR="00C1727E" w:rsidRPr="00DC645C" w:rsidRDefault="00C1727E" w:rsidP="00DC645C">
      <w:pPr>
        <w:jc w:val="both"/>
        <w:rPr>
          <w:rFonts w:cs="Times New Roman"/>
        </w:rPr>
      </w:pPr>
      <w:r w:rsidRPr="00DC645C">
        <w:rPr>
          <w:rFonts w:cs="Times New Roman"/>
        </w:rPr>
        <w:br w:type="page"/>
      </w:r>
    </w:p>
    <w:p w14:paraId="55FC0D7F" w14:textId="0A235EE7" w:rsidR="00C1727E" w:rsidRPr="00DC645C" w:rsidRDefault="00C1727E" w:rsidP="00DC645C">
      <w:pPr>
        <w:pStyle w:val="Heading1"/>
        <w:jc w:val="both"/>
        <w:rPr>
          <w:rFonts w:cs="Times New Roman"/>
          <w:color w:val="auto"/>
        </w:rPr>
      </w:pPr>
      <w:bookmarkStart w:id="0" w:name="_Toc121571264"/>
      <w:r w:rsidRPr="00DC645C">
        <w:rPr>
          <w:rFonts w:cs="Times New Roman"/>
          <w:color w:val="auto"/>
        </w:rPr>
        <w:lastRenderedPageBreak/>
        <w:t>Introduction</w:t>
      </w:r>
      <w:bookmarkEnd w:id="0"/>
    </w:p>
    <w:p w14:paraId="09FC7BBF" w14:textId="50A0BE72" w:rsidR="0083781A" w:rsidRPr="00DC645C" w:rsidRDefault="0083781A" w:rsidP="00DC645C">
      <w:pPr>
        <w:jc w:val="both"/>
        <w:rPr>
          <w:rFonts w:cs="Times New Roman"/>
        </w:rPr>
      </w:pPr>
      <w:r w:rsidRPr="00DC645C">
        <w:rPr>
          <w:rFonts w:cs="Times New Roman"/>
        </w:rPr>
        <w:t xml:space="preserve">In the United States, </w:t>
      </w:r>
      <w:r w:rsidR="00B70AE4" w:rsidRPr="00B70AE4">
        <w:rPr>
          <w:rFonts w:cs="Times New Roman"/>
        </w:rPr>
        <w:t xml:space="preserve">increasing who is eligible to get a mortgage was required by law in anticipation of the 2008 financial crisis. In 2004, Fannie Mae and Freddie Mac began purchasing substantial quantities of mortgage-related </w:t>
      </w:r>
      <w:r w:rsidR="00290709" w:rsidRPr="00B70AE4">
        <w:rPr>
          <w:rFonts w:cs="Times New Roman"/>
        </w:rPr>
        <w:t>assets.</w:t>
      </w:r>
      <w:r w:rsidRPr="00DC645C">
        <w:rPr>
          <w:rFonts w:cs="Times New Roman"/>
        </w:rPr>
        <w:t xml:space="preserve"> These purchases were mostly of riskier Alt-A mortgages. Subprime mortgages were used as collateral for private-label mortgage-based products, which led to substantial profits. When CDOs backed by U.S. subprime mortgage loans were marketed to overseas financial institutions, several international banks purchased them. Violent tremors were felt all throughout the world's financial system as a result of the United States' mortgage default crisis. There was a serious scarcity of credit available to both consumers and companies as a result of banks stopping their interbank lending activities.</w:t>
      </w:r>
    </w:p>
    <w:p w14:paraId="2A9E8072" w14:textId="74539306" w:rsidR="006765E1" w:rsidRPr="006765E1" w:rsidRDefault="006765E1" w:rsidP="006765E1">
      <w:pPr>
        <w:pStyle w:val="Heading1"/>
      </w:pPr>
      <w:bookmarkStart w:id="1" w:name="_Toc121571265"/>
      <w:r w:rsidRPr="006765E1">
        <w:t>Significant financial crisis-era legislation, rules, and agreements established in the United Kingdom, the United States, and the European Union</w:t>
      </w:r>
      <w:bookmarkEnd w:id="1"/>
    </w:p>
    <w:p w14:paraId="4900FA4F" w14:textId="77777777" w:rsidR="00C1727E" w:rsidRPr="00DC645C" w:rsidRDefault="00C1727E" w:rsidP="00DC645C">
      <w:pPr>
        <w:jc w:val="both"/>
        <w:rPr>
          <w:rFonts w:cs="Times New Roman"/>
        </w:rPr>
      </w:pPr>
      <w:r w:rsidRPr="00DC645C">
        <w:rPr>
          <w:rFonts w:cs="Times New Roman"/>
        </w:rPr>
        <w:t>When the housing market in the United States collapsed in 2008, it set off the "subprime mortgage crisis" and posed a danger to economies throughout the world. The failure of several financial institutions triggered the Great Depression. Firms like this included investment banks, commercial banks, mortgage lenders, insurance companies, and savings and loan associations.</w:t>
      </w:r>
    </w:p>
    <w:p w14:paraId="77085C9C" w14:textId="3DDFE294" w:rsidR="00157FD8" w:rsidRDefault="00C1727E" w:rsidP="00DC645C">
      <w:pPr>
        <w:jc w:val="both"/>
        <w:rPr>
          <w:rFonts w:cs="Times New Roman"/>
        </w:rPr>
      </w:pPr>
      <w:r w:rsidRPr="00DC645C">
        <w:rPr>
          <w:rFonts w:cs="Times New Roman"/>
          <w:b/>
          <w:bCs/>
          <w:i/>
          <w:iCs/>
        </w:rPr>
        <w:t>Securities Act of 1933</w:t>
      </w:r>
      <w:r w:rsidRPr="00DC645C">
        <w:rPr>
          <w:rFonts w:cs="Times New Roman"/>
        </w:rPr>
        <w:t>: As a result of the Dodd-Frank Act, the definition of an accredited investor was updated to exclude a person's principal residence from their net worth, and Regulation D was amended to exclude some securities from the need for registration</w:t>
      </w:r>
      <w:r w:rsidR="00CC62D0" w:rsidRPr="00DC645C">
        <w:rPr>
          <w:rFonts w:cs="Times New Roman"/>
        </w:rPr>
        <w:t xml:space="preserve"> (</w:t>
      </w:r>
      <w:r w:rsidR="00CC62D0" w:rsidRPr="00DC645C">
        <w:rPr>
          <w:rFonts w:cs="Times New Roman"/>
          <w:shd w:val="clear" w:color="auto" w:fill="FFFFFF"/>
        </w:rPr>
        <w:t>Jiang et al, 2019</w:t>
      </w:r>
      <w:r w:rsidR="00CC62D0" w:rsidRPr="00DC645C">
        <w:rPr>
          <w:rFonts w:cs="Times New Roman"/>
        </w:rPr>
        <w:t>)</w:t>
      </w:r>
      <w:r w:rsidRPr="00DC645C">
        <w:rPr>
          <w:rFonts w:cs="Times New Roman"/>
        </w:rPr>
        <w:t>.</w:t>
      </w:r>
      <w:r w:rsidR="00157FD8">
        <w:rPr>
          <w:rFonts w:cs="Times New Roman"/>
        </w:rPr>
        <w:t xml:space="preserve"> </w:t>
      </w:r>
      <w:r w:rsidR="00157FD8" w:rsidRPr="00157FD8">
        <w:rPr>
          <w:rFonts w:cs="Times New Roman"/>
        </w:rPr>
        <w:t>In 1933, Congress enacted the Securities Act, which is considered to be the first important piece of legislation regarding securities. Historically, the majority of authority over the sale of securities rested with the legal codes of individual governments</w:t>
      </w:r>
      <w:r w:rsidR="00BD2D5D">
        <w:rPr>
          <w:rFonts w:cs="Times New Roman"/>
        </w:rPr>
        <w:t xml:space="preserve"> (</w:t>
      </w:r>
      <w:r w:rsidR="00BD2D5D">
        <w:t>Asher &amp; Wilcox, 2022</w:t>
      </w:r>
      <w:r w:rsidR="00BD2D5D">
        <w:rPr>
          <w:rFonts w:cs="Times New Roman"/>
        </w:rPr>
        <w:t>)</w:t>
      </w:r>
      <w:r w:rsidR="00157FD8" w:rsidRPr="00157FD8">
        <w:rPr>
          <w:rFonts w:cs="Times New Roman"/>
        </w:rPr>
        <w:t xml:space="preserve">. In an effort to improve transparency, the Act mandated that businesses provide reports to the Securities and Exchange Commission (SEC). </w:t>
      </w:r>
    </w:p>
    <w:p w14:paraId="458F7FEA" w14:textId="3EACE3CE" w:rsidR="00C1727E" w:rsidRPr="00DC645C" w:rsidRDefault="00157FD8" w:rsidP="00DC645C">
      <w:pPr>
        <w:jc w:val="both"/>
        <w:rPr>
          <w:rFonts w:cs="Times New Roman"/>
        </w:rPr>
      </w:pPr>
      <w:r w:rsidRPr="00157FD8">
        <w:rPr>
          <w:rFonts w:cs="Times New Roman"/>
        </w:rPr>
        <w:t xml:space="preserve">All pertinent information must be included in a company's prospectus if it is going to go through the SEC registration procedure and be distributed to potential investors. Investors have a legal right to obtain financial information on publicly traded securities via the Freedom of Information Act (also known as the "Truth in Securities" statute, the 1933 Act, and the Federal Securities Act). That is to say, enterprises need to produce investor-friendly disclosures prior </w:t>
      </w:r>
      <w:r w:rsidRPr="00157FD8">
        <w:rPr>
          <w:rFonts w:cs="Times New Roman"/>
        </w:rPr>
        <w:lastRenderedPageBreak/>
        <w:t>to becoming public in order to meet the requirements. The Securities Act of 1933 was the first piece of legislation that the federal government passed in order to begin the process of regulating the stock market. Because of the statute, responsibilities moved up from the level of the states to that of the federal government. This law also standardised regulations that were enacted with the intention of shielding investors from fraudulent activity. Because it was approved by Congress and made a law by the president, many people believe it to be a part of FDR's New Deal. This is due to the fact that it was enacted into law</w:t>
      </w:r>
      <w:r w:rsidR="00736555">
        <w:rPr>
          <w:rFonts w:cs="Times New Roman"/>
        </w:rPr>
        <w:t xml:space="preserve"> (</w:t>
      </w:r>
      <w:r w:rsidR="00736555">
        <w:t>Castelblanco &amp; Guevara, 2022</w:t>
      </w:r>
      <w:r w:rsidR="00736555">
        <w:rPr>
          <w:rFonts w:cs="Times New Roman"/>
        </w:rPr>
        <w:t>)</w:t>
      </w:r>
      <w:r w:rsidRPr="00157FD8">
        <w:rPr>
          <w:rFonts w:cs="Times New Roman"/>
        </w:rPr>
        <w:t>. The Securities Exchange Act of 1934 authorised the establishment of the Securities and Exchange Commission (SEC) with the purpose of ensuring compliance with the Securities Act of 1933. In order to bring the regulations up to date, many amendments to the Act itself have been made, with the most recent one being in 2018.</w:t>
      </w:r>
    </w:p>
    <w:p w14:paraId="4BAA0652" w14:textId="77777777" w:rsidR="00073CFC" w:rsidRDefault="00C1727E" w:rsidP="00DC645C">
      <w:pPr>
        <w:jc w:val="both"/>
        <w:rPr>
          <w:rFonts w:cs="Times New Roman"/>
        </w:rPr>
      </w:pPr>
      <w:r w:rsidRPr="00DC645C">
        <w:rPr>
          <w:rFonts w:cs="Times New Roman"/>
          <w:b/>
          <w:bCs/>
          <w:i/>
          <w:iCs/>
        </w:rPr>
        <w:t>Securities Exchange Act of 1934</w:t>
      </w:r>
      <w:r w:rsidRPr="00DC645C">
        <w:rPr>
          <w:rFonts w:cs="Times New Roman"/>
        </w:rPr>
        <w:t xml:space="preserve">: </w:t>
      </w:r>
      <w:r w:rsidR="00073CFC" w:rsidRPr="00073CFC">
        <w:rPr>
          <w:rFonts w:cs="Times New Roman"/>
        </w:rPr>
        <w:t>Title IX of the Dodd-Frank Act mandates that the Investor Advisory Committee (IAC), the Office of the Investor Advocate (OIA), and an ombudsman appointed by the OIA address issues related to investment firm accountability, executive compensation, corporate governance, and conflicts of interest, as well as mutual fund advertising. The Office of Credit Ratings was established by the SEC under Title IX of the Securities Exchange Act of 1934 and is responsible for overseeing mortgage-backed securitization (Cheng-An et al, 2022). Publicly traded companies are subject to strict restrictions that were established by the Securities Exchange Act of 1934. Registration, disclosure, proxy solicitation, margin, and auditing are all steps that must be taken before trading can commence on an exchange. These rules are meant to create a level playing field for all market players and increase investor confidence. The Securities and Exchange Commission's (SEC) ability to regulate the securities industry was significantly strengthened by the Securities and Exchange Act of 1934. Its five divisions are overseen by commissioners selected by the president (Corporate Finance, Trading and Markets, Investment Management, Enforcement, and Economic and Risk Analysis). The SEC has the authority and responsibility to investigate possible violations of the SEA (Deshmukh et al, 2022). Insider trading, selling stocks without a registration statement, stealing from customers, manipulating stock prices, offering false financial data, and betraying clients' confidence are all examples.</w:t>
      </w:r>
    </w:p>
    <w:p w14:paraId="2D2B1E55" w14:textId="0B9419AF" w:rsidR="00C1727E" w:rsidRPr="00157FD8" w:rsidRDefault="00157FD8" w:rsidP="00DC645C">
      <w:pPr>
        <w:jc w:val="both"/>
      </w:pPr>
      <w:r w:rsidRPr="00B64FDF">
        <w:t xml:space="preserve">During Roosevelt's tenure as president, a number of important pieces of legislation, including the Trust Indenture Act of 1934, the Investment Advisers Act of 1940, and the Investment Company Act of 1940, were passed into law. These events took place during a time when financial regulations were lax, and during that time, a small number of persons purchased huge </w:t>
      </w:r>
      <w:r w:rsidRPr="00B64FDF">
        <w:lastRenderedPageBreak/>
        <w:t>blocks of shares in publicly listed firms in order to exercise secret influence over these organisations. You may think it would be tough to access DeFi platforms for cryptocurrencies, NFTs, and other types of digital assets, but in reality, it is much simpler than you may think. OKX offers the highest level of security that is currently accessible, making it ideal for purchasing and selling digital assets as well as storing them. Connecting your current wallets and making a cryptocurrency purchase or top-up of at least $50 within the first 30 days of joining the platform is required in order to be eligible for the chance to win up to $10,000. Get familiar with the fundamentals, then get right in</w:t>
      </w:r>
      <w:r w:rsidR="003A788F">
        <w:t xml:space="preserve"> (Hu et ak, 2022)</w:t>
      </w:r>
      <w:r w:rsidRPr="00B64FDF">
        <w:t>.</w:t>
      </w:r>
    </w:p>
    <w:p w14:paraId="6852E834" w14:textId="69C7027A" w:rsidR="00C6014C" w:rsidRDefault="00C1727E" w:rsidP="00DC645C">
      <w:pPr>
        <w:jc w:val="both"/>
        <w:rPr>
          <w:rFonts w:cs="Times New Roman"/>
        </w:rPr>
      </w:pPr>
      <w:r w:rsidRPr="00DC645C">
        <w:rPr>
          <w:rFonts w:cs="Times New Roman"/>
          <w:b/>
          <w:bCs/>
          <w:i/>
          <w:iCs/>
        </w:rPr>
        <w:t>Investment Company Act of 1940</w:t>
      </w:r>
      <w:r w:rsidRPr="00DC645C">
        <w:rPr>
          <w:rFonts w:cs="Times New Roman"/>
        </w:rPr>
        <w:t xml:space="preserve">: There are now more stringent regulations in place to safeguard consumers and more readily available information </w:t>
      </w:r>
      <w:r w:rsidR="00157FD8" w:rsidRPr="00DC645C">
        <w:rPr>
          <w:rFonts w:cs="Times New Roman"/>
        </w:rPr>
        <w:t>appreciations</w:t>
      </w:r>
      <w:r w:rsidRPr="00DC645C">
        <w:rPr>
          <w:rFonts w:cs="Times New Roman"/>
        </w:rPr>
        <w:t xml:space="preserve"> to the Dodd-Frank Act</w:t>
      </w:r>
      <w:r w:rsidR="00943529" w:rsidRPr="00DC645C">
        <w:rPr>
          <w:rFonts w:cs="Times New Roman"/>
        </w:rPr>
        <w:t xml:space="preserve"> (</w:t>
      </w:r>
      <w:r w:rsidR="00943529" w:rsidRPr="00DC645C">
        <w:rPr>
          <w:rFonts w:cs="Times New Roman"/>
          <w:shd w:val="clear" w:color="auto" w:fill="FFFFFF"/>
        </w:rPr>
        <w:t>Tripathi &amp; Dixit, 2019</w:t>
      </w:r>
      <w:r w:rsidR="00943529" w:rsidRPr="00DC645C">
        <w:rPr>
          <w:rFonts w:cs="Times New Roman"/>
        </w:rPr>
        <w:t>)</w:t>
      </w:r>
      <w:r w:rsidRPr="00DC645C">
        <w:rPr>
          <w:rFonts w:cs="Times New Roman"/>
        </w:rPr>
        <w:t>.</w:t>
      </w:r>
      <w:r w:rsidR="00C6014C">
        <w:rPr>
          <w:rFonts w:cs="Times New Roman"/>
        </w:rPr>
        <w:t xml:space="preserve"> </w:t>
      </w:r>
      <w:r w:rsidR="00C6014C" w:rsidRPr="00C6014C">
        <w:rPr>
          <w:rFonts w:cs="Times New Roman"/>
        </w:rPr>
        <w:t>The Act mandates that firms inform investors of important information about the company's financial state and investment plan before to the sale of shares and at regular intervals thereafter. This Act is primarily concerned with the structuring and running of investment firms, as well as the presentation of such data to the investing public. Keep in mind that the Act forbids the SEC from exercising any form of supervision over the activities or decisions of these corporations, including making any sort of quality judgements regarding the investments made by them</w:t>
      </w:r>
      <w:r w:rsidR="00E53203">
        <w:rPr>
          <w:rFonts w:cs="Times New Roman"/>
        </w:rPr>
        <w:t xml:space="preserve"> (</w:t>
      </w:r>
      <w:r w:rsidR="00E53203">
        <w:t>Iershova et al, 2021</w:t>
      </w:r>
      <w:r w:rsidR="00E53203">
        <w:rPr>
          <w:rFonts w:cs="Times New Roman"/>
        </w:rPr>
        <w:t>)</w:t>
      </w:r>
      <w:r w:rsidR="00C6014C" w:rsidRPr="00C6014C">
        <w:rPr>
          <w:rFonts w:cs="Times New Roman"/>
        </w:rPr>
        <w:t xml:space="preserve">. Investment businesses are subject to the Investment Company Act in most cases, however this is not always the case. According to Sections 3(c)(1) and 3(c)(2) of the Act, hedge funds are exempt from its provisions (7). </w:t>
      </w:r>
    </w:p>
    <w:p w14:paraId="6A37730D" w14:textId="1B0A0CDC" w:rsidR="00C1727E" w:rsidRPr="00DC645C" w:rsidRDefault="00C6014C" w:rsidP="00DC645C">
      <w:pPr>
        <w:jc w:val="both"/>
        <w:rPr>
          <w:rFonts w:cs="Times New Roman"/>
        </w:rPr>
      </w:pPr>
      <w:r w:rsidRPr="00C6014C">
        <w:rPr>
          <w:rFonts w:cs="Times New Roman"/>
        </w:rPr>
        <w:t>The Investment Company Act of 1940 regulates the funding and issuing of securities for registered investment companies. Uncompliant lending is prohibited by the Act. The bank will want a statement from the borrower in the loan agreement that the company is not an investment firm due to the stringent laws prohibiting lending to the investment sector. The issuer often guarantees that it is not an investment firm and is not required to register as such under the Investment Company Act of 1940 in both the underwriting agreement for an SEC-registered offering and the purchase agreement for a private placement. The Investment Company Act of 1940 was adopted after the 1929 stock market crash to establish standardised regulations for the financial sector as a whole and reduce the likelihood of another such crash. Financial services and products industries are heavily regulated by this agency</w:t>
      </w:r>
      <w:r w:rsidR="00AD130B">
        <w:rPr>
          <w:rFonts w:cs="Times New Roman"/>
        </w:rPr>
        <w:t xml:space="preserve"> (</w:t>
      </w:r>
      <w:r w:rsidR="00AD130B">
        <w:t>Khalatur et al, 2022</w:t>
      </w:r>
      <w:r w:rsidR="00AD130B">
        <w:rPr>
          <w:rFonts w:cs="Times New Roman"/>
        </w:rPr>
        <w:t>)</w:t>
      </w:r>
      <w:r w:rsidRPr="00C6014C">
        <w:rPr>
          <w:rFonts w:cs="Times New Roman"/>
        </w:rPr>
        <w:t>. Congress passed two pieces of legislation in reaction to the crash: the Investment Company Act of 1940, which established a framework for the regulation of retail investment products, and the Securities Act of 1933, which focused on better educating investors.</w:t>
      </w:r>
    </w:p>
    <w:p w14:paraId="231A2A2B" w14:textId="3E37A06B" w:rsidR="00C6014C" w:rsidRPr="00C6014C" w:rsidRDefault="00C1727E" w:rsidP="00C6014C">
      <w:pPr>
        <w:jc w:val="both"/>
        <w:rPr>
          <w:rFonts w:cs="Times New Roman"/>
        </w:rPr>
      </w:pPr>
      <w:r w:rsidRPr="00DC645C">
        <w:rPr>
          <w:rFonts w:cs="Times New Roman"/>
          <w:b/>
          <w:bCs/>
          <w:i/>
          <w:iCs/>
        </w:rPr>
        <w:lastRenderedPageBreak/>
        <w:t xml:space="preserve">Investment Advisers Act of 1940: </w:t>
      </w:r>
      <w:r w:rsidRPr="00DC645C">
        <w:rPr>
          <w:rFonts w:cs="Times New Roman"/>
        </w:rPr>
        <w:t>The Investment Advisers Act of 1940 had its registration requirements revised, which impacted both independent investment advisors and hedge funds.</w:t>
      </w:r>
      <w:r w:rsidR="00C6014C">
        <w:rPr>
          <w:rFonts w:cs="Times New Roman"/>
        </w:rPr>
        <w:t xml:space="preserve"> </w:t>
      </w:r>
      <w:r w:rsidR="00C6014C" w:rsidRPr="00C6014C">
        <w:rPr>
          <w:rFonts w:cs="Times New Roman"/>
        </w:rPr>
        <w:t>The devastating stock market crash of 1929 and its horrible sequel, the Great Depression, were crucial motivating factors in the 1930s and 1940s for the enactment of the Investment Advisers Act of 1940 and a flurry of other critical financial laws. These catastrophes were the impetus for the implementation of the Securities Act of 1933, which helped reduce instances of fraud and deception within the securities business and made it easier for the general public to access financial documents. In 1935, the Securities and Exchange Commission (SEC) issued a warning to Congress about the dangers presented by unregistered investment advisers and suggested that the whole sector be subject to strict oversight as a whole. The Securities and Exchange Commission was given the jurisdiction to examine investment trusts by the Public Utility Holding Act of 1935, which was passed in the same year as the report</w:t>
      </w:r>
      <w:r w:rsidR="000F14B8">
        <w:rPr>
          <w:rFonts w:cs="Times New Roman"/>
        </w:rPr>
        <w:t xml:space="preserve"> (</w:t>
      </w:r>
      <w:r w:rsidR="000F14B8">
        <w:t>Ludwiczak &amp; Czarnecki, 2022</w:t>
      </w:r>
      <w:r w:rsidR="000F14B8">
        <w:rPr>
          <w:rFonts w:cs="Times New Roman"/>
        </w:rPr>
        <w:t>)</w:t>
      </w:r>
      <w:r w:rsidR="00C6014C" w:rsidRPr="00C6014C">
        <w:rPr>
          <w:rFonts w:cs="Times New Roman"/>
        </w:rPr>
        <w:t>. As a direct result of these occurrences, the House of Representatives and the Senate have both presented bills that would modify the Investment Advisers Act and the Investment Company Act of 1940. This connected piece of law details the responsibilities and obligations of investment companies that make available to the general public open-end mutual funds, closed-end mutual funds, and unit investment trusts.</w:t>
      </w:r>
    </w:p>
    <w:p w14:paraId="6C45A132" w14:textId="4FD300F7" w:rsidR="00C1727E" w:rsidRPr="00DC645C" w:rsidRDefault="00C6014C" w:rsidP="00C6014C">
      <w:pPr>
        <w:jc w:val="both"/>
        <w:rPr>
          <w:rFonts w:cs="Times New Roman"/>
        </w:rPr>
      </w:pPr>
      <w:r w:rsidRPr="00C6014C">
        <w:rPr>
          <w:rFonts w:cs="Times New Roman"/>
        </w:rPr>
        <w:t>Depending on the kind of work that the adviser does and how extensive it is, the Securities and Exchange Commission (SEC) and state securities regulators could have responsibility as fiduciaries over the advisor under the Investment Advisors Act of 1940. This piece of legislation provides a comprehensive explanation of what it means to act as a "fiduciary." Due to their obligations of loyalty and care, advisors owe it to their clients to place their clients' interests ahead of their own interests</w:t>
      </w:r>
      <w:r w:rsidR="00417358">
        <w:rPr>
          <w:rFonts w:cs="Times New Roman"/>
        </w:rPr>
        <w:t xml:space="preserve"> (</w:t>
      </w:r>
      <w:r w:rsidR="00417358">
        <w:t>Minhas et al, 2021</w:t>
      </w:r>
      <w:r w:rsidR="00417358">
        <w:rPr>
          <w:rFonts w:cs="Times New Roman"/>
        </w:rPr>
        <w:t>)</w:t>
      </w:r>
      <w:r w:rsidRPr="00C6014C">
        <w:rPr>
          <w:rFonts w:cs="Times New Roman"/>
        </w:rPr>
        <w:t>. It is against the law for investment advisers to engage in front-running, which is the practise of purchasing assets before their clients do. Additionally, investment advisers are not allowed to engage in any other practises that increase the potential for profit for either the adviser or the investment firm (churning). If the adviser is going to offer any advice about finances, they need to ensure that such recommendations are founded on complete and accurate information. When executing transactions, the adviser is obligated to comply with a criterion known as "best execution," which mandates that they make every attempt to purchase and dispose of assets in a manner that minimises costs and maximises the effectiveness of their operations</w:t>
      </w:r>
      <w:r w:rsidR="005B6A9D">
        <w:rPr>
          <w:rFonts w:cs="Times New Roman"/>
        </w:rPr>
        <w:t xml:space="preserve"> (</w:t>
      </w:r>
      <w:r w:rsidR="005B6A9D">
        <w:t>Mohammad et al, 2019</w:t>
      </w:r>
      <w:r w:rsidR="005B6A9D">
        <w:rPr>
          <w:rFonts w:cs="Times New Roman"/>
        </w:rPr>
        <w:t>)</w:t>
      </w:r>
      <w:r w:rsidRPr="00C6014C">
        <w:rPr>
          <w:rFonts w:cs="Times New Roman"/>
        </w:rPr>
        <w:t>.</w:t>
      </w:r>
    </w:p>
    <w:p w14:paraId="59EEA1D2" w14:textId="64A165D6" w:rsidR="00C6014C" w:rsidRPr="00C6014C" w:rsidRDefault="00C1727E" w:rsidP="00C6014C">
      <w:pPr>
        <w:jc w:val="both"/>
        <w:rPr>
          <w:rFonts w:cs="Times New Roman"/>
        </w:rPr>
      </w:pPr>
      <w:r w:rsidRPr="00DC645C">
        <w:rPr>
          <w:rFonts w:cs="Times New Roman"/>
          <w:b/>
          <w:bCs/>
          <w:i/>
          <w:iCs/>
        </w:rPr>
        <w:lastRenderedPageBreak/>
        <w:t xml:space="preserve">Sarbanes-Oxley Act of 2002: </w:t>
      </w:r>
      <w:r w:rsidRPr="00DC645C">
        <w:rPr>
          <w:rFonts w:cs="Times New Roman"/>
        </w:rPr>
        <w:t>Protective measures and financial incentives were established for those who report wrongdoing under Dodd-Frank.</w:t>
      </w:r>
      <w:r w:rsidR="00C6014C">
        <w:rPr>
          <w:rFonts w:cs="Times New Roman"/>
        </w:rPr>
        <w:t xml:space="preserve"> </w:t>
      </w:r>
      <w:r w:rsidR="00C6014C" w:rsidRPr="00C6014C">
        <w:rPr>
          <w:rFonts w:cs="Times New Roman"/>
        </w:rPr>
        <w:t>Companies that are publicly listed are subject to strict new auditing and financial reporting requirements as a result of the Sarbanes-Oxley Act of 2002. For the purpose of safeguarding customers, workers, and investors against fraudulent bookkeeping and auditing, legislators enacted the Act. All C-suite employees, accountants, and auditors are now responsible for ensuring the company complies with the new regulations. The Securities and Exchange Commission (SEC) drafted these regulations to implement and clarify the Securities Exchange Act of 1934 and the Investment Advisers Act of 1940, among others. Financial reporting, internal auditing, and other business activities of publicly listed firms must adhere to the standards established by the Act. However, the same rules apply to both for-profit and non-profit businesses</w:t>
      </w:r>
      <w:r w:rsidR="00EE30B2">
        <w:rPr>
          <w:rFonts w:cs="Times New Roman"/>
        </w:rPr>
        <w:t xml:space="preserve"> (</w:t>
      </w:r>
      <w:r w:rsidR="00EE30B2">
        <w:t>Morton-Huddleston &amp; Maxwell, 2022</w:t>
      </w:r>
      <w:r w:rsidR="00EE30B2">
        <w:rPr>
          <w:rFonts w:cs="Times New Roman"/>
        </w:rPr>
        <w:t>)</w:t>
      </w:r>
      <w:r w:rsidR="00C6014C" w:rsidRPr="00C6014C">
        <w:rPr>
          <w:rFonts w:cs="Times New Roman"/>
        </w:rPr>
        <w:t>. Some of the consequences for breaking the law were also discussed. Keeping honest financial records and employing moral management practises are critical to being in compliance with the Act.</w:t>
      </w:r>
    </w:p>
    <w:p w14:paraId="56424FEC" w14:textId="3BB6CA86" w:rsidR="00C1727E" w:rsidRPr="00DC645C" w:rsidRDefault="00C6014C" w:rsidP="00C6014C">
      <w:pPr>
        <w:jc w:val="both"/>
        <w:rPr>
          <w:rFonts w:cs="Times New Roman"/>
        </w:rPr>
      </w:pPr>
      <w:r w:rsidRPr="00C6014C">
        <w:rPr>
          <w:rFonts w:cs="Times New Roman"/>
        </w:rPr>
        <w:t>Audit committees and external auditors have specific responsibilities outlined in the Act, and the Act mandates that publicly traded companies use independent auditors to conduct such audits. To regulate auditing standards and to create financial reporting guidelines, the Act established the Public Company Accounting Oversight Board (PCAOB). Auditing firms must become members of the Public Company Accounting Oversight Board in order to do audits for publicly traded corporations (PCAOB). The PCAOB can conduct probes into CPAs and even file lawsuits if necessary</w:t>
      </w:r>
      <w:r w:rsidR="00E774BE">
        <w:rPr>
          <w:rFonts w:cs="Times New Roman"/>
        </w:rPr>
        <w:t xml:space="preserve"> (</w:t>
      </w:r>
      <w:r w:rsidR="00E774BE">
        <w:t>Ntokozi et al, 2022</w:t>
      </w:r>
      <w:r w:rsidR="00E774BE">
        <w:rPr>
          <w:rFonts w:cs="Times New Roman"/>
        </w:rPr>
        <w:t>)</w:t>
      </w:r>
      <w:r w:rsidRPr="00C6014C">
        <w:rPr>
          <w:rFonts w:cs="Times New Roman"/>
        </w:rPr>
        <w:t>. At initially, many top-level executives fought against the Act because they believed they were being penalised too severely for the dishonest and irresponsible actions of a few. Newt Gingrich blamed the Act for the dearth of initial public offerings (IPOs) in the wake of the 2008 economic meltdown and called for the law's repeal.</w:t>
      </w:r>
    </w:p>
    <w:p w14:paraId="3E5C60AA" w14:textId="06B6E24B" w:rsidR="00C1727E" w:rsidRPr="00DC645C" w:rsidRDefault="00C1727E" w:rsidP="00DC645C">
      <w:pPr>
        <w:pStyle w:val="Heading1"/>
        <w:jc w:val="both"/>
        <w:rPr>
          <w:rFonts w:cs="Times New Roman"/>
          <w:color w:val="auto"/>
        </w:rPr>
      </w:pPr>
      <w:bookmarkStart w:id="2" w:name="_Toc121571266"/>
      <w:r w:rsidRPr="00DC645C">
        <w:rPr>
          <w:rFonts w:cs="Times New Roman"/>
          <w:color w:val="auto"/>
        </w:rPr>
        <w:t>Stabilising the financial system and the different banking institutions</w:t>
      </w:r>
      <w:bookmarkEnd w:id="2"/>
    </w:p>
    <w:p w14:paraId="6705C618" w14:textId="0838D142" w:rsidR="003F75E8" w:rsidRPr="00DC645C" w:rsidRDefault="003F75E8" w:rsidP="00DC645C">
      <w:pPr>
        <w:jc w:val="both"/>
        <w:rPr>
          <w:rFonts w:cs="Times New Roman"/>
        </w:rPr>
      </w:pPr>
      <w:r w:rsidRPr="00DC645C">
        <w:rPr>
          <w:rFonts w:cs="Times New Roman"/>
        </w:rPr>
        <w:t xml:space="preserve">As a result of the widespread damage caused by the 2008 financial crisis, the Group of Twenty agreed to overhaul the global banking system. The plan's goals were to stabilise financial institutions and protect them from further damage so that real economies might start to recover from the global financial crisis. The G20 has charged the FSB with creating and organising a global framework for monitoring the international financial services industry. The FSB built </w:t>
      </w:r>
      <w:r w:rsidRPr="00DC645C">
        <w:rPr>
          <w:rFonts w:cs="Times New Roman"/>
        </w:rPr>
        <w:lastRenderedPageBreak/>
        <w:t>an extensive implementation monitoring system and carried out many assessments to examine the effects of the revisions to guarantee that they were put into effect</w:t>
      </w:r>
      <w:r w:rsidR="00C07A1A" w:rsidRPr="00DC645C">
        <w:rPr>
          <w:rFonts w:cs="Times New Roman"/>
        </w:rPr>
        <w:t xml:space="preserve"> (</w:t>
      </w:r>
      <w:r w:rsidR="00C07A1A" w:rsidRPr="00DC645C">
        <w:rPr>
          <w:rFonts w:cs="Times New Roman"/>
          <w:shd w:val="clear" w:color="auto" w:fill="FFFFFF"/>
        </w:rPr>
        <w:t>Slepov et al, 2019</w:t>
      </w:r>
      <w:r w:rsidR="00C07A1A" w:rsidRPr="00DC645C">
        <w:rPr>
          <w:rFonts w:cs="Times New Roman"/>
        </w:rPr>
        <w:t>)</w:t>
      </w:r>
      <w:r w:rsidRPr="00DC645C">
        <w:rPr>
          <w:rFonts w:cs="Times New Roman"/>
        </w:rPr>
        <w:t>.</w:t>
      </w:r>
    </w:p>
    <w:p w14:paraId="31140D6C" w14:textId="24292392" w:rsidR="00C1727E" w:rsidRDefault="003F75E8" w:rsidP="00DC645C">
      <w:pPr>
        <w:jc w:val="both"/>
        <w:rPr>
          <w:rFonts w:cs="Times New Roman"/>
        </w:rPr>
      </w:pPr>
      <w:r w:rsidRPr="00DC645C">
        <w:rPr>
          <w:rFonts w:cs="Times New Roman"/>
        </w:rPr>
        <w:t>The widespread fear effectively shut down the interbank market, which allows for the flow of cash between banks throughout the world. Given its inability to raise funds internally, Northern Rock sought assistance from the Bank of England. UBS was the first big bank to disclose losses on subprime assets, doing so in October 2007</w:t>
      </w:r>
      <w:r w:rsidR="006B0C24" w:rsidRPr="00DC645C">
        <w:rPr>
          <w:rFonts w:cs="Times New Roman"/>
        </w:rPr>
        <w:t xml:space="preserve"> (</w:t>
      </w:r>
      <w:r w:rsidR="006B0C24" w:rsidRPr="00DC645C">
        <w:rPr>
          <w:rFonts w:cs="Times New Roman"/>
          <w:shd w:val="clear" w:color="auto" w:fill="FFFFFF"/>
        </w:rPr>
        <w:t>Hasan et al, 2020</w:t>
      </w:r>
      <w:r w:rsidR="006B0C24" w:rsidRPr="00DC645C">
        <w:rPr>
          <w:rFonts w:cs="Times New Roman"/>
        </w:rPr>
        <w:t>)</w:t>
      </w:r>
      <w:r w:rsidRPr="00DC645C">
        <w:rPr>
          <w:rFonts w:cs="Times New Roman"/>
        </w:rPr>
        <w:t>. Ultimately, we lost $3.4 billion. There has been a lot of death and destruction in the banking industry so far in 2008. The largest American bank, IndyMac Bank, collapsed, prompting the federal government to step in and acquire control of the two largest mortgage lenders, Fannie Mae and Freddie Mac.</w:t>
      </w:r>
    </w:p>
    <w:p w14:paraId="0B2C77DB" w14:textId="13EFC519" w:rsidR="00C27FD0" w:rsidRPr="00C27FD0" w:rsidRDefault="00C27FD0" w:rsidP="00C27FD0">
      <w:pPr>
        <w:jc w:val="both"/>
        <w:rPr>
          <w:rFonts w:cs="Times New Roman"/>
        </w:rPr>
      </w:pPr>
      <w:r w:rsidRPr="00C27FD0">
        <w:rPr>
          <w:rFonts w:cs="Times New Roman"/>
        </w:rPr>
        <w:t>The current regulatory and supervisory mechanisms were shown to be inadequate by the financial crisis. Evidence from the past suggests that action has to be taken in at least four areas to reduce the likelihood of crises and improve crisis management. There are a number of ways that systemic risk can be mitigated during periods of economic expansion, including (a) increasing the precision with which systemic risk is measured and establishing measures to prevent its accumulation; (b) increasing the transparency and disclosure of risks taken by various market participants; (c) broadening the regulatory reach across institutions and borders while protecting constructive diversity; and (d) establishing mechanisms for more effective, coordinated action</w:t>
      </w:r>
      <w:r w:rsidR="00474AFC">
        <w:rPr>
          <w:rFonts w:cs="Times New Roman"/>
        </w:rPr>
        <w:t xml:space="preserve"> (</w:t>
      </w:r>
      <w:r w:rsidR="00474AFC">
        <w:t>Pálinkó &amp; Pétervári, 2022</w:t>
      </w:r>
      <w:r w:rsidR="00474AFC">
        <w:rPr>
          <w:rFonts w:cs="Times New Roman"/>
        </w:rPr>
        <w:t>)</w:t>
      </w:r>
      <w:r w:rsidRPr="00C27FD0">
        <w:rPr>
          <w:rFonts w:cs="Times New Roman"/>
        </w:rPr>
        <w:t>.</w:t>
      </w:r>
    </w:p>
    <w:p w14:paraId="43FEB0F9" w14:textId="2E451218" w:rsidR="00C27FD0" w:rsidRPr="00C27FD0" w:rsidRDefault="00C27FD0" w:rsidP="00C27FD0">
      <w:pPr>
        <w:jc w:val="both"/>
        <w:rPr>
          <w:rFonts w:cs="Times New Roman"/>
        </w:rPr>
      </w:pPr>
      <w:r w:rsidRPr="00C27FD0">
        <w:rPr>
          <w:rFonts w:cs="Times New Roman"/>
        </w:rPr>
        <w:t>Strict regulation is necessary for open financial markets to function at their best. In November, during the G20 Summit on Financial Markets and the World Economy, delegates discussed ways to tighten oversight. Increased financial innovation and integration have blurred the lines between once separate systemic and nonsystemic institutions, resulting in faster and more widespread shock transmission across asset classes and countries. Nevertheless, financial institutions continue to be heavily scrutinised by regulators and supervisors. U.S. regulatory processes do not adequately account for systemic and international effects of domestic institution activities</w:t>
      </w:r>
      <w:r w:rsidR="006852C0">
        <w:rPr>
          <w:rFonts w:cs="Times New Roman"/>
        </w:rPr>
        <w:t xml:space="preserve"> (</w:t>
      </w:r>
      <w:r w:rsidR="006852C0">
        <w:t>Ramli et al, 2022</w:t>
      </w:r>
      <w:r w:rsidR="006852C0">
        <w:rPr>
          <w:rFonts w:cs="Times New Roman"/>
        </w:rPr>
        <w:t>)</w:t>
      </w:r>
      <w:r w:rsidRPr="00C27FD0">
        <w:rPr>
          <w:rFonts w:cs="Times New Roman"/>
        </w:rPr>
        <w:t>.</w:t>
      </w:r>
    </w:p>
    <w:p w14:paraId="1CD824F0" w14:textId="0CAD615E" w:rsidR="00C27FD0" w:rsidRPr="00C27FD0" w:rsidRDefault="00C27FD0" w:rsidP="00C27FD0">
      <w:pPr>
        <w:jc w:val="both"/>
        <w:rPr>
          <w:rFonts w:cs="Times New Roman"/>
        </w:rPr>
      </w:pPr>
      <w:r w:rsidRPr="00C27FD0">
        <w:rPr>
          <w:rFonts w:cs="Times New Roman"/>
        </w:rPr>
        <w:t xml:space="preserve">The proposed adjustments are an effort to restore functionality to the dysfunctional market and regulatory institutions that underpin the current precarious situation. Three groups of related factors may have contributed to the increase in systemic risk, although the judgement is yet out on this. Before anything else, we need to deal with the historically low interest rate environment that has persisted for the better part of a decade and is blamed on global macroeconomic imbalances, an uptick in risk-taking, and the consequent collapse of asset price bubbles. </w:t>
      </w:r>
      <w:r w:rsidRPr="00C27FD0">
        <w:rPr>
          <w:rFonts w:cs="Times New Roman"/>
        </w:rPr>
        <w:lastRenderedPageBreak/>
        <w:t>Second, the inability of risk management to keep up with financial innovation over the past two decades may be contributing to the growing levels of instability. Finally, the major reason why leveraged financial institutions require regulation is that they are driven to take on systemic risk without really incurring any of it</w:t>
      </w:r>
      <w:r w:rsidR="001C1FDF">
        <w:rPr>
          <w:rFonts w:cs="Times New Roman"/>
        </w:rPr>
        <w:t xml:space="preserve"> (</w:t>
      </w:r>
      <w:r w:rsidR="001C1FDF">
        <w:t>Shuangyan et al, 2022</w:t>
      </w:r>
      <w:r w:rsidR="001C1FDF">
        <w:rPr>
          <w:rFonts w:cs="Times New Roman"/>
        </w:rPr>
        <w:t>)</w:t>
      </w:r>
      <w:r w:rsidRPr="00C27FD0">
        <w:rPr>
          <w:rFonts w:cs="Times New Roman"/>
        </w:rPr>
        <w:t>.</w:t>
      </w:r>
    </w:p>
    <w:p w14:paraId="2B0DD4EB" w14:textId="63584367" w:rsidR="00C27FD0" w:rsidRDefault="00C27FD0" w:rsidP="00C27FD0">
      <w:pPr>
        <w:jc w:val="both"/>
        <w:rPr>
          <w:rFonts w:cs="Times New Roman"/>
        </w:rPr>
      </w:pPr>
      <w:r w:rsidRPr="00C27FD0">
        <w:rPr>
          <w:rFonts w:cs="Times New Roman"/>
        </w:rPr>
        <w:t>However, authorities and central banks failed to adequately recognise or address the systemic risks that rapid credit expansion and asset price bubbles revealed. This is because many countries have had large current account surpluses over the previous decade, making financial assets generated in deficit nations, mainly the United States, quite desirable. Because of this and the United States' easy monetary policy, which encouraged widespread risk-taking and sped up the development of credit, real interest rates dropped to record lows. Consumer and non-financial corporate credit market debt as a percentage of U.S. GDP rose from 118% to 173% between 1994 and 2007</w:t>
      </w:r>
      <w:r w:rsidR="001A59C1">
        <w:rPr>
          <w:rFonts w:cs="Times New Roman"/>
        </w:rPr>
        <w:t xml:space="preserve"> (</w:t>
      </w:r>
      <w:r w:rsidR="001A59C1">
        <w:t>Sultanbaiuly et al, 2022</w:t>
      </w:r>
      <w:r w:rsidR="001A59C1">
        <w:rPr>
          <w:rFonts w:cs="Times New Roman"/>
        </w:rPr>
        <w:t>)</w:t>
      </w:r>
      <w:r w:rsidRPr="00C27FD0">
        <w:rPr>
          <w:rFonts w:cs="Times New Roman"/>
        </w:rPr>
        <w:t>. For further explanation, please see the picture below. Over the past 17 years, credit card debt among American families has risen, reaching a new all-time high of 136% of income from a seven-year high of 98%. For comparison, over this time span, similar ratios in the Euro Area rose from 72% to 91%, while in the UK they rose to nearly 180%. Not only did the U.S. real estate market experience a record high, but so did the markets of other industrialised nations.</w:t>
      </w:r>
    </w:p>
    <w:p w14:paraId="4E13945B" w14:textId="77777777" w:rsidR="00D57388" w:rsidRDefault="00D57388" w:rsidP="00D57388">
      <w:pPr>
        <w:jc w:val="both"/>
      </w:pPr>
      <w:r>
        <w:t xml:space="preserve">Because of the important role that financial transactions and investments play in any economy, it is necessary to ensure that both customers and businesses have convenient access to financial institutions. Because of the vital role that they play in the economy, governments frequently regulate banks and other financial organisations and keep a careful eye on their activities. The general populace frequently has a panic attack whenever significant banks collapse. The majority of well-known and regularly utilised financial services are those that are provided by banks and other comparable businesses, such as thrifts and credit unions. Mortgages, consumer and business loans, savings and checking accounts are some examples of financial products and services. Banks may also play a role in the facilitation of monetary transactions through the provision of services such as the processing of credit card transactions, wire transfers, and currency exchange </w:t>
      </w:r>
      <w:r w:rsidRPr="00DC645C">
        <w:rPr>
          <w:rFonts w:cs="Times New Roman"/>
        </w:rPr>
        <w:t>(</w:t>
      </w:r>
      <w:r w:rsidRPr="00DC645C">
        <w:rPr>
          <w:rFonts w:cs="Times New Roman"/>
          <w:shd w:val="clear" w:color="auto" w:fill="FFFFFF"/>
        </w:rPr>
        <w:t>Hasan et al, 2020</w:t>
      </w:r>
      <w:r w:rsidRPr="00DC645C">
        <w:rPr>
          <w:rFonts w:cs="Times New Roman"/>
        </w:rPr>
        <w:t>).</w:t>
      </w:r>
    </w:p>
    <w:p w14:paraId="602F3D99" w14:textId="77777777" w:rsidR="00D57388" w:rsidRDefault="00D57388" w:rsidP="00D57388">
      <w:pPr>
        <w:jc w:val="both"/>
      </w:pPr>
      <w:r>
        <w:t xml:space="preserve">Investment banks are types of financial organisations that specialise in catering to the needs of businesses by providing them with a broad range of services, such as financing for major capital expenditures, stock offerings (including initial public offerings), and public relations services for their customers (IPOs). Customers can take use of their brokerage services, and they are </w:t>
      </w:r>
      <w:r>
        <w:lastRenderedPageBreak/>
        <w:t xml:space="preserve">also responsible for handling common company reorganisations such as mergers and acquisitions </w:t>
      </w:r>
      <w:r w:rsidRPr="00DC645C">
        <w:rPr>
          <w:rFonts w:cs="Times New Roman"/>
        </w:rPr>
        <w:t>(</w:t>
      </w:r>
      <w:r w:rsidRPr="00DC645C">
        <w:rPr>
          <w:rFonts w:cs="Times New Roman"/>
          <w:shd w:val="clear" w:color="auto" w:fill="FFFFFF"/>
        </w:rPr>
        <w:t>Slepov et al, 2019</w:t>
      </w:r>
      <w:r w:rsidRPr="00DC645C">
        <w:rPr>
          <w:rFonts w:cs="Times New Roman"/>
        </w:rPr>
        <w:t>).</w:t>
      </w:r>
      <w:r>
        <w:rPr>
          <w:rFonts w:cs="Times New Roman"/>
        </w:rPr>
        <w:t xml:space="preserve"> </w:t>
      </w:r>
      <w:r>
        <w:t xml:space="preserve">One of the non-bank financial entities that is most visible to the public is the insurance business. Both as a personal and a business financial service, insurance has a long history, and over this period it has taken many different forms. An essential service that encourages investment and contributes to economic growth is that of assuring one's personal belongings and the assets of a business against the risk of loss </w:t>
      </w:r>
      <w:r>
        <w:rPr>
          <w:rFonts w:cs="Times New Roman"/>
        </w:rPr>
        <w:t>(</w:t>
      </w:r>
      <w:r>
        <w:t>Pálinkó &amp; Pétervári, 2022</w:t>
      </w:r>
      <w:r>
        <w:rPr>
          <w:rFonts w:cs="Times New Roman"/>
        </w:rPr>
        <w:t>)</w:t>
      </w:r>
      <w:r w:rsidRPr="00C27FD0">
        <w:rPr>
          <w:rFonts w:cs="Times New Roman"/>
        </w:rPr>
        <w:t>.</w:t>
      </w:r>
    </w:p>
    <w:p w14:paraId="0F5B0EEC" w14:textId="16EDA484" w:rsidR="00D57388" w:rsidRDefault="00DA67F3" w:rsidP="00D57388">
      <w:pPr>
        <w:jc w:val="both"/>
      </w:pPr>
      <w:r w:rsidRPr="00DA67F3">
        <w:t>Fidelity Investments manages mutual funds and exchange-traded funds (ETFs), but they also offer financial advice and asset management to its clients (ETFs). The investments made accessible to investors through these intermediaries may include stocks, bonds, mutual funds, exchange-traded funds (ETFs), ETF proxies, and alternative investments such as hedge funds and private equity. Banks and other financial institutions can help build markets that better allocate resources</w:t>
      </w:r>
      <w:r>
        <w:t xml:space="preserve"> </w:t>
      </w:r>
      <w:r w:rsidR="00D57388">
        <w:rPr>
          <w:rFonts w:cs="Times New Roman"/>
        </w:rPr>
        <w:t>(</w:t>
      </w:r>
      <w:r w:rsidR="00D57388">
        <w:t>Ramli et al, 2022</w:t>
      </w:r>
      <w:r w:rsidR="00D57388">
        <w:rPr>
          <w:rFonts w:cs="Times New Roman"/>
        </w:rPr>
        <w:t>)</w:t>
      </w:r>
      <w:r w:rsidR="00D57388" w:rsidRPr="00C27FD0">
        <w:rPr>
          <w:rFonts w:cs="Times New Roman"/>
        </w:rPr>
        <w:t>.</w:t>
      </w:r>
      <w:r w:rsidR="00D57388">
        <w:rPr>
          <w:rFonts w:cs="Times New Roman"/>
        </w:rPr>
        <w:t xml:space="preserve"> </w:t>
      </w:r>
      <w:r w:rsidR="00D57388">
        <w:t xml:space="preserve">A type of business that provides financial assistance to those who are struggling by soliciting deposits from other people and then lending out those funds. Without the aid of the bank, it is extremely improbable that an individual will be able to identify an eligible borrower or figure out how to make timely payments on the loan. Both of these scenarios are highly implausible. The depositor receives interest on their money kept in the bank. Equally, investment banks look for individuals who could be interested in acquiring a company's shares or bonds and strive to connect them with those individuals </w:t>
      </w:r>
      <w:r w:rsidR="00D57388">
        <w:rPr>
          <w:rFonts w:cs="Times New Roman"/>
        </w:rPr>
        <w:t>(</w:t>
      </w:r>
      <w:r w:rsidR="00D57388">
        <w:t>Shuangyan et al, 2022</w:t>
      </w:r>
      <w:r w:rsidR="00D57388">
        <w:rPr>
          <w:rFonts w:cs="Times New Roman"/>
        </w:rPr>
        <w:t>)</w:t>
      </w:r>
      <w:r w:rsidR="00D57388" w:rsidRPr="00C27FD0">
        <w:rPr>
          <w:rFonts w:cs="Times New Roman"/>
        </w:rPr>
        <w:t>.</w:t>
      </w:r>
    </w:p>
    <w:p w14:paraId="4C1EA102" w14:textId="4D1837E9" w:rsidR="00D57388" w:rsidRPr="00D57388" w:rsidRDefault="00D57388" w:rsidP="00C27FD0">
      <w:pPr>
        <w:jc w:val="both"/>
      </w:pPr>
      <w:r>
        <w:t xml:space="preserve">Commercial banks, investment banks, insurance firms, and brokerage organisations are the most typical kinds of financial institutions. Other forms of financial institutions include: These banks and credit unions provide customers, both individual and business, with a comprehensive selection of banking goods and services, which may include deposits, loans, investments, and currency exchange, among other options. The vast majority of people in the world get their banking requirements met by commercial banks, which take deposits and offer checking account services in addition to extending loans for business, personal, and mortgage-related reasons. Commercial banks also offer other fundamental financial products, such as certificates of deposit and savings account </w:t>
      </w:r>
      <w:r>
        <w:rPr>
          <w:rFonts w:cs="Times New Roman"/>
        </w:rPr>
        <w:t>(</w:t>
      </w:r>
      <w:r>
        <w:t>Sultanbaiuly et al, 2022</w:t>
      </w:r>
      <w:r>
        <w:rPr>
          <w:rFonts w:cs="Times New Roman"/>
        </w:rPr>
        <w:t>)</w:t>
      </w:r>
      <w:r w:rsidRPr="00C27FD0">
        <w:rPr>
          <w:rFonts w:cs="Times New Roman"/>
        </w:rPr>
        <w:t xml:space="preserve">. </w:t>
      </w:r>
      <w:r>
        <w:t xml:space="preserve">Investment banks are types of financial organisations that specialise in catering to the needs of businesses by providing them with a broad range of services, such as financing for major capital expenditures, stock offerings (including initial public offerings), and public relations services for their customers (IPOs). </w:t>
      </w:r>
      <w:r>
        <w:lastRenderedPageBreak/>
        <w:t>Customers can take use of their brokerage services, and they are also responsible for handling common company reorganisations such as mergers and acquisitions.</w:t>
      </w:r>
      <w:r w:rsidRPr="00147A99">
        <w:t xml:space="preserve"> </w:t>
      </w:r>
    </w:p>
    <w:p w14:paraId="5B4EAB52" w14:textId="662FE1BA" w:rsidR="00DA67F3" w:rsidRPr="00DC645C" w:rsidRDefault="00DA67F3" w:rsidP="00C27FD0">
      <w:pPr>
        <w:jc w:val="both"/>
        <w:rPr>
          <w:rFonts w:cs="Times New Roman"/>
        </w:rPr>
      </w:pPr>
      <w:r w:rsidRPr="00DA67F3">
        <w:rPr>
          <w:rFonts w:cs="Times New Roman"/>
        </w:rPr>
        <w:t>The International Monetary Fund and the Financial Stability Forum both released papers in April 2008 suggesting that a widespread failure to assess may be at the root of the present crisis. It talks about how many companies have high ratios of debt to equity (leverage) and the risks that come with that (FSF). Lack of risk management, transparency, regulation, and monitoring might lead to asset price inflation and greater risk-taking. Several innovations and structural developments have made the system more unstable by complicating efforts to mitigate risks. Everything from "origination" through "distribution," including the wholesale finance markets, procyclical capital, accounting practises and legislation, etc., is accounted for in the business model. Too much reliance on the market's historic performance by risk management techniques and systems (Tsai &amp; Wu, 2022).</w:t>
      </w:r>
    </w:p>
    <w:p w14:paraId="60BB051A" w14:textId="3F142A42" w:rsidR="00C1727E" w:rsidRPr="00DC645C" w:rsidRDefault="00C1727E" w:rsidP="00DC645C">
      <w:pPr>
        <w:pStyle w:val="Heading1"/>
        <w:jc w:val="both"/>
        <w:rPr>
          <w:rFonts w:cs="Times New Roman"/>
          <w:color w:val="auto"/>
        </w:rPr>
      </w:pPr>
      <w:bookmarkStart w:id="3" w:name="_Toc121571267"/>
      <w:r w:rsidRPr="00DC645C">
        <w:rPr>
          <w:rFonts w:cs="Times New Roman"/>
          <w:color w:val="auto"/>
        </w:rPr>
        <w:t>Impact on their business model and their level of compliance/non-compliance to these reforms</w:t>
      </w:r>
      <w:bookmarkEnd w:id="3"/>
    </w:p>
    <w:p w14:paraId="4131F32E" w14:textId="03F95B09" w:rsidR="003F75E8" w:rsidRPr="00DC645C" w:rsidRDefault="003F75E8" w:rsidP="00DC645C">
      <w:pPr>
        <w:jc w:val="both"/>
        <w:rPr>
          <w:rFonts w:cs="Times New Roman"/>
        </w:rPr>
      </w:pPr>
      <w:r w:rsidRPr="00DC645C">
        <w:rPr>
          <w:rFonts w:cs="Times New Roman"/>
        </w:rPr>
        <w:t>The global banking industry was reorganised by the Group of Twenty after the 2008 financial crisis caused extensive destruction. To help real economies start recovering from the global financial crisis, the strategy prioritised stabilising and protecting financial institutions from additional damage. In order to keep an eye on the international financial services sector, the G20 has tasked the Financial Stability Board (FSB) with developing and implementing a worldwide framework. To ensure that the changes were really implemented, the FSB set up a comprehensive implementation monitoring system and conducted many assessments to analyse the impact of the modifications</w:t>
      </w:r>
      <w:r w:rsidR="00392DF6" w:rsidRPr="00DC645C">
        <w:rPr>
          <w:rFonts w:cs="Times New Roman"/>
        </w:rPr>
        <w:t xml:space="preserve"> (</w:t>
      </w:r>
      <w:r w:rsidR="00392DF6" w:rsidRPr="00DC645C">
        <w:rPr>
          <w:rFonts w:cs="Times New Roman"/>
          <w:shd w:val="clear" w:color="auto" w:fill="FFFFFF"/>
        </w:rPr>
        <w:t>Schär, 2021</w:t>
      </w:r>
      <w:r w:rsidR="00392DF6" w:rsidRPr="00DC645C">
        <w:rPr>
          <w:rFonts w:cs="Times New Roman"/>
        </w:rPr>
        <w:t>)</w:t>
      </w:r>
      <w:r w:rsidRPr="00DC645C">
        <w:rPr>
          <w:rFonts w:cs="Times New Roman"/>
        </w:rPr>
        <w:t>.</w:t>
      </w:r>
    </w:p>
    <w:p w14:paraId="344AF631" w14:textId="2C2AAD44" w:rsidR="003F75E8" w:rsidRPr="00DC645C" w:rsidRDefault="006765E1" w:rsidP="00DC645C">
      <w:pPr>
        <w:jc w:val="both"/>
        <w:rPr>
          <w:rFonts w:cs="Times New Roman"/>
        </w:rPr>
      </w:pPr>
      <w:r w:rsidRPr="006765E1">
        <w:rPr>
          <w:rFonts w:cs="Times New Roman"/>
        </w:rPr>
        <w:t>Due to banks' sales of loans to Wall Street, low-risk financial instruments such as MBS and CDOs emerged (CDOs). Immediately following the first influx of subprime loans, a huge secondary market for trading these securities was established.</w:t>
      </w:r>
      <w:r>
        <w:rPr>
          <w:rFonts w:cs="Times New Roman"/>
        </w:rPr>
        <w:t xml:space="preserve"> </w:t>
      </w:r>
      <w:r w:rsidR="003F75E8" w:rsidRPr="00DC645C">
        <w:rPr>
          <w:rFonts w:cs="Times New Roman"/>
        </w:rPr>
        <w:t>Five investment banks had their net capital requirements reduced by the SEC in October of 2004. (SEC). Goldman Sachs (GS), Merrill Lynch (MER), Lehman Brothers (LB), Bear Stearns (BS), and Morgan Stanley (MS) are all subsidiaries of this banking behemoth (NYSE: MS). Their wealth has increased by a factor of 30–40 since then</w:t>
      </w:r>
      <w:r w:rsidR="002B4D0E">
        <w:rPr>
          <w:rFonts w:cs="Times New Roman"/>
        </w:rPr>
        <w:t xml:space="preserve"> (</w:t>
      </w:r>
      <w:r w:rsidR="002B4D0E">
        <w:t>Yildirim, 2022</w:t>
      </w:r>
      <w:r w:rsidR="002B4D0E">
        <w:rPr>
          <w:rFonts w:cs="Times New Roman"/>
        </w:rPr>
        <w:t>)</w:t>
      </w:r>
      <w:r w:rsidR="003F75E8" w:rsidRPr="00DC645C">
        <w:rPr>
          <w:rFonts w:cs="Times New Roman"/>
        </w:rPr>
        <w:t>.</w:t>
      </w:r>
    </w:p>
    <w:p w14:paraId="03A5F541" w14:textId="1CB4EF2E" w:rsidR="003F75E8" w:rsidRDefault="003F75E8" w:rsidP="00DC645C">
      <w:pPr>
        <w:jc w:val="both"/>
        <w:rPr>
          <w:rFonts w:cs="Times New Roman"/>
        </w:rPr>
      </w:pPr>
      <w:r w:rsidRPr="00DC645C">
        <w:rPr>
          <w:rFonts w:cs="Times New Roman"/>
        </w:rPr>
        <w:t xml:space="preserve">The international interbank market, through which money may be transferred between banks, was effectively shut down as a result of widespread panic. After being rejected by other </w:t>
      </w:r>
      <w:r w:rsidRPr="00DC645C">
        <w:rPr>
          <w:rFonts w:cs="Times New Roman"/>
        </w:rPr>
        <w:lastRenderedPageBreak/>
        <w:t>financial institutions, Northern Rock requested aid from the Bank of England. When the major banks started reporting losses on subprime assets in October 2007, it was UBS that did so first. Our overall losses came to $3.4 billion</w:t>
      </w:r>
      <w:r w:rsidR="000C7A37" w:rsidRPr="00DC645C">
        <w:rPr>
          <w:rFonts w:cs="Times New Roman"/>
        </w:rPr>
        <w:t xml:space="preserve"> (</w:t>
      </w:r>
      <w:r w:rsidR="000C7A37" w:rsidRPr="00DC645C">
        <w:rPr>
          <w:rFonts w:cs="Times New Roman"/>
          <w:shd w:val="clear" w:color="auto" w:fill="FFFFFF"/>
        </w:rPr>
        <w:t>Jiang et al, 2019</w:t>
      </w:r>
      <w:r w:rsidR="000C7A37" w:rsidRPr="00DC645C">
        <w:rPr>
          <w:rFonts w:cs="Times New Roman"/>
        </w:rPr>
        <w:t>)</w:t>
      </w:r>
      <w:r w:rsidRPr="00DC645C">
        <w:rPr>
          <w:rFonts w:cs="Times New Roman"/>
        </w:rPr>
        <w:t xml:space="preserve">. Thus far in 2008, the banking industry has been a major source of job loss and injury. When IndyMac, the largest American bank, declared bankruptcy, </w:t>
      </w:r>
      <w:r w:rsidR="006765E1" w:rsidRPr="006765E1">
        <w:rPr>
          <w:rFonts w:cs="Times New Roman"/>
        </w:rPr>
        <w:t>Two of the major mortgage banks in the country were taken over by the federal government</w:t>
      </w:r>
      <w:r w:rsidRPr="00DC645C">
        <w:rPr>
          <w:rFonts w:cs="Times New Roman"/>
        </w:rPr>
        <w:t>, Fannie Mae and Freddie Mac.</w:t>
      </w:r>
    </w:p>
    <w:p w14:paraId="3FA24373" w14:textId="680C8F58" w:rsidR="00B32404" w:rsidRPr="00B32404" w:rsidRDefault="00B32404" w:rsidP="00B32404">
      <w:pPr>
        <w:jc w:val="both"/>
        <w:rPr>
          <w:rFonts w:cs="Times New Roman"/>
        </w:rPr>
      </w:pPr>
      <w:r w:rsidRPr="00B32404">
        <w:rPr>
          <w:rFonts w:cs="Times New Roman"/>
        </w:rPr>
        <w:t>Because of the global financial crisis, it is now more important than ever before to make adjustments to the management of financial institutions located all over the world. Because of the crisis, the government of the United Kingdom issued a law that mandated the separation of retail banking from the other responsibilities of financial institutions. This was done in order to prevent further problems</w:t>
      </w:r>
      <w:r w:rsidR="00210C68">
        <w:rPr>
          <w:rFonts w:cs="Times New Roman"/>
        </w:rPr>
        <w:t xml:space="preserve"> (</w:t>
      </w:r>
      <w:r w:rsidR="00210C68">
        <w:t>Asher &amp; Wilcox, 2022</w:t>
      </w:r>
      <w:r w:rsidR="00210C68">
        <w:rPr>
          <w:rFonts w:cs="Times New Roman"/>
        </w:rPr>
        <w:t>)</w:t>
      </w:r>
      <w:r w:rsidRPr="00B32404">
        <w:rPr>
          <w:rFonts w:cs="Times New Roman"/>
        </w:rPr>
        <w:t>. These structural changes also go by the moniker ring-fencing in some circles. Ring-fencing is an essential part of the government's plan to reform the banking industry since it prevents taxpayers from having to pay the bills for failed banks and strengthens the financial system in the United Kingdom as a whole. The ring-fencing system was developed to protect the UK retail banking industry from disruptions that may occur in group operations or in global financial markets. Banks having total deposits of more than twenty-five billion pounds will be impacted (from individuals and small businesses). The new regulations make a distinct distinction between "basic banking services," which are offered to customers and small businesses in the United Kingdom, and "investment banking" and international banking operations. Basic banking services are defined as the processing of deposits and payments, as well as overdrafts for consumers</w:t>
      </w:r>
      <w:r w:rsidR="009C5E5C">
        <w:rPr>
          <w:rFonts w:cs="Times New Roman"/>
        </w:rPr>
        <w:t xml:space="preserve"> (</w:t>
      </w:r>
      <w:r w:rsidR="009C5E5C">
        <w:t>Cheng-An et al, 2022</w:t>
      </w:r>
      <w:r w:rsidR="009C5E5C">
        <w:rPr>
          <w:rFonts w:cs="Times New Roman"/>
        </w:rPr>
        <w:t>)</w:t>
      </w:r>
      <w:r w:rsidRPr="00B32404">
        <w:rPr>
          <w:rFonts w:cs="Times New Roman"/>
        </w:rPr>
        <w:t>. A financial institution is said to be "ring-fenced" when there are no connections between it and the rest of the organisation.</w:t>
      </w:r>
    </w:p>
    <w:p w14:paraId="4F0276BB" w14:textId="0E45ED70" w:rsidR="00B32404" w:rsidRPr="00B32404" w:rsidRDefault="00B32404" w:rsidP="00B32404">
      <w:pPr>
        <w:jc w:val="both"/>
        <w:rPr>
          <w:rFonts w:cs="Times New Roman"/>
        </w:rPr>
      </w:pPr>
      <w:r w:rsidRPr="00B32404">
        <w:rPr>
          <w:rFonts w:cs="Times New Roman"/>
        </w:rPr>
        <w:t xml:space="preserve">Beginning January 1, 2019, compliance with the ring-fencing requirement is going to be obligatory. Approximately 1,200 billion pounds worth of core deposits have been moved to ring-fenced banks, and all of the institutions that make up the ring-fenced area have successfully finished all of the major implementation procedures. In 2017 and 2018, the relevant banking groups brought their organisations up to the standards of structural reform by implementing new legal structures and modes of operation. This was done in order to put their organisations in line with the rules of structural reform. Several different organisations reorganised the operations that take place within their walls by utilising a technique that is known as the ring-fencing transfer system (RFTS). You may get information regarding the decisive steps that were required of firms to implement if you look under the heading "Latest </w:t>
      </w:r>
      <w:r w:rsidRPr="00B32404">
        <w:rPr>
          <w:rFonts w:cs="Times New Roman"/>
        </w:rPr>
        <w:lastRenderedPageBreak/>
        <w:t>news and publications pertaining to structural reform</w:t>
      </w:r>
      <w:r w:rsidR="00013BCB">
        <w:rPr>
          <w:rFonts w:cs="Times New Roman"/>
        </w:rPr>
        <w:t xml:space="preserve"> (</w:t>
      </w:r>
      <w:r w:rsidR="00013BCB">
        <w:t>Deshmukh et al, 2022</w:t>
      </w:r>
      <w:r w:rsidR="00013BCB">
        <w:rPr>
          <w:rFonts w:cs="Times New Roman"/>
        </w:rPr>
        <w:t>)</w:t>
      </w:r>
      <w:r w:rsidRPr="00B32404">
        <w:rPr>
          <w:rFonts w:cs="Times New Roman"/>
        </w:rPr>
        <w:t>." Issues like as governance, legal entity structure, operational continuity provisions, prudential obligations, intra-group arrangements, financial market infrastructure, reporting, and any other remnants are addressed by policies that are put in stone. In the not too distant future, if the total amount of a bank's core deposits is greater than £25 billion, the bank could be compelled to ring-fence such deposits (on a three-year rolling average). Companies who have this goal should discuss their plans to achieve ring-fencing compliance with higher management as soon as it is possible after setting up a meeting to discuss the matter</w:t>
      </w:r>
      <w:r w:rsidR="007921F1">
        <w:rPr>
          <w:rFonts w:cs="Times New Roman"/>
        </w:rPr>
        <w:t xml:space="preserve"> (</w:t>
      </w:r>
      <w:r w:rsidR="007921F1">
        <w:t>Hu et al, 2022</w:t>
      </w:r>
      <w:r w:rsidR="007921F1">
        <w:rPr>
          <w:rFonts w:cs="Times New Roman"/>
        </w:rPr>
        <w:t>)</w:t>
      </w:r>
      <w:r w:rsidRPr="00B32404">
        <w:rPr>
          <w:rFonts w:cs="Times New Roman"/>
        </w:rPr>
        <w:t>.</w:t>
      </w:r>
    </w:p>
    <w:p w14:paraId="6448687D" w14:textId="4BDC0566" w:rsidR="00B32404" w:rsidRPr="00DC645C" w:rsidRDefault="00B32404" w:rsidP="00B32404">
      <w:pPr>
        <w:jc w:val="both"/>
        <w:rPr>
          <w:rFonts w:cs="Times New Roman"/>
        </w:rPr>
      </w:pPr>
      <w:r w:rsidRPr="00B32404">
        <w:rPr>
          <w:rFonts w:cs="Times New Roman"/>
        </w:rPr>
        <w:t>Our fundamental views on surveillance have not been affected by the implementation of ring-fencing. Despite this, the new system could call for a higher percentage of supervisory engagement from companies that fall under its purview. This is likely owing to the increasing number of organisations that need to be supervised as well as the increased number of legal and regulatory obligations. The majority of our early post-launch operations have been focused on ensuring that the ring-fencing programmes implemented by participating organisations are successful. The capacity to make autonomous judgments, preserve the financial stability of ring-fenced subgroups, and comply with new legal and regulatory duties are some of the future issues that will need to be overcome. Compliance rules, regulations, and standards address a wide range of topics, including but not limited to the following: assuring the accuracy of consumer advice; being fair to consumers; limiting conflicts of interest; and preserving ethical company practises in the marketplace</w:t>
      </w:r>
      <w:r w:rsidR="004F033F">
        <w:rPr>
          <w:rFonts w:cs="Times New Roman"/>
        </w:rPr>
        <w:t xml:space="preserve"> (</w:t>
      </w:r>
      <w:r w:rsidR="004F033F">
        <w:t>Iershova et al, 2021</w:t>
      </w:r>
      <w:r w:rsidR="004F033F">
        <w:rPr>
          <w:rFonts w:cs="Times New Roman"/>
        </w:rPr>
        <w:t>)</w:t>
      </w:r>
      <w:r w:rsidRPr="00B32404">
        <w:rPr>
          <w:rFonts w:cs="Times New Roman"/>
        </w:rPr>
        <w:t>. The structure of a product or the advice that a bank provides could be affected, to name just two instances, by legislation governing taxes or the limitation of the movement of funds that might be used to support terrorism. If a bank assists its clients in engaging in unlawful activities such as money laundering, evading taxes, or covering up criminal behaviour, the bank puts itself in serious danger of running afoul of the law.</w:t>
      </w:r>
    </w:p>
    <w:p w14:paraId="66D72100" w14:textId="26564FCC" w:rsidR="00C1727E" w:rsidRPr="00DC645C" w:rsidRDefault="00C1727E" w:rsidP="00DC645C">
      <w:pPr>
        <w:pStyle w:val="Heading1"/>
        <w:jc w:val="both"/>
        <w:rPr>
          <w:rFonts w:cs="Times New Roman"/>
          <w:color w:val="auto"/>
        </w:rPr>
      </w:pPr>
      <w:bookmarkStart w:id="4" w:name="_Toc121571268"/>
      <w:r w:rsidRPr="00DC645C">
        <w:rPr>
          <w:rFonts w:cs="Times New Roman"/>
          <w:color w:val="auto"/>
        </w:rPr>
        <w:t>Conclusion</w:t>
      </w:r>
      <w:bookmarkEnd w:id="4"/>
    </w:p>
    <w:p w14:paraId="58400D6A" w14:textId="00F67641" w:rsidR="0083781A" w:rsidRPr="00DC645C" w:rsidRDefault="0083781A" w:rsidP="00DC645C">
      <w:pPr>
        <w:jc w:val="both"/>
        <w:rPr>
          <w:rFonts w:cs="Times New Roman"/>
        </w:rPr>
      </w:pPr>
      <w:r w:rsidRPr="00DC645C">
        <w:rPr>
          <w:rFonts w:cs="Times New Roman"/>
        </w:rPr>
        <w:t xml:space="preserve">The report concluded that due to mortgage defaults and a consequent suspension in interbank lending, banks suffered losses during the 2008 financial crisis, and individuals and companies saw their access to credit dry up. The new banking laws enacted in response to the financial crisis are an indicator of the crisis's far-reaching repercussions on the banking industry. In the United States in particular, many people went deeply into debt to purchase or build a home </w:t>
      </w:r>
      <w:r w:rsidRPr="00DC645C">
        <w:rPr>
          <w:rFonts w:cs="Times New Roman"/>
        </w:rPr>
        <w:lastRenderedPageBreak/>
        <w:t>because they were told their investment would only improve in value. Homeowners and real estate investors in Europe have quite similar views on where property prices are headed.</w:t>
      </w:r>
    </w:p>
    <w:p w14:paraId="660AFBE6" w14:textId="599B4D38" w:rsidR="002F763B" w:rsidRPr="00DC645C" w:rsidRDefault="00C1727E" w:rsidP="00DC645C">
      <w:pPr>
        <w:pStyle w:val="Heading1"/>
        <w:jc w:val="both"/>
        <w:rPr>
          <w:rFonts w:cs="Times New Roman"/>
          <w:color w:val="auto"/>
        </w:rPr>
      </w:pPr>
      <w:bookmarkStart w:id="5" w:name="_Toc121571269"/>
      <w:r w:rsidRPr="00DC645C">
        <w:rPr>
          <w:rFonts w:cs="Times New Roman"/>
          <w:color w:val="auto"/>
        </w:rPr>
        <w:t>References</w:t>
      </w:r>
      <w:bookmarkEnd w:id="5"/>
    </w:p>
    <w:p w14:paraId="452CFC22" w14:textId="77777777" w:rsidR="00377599" w:rsidRDefault="00377599" w:rsidP="00377599">
      <w:pPr>
        <w:ind w:left="720" w:hanging="720"/>
        <w:jc w:val="both"/>
      </w:pPr>
      <w:r>
        <w:t>Asher, A., &amp; Wilcox, T. (2022). Virtue and risk culture in finance: JBE.</w:t>
      </w:r>
      <w:r>
        <w:rPr>
          <w:i/>
          <w:iCs/>
        </w:rPr>
        <w:t> Journal of Business Ethics, 179</w:t>
      </w:r>
      <w:r>
        <w:t>(1), 223-236. doi:https://doi.org/10.1007/s10551-021-04815-2</w:t>
      </w:r>
    </w:p>
    <w:p w14:paraId="69D16DA1" w14:textId="77777777" w:rsidR="00377599" w:rsidRDefault="00377599" w:rsidP="00377599">
      <w:pPr>
        <w:ind w:left="720" w:hanging="720"/>
        <w:jc w:val="both"/>
      </w:pPr>
      <w:r>
        <w:t>Castelblanco, G., &amp; Guevara, J. (2022). Crisis driven literature in PPPs: A network analysis.</w:t>
      </w:r>
      <w:r>
        <w:rPr>
          <w:i/>
          <w:iCs/>
        </w:rPr>
        <w:t> IOP Conference Series.Earth and Environmental Science, 1101</w:t>
      </w:r>
      <w:r>
        <w:t>(5), 052002. doi:https://doi.org/10.1088/1755-1315/1101/5/052002</w:t>
      </w:r>
    </w:p>
    <w:p w14:paraId="2267AC0E" w14:textId="77777777" w:rsidR="00377599" w:rsidRDefault="00377599" w:rsidP="00377599">
      <w:pPr>
        <w:ind w:left="720" w:hanging="720"/>
        <w:jc w:val="both"/>
      </w:pPr>
      <w:r>
        <w:t>Cheng-An, S., Wang, H., &amp; Hsiang-Tsai Chiang. (2022). Corporate governance and financial crisis - A empirical study of taiwanese listed companies.</w:t>
      </w:r>
      <w:r>
        <w:rPr>
          <w:i/>
          <w:iCs/>
        </w:rPr>
        <w:t> Journal of Applied Finance and Banking, 12</w:t>
      </w:r>
      <w:r>
        <w:t>(5) Retrieved from https://www.proquest.com/scholarly-journals/corporate-governance-financial-crisis-empirical/docview/2666542614/se-2</w:t>
      </w:r>
    </w:p>
    <w:p w14:paraId="7E406482" w14:textId="77777777" w:rsidR="00377599" w:rsidRDefault="00377599" w:rsidP="00377599">
      <w:pPr>
        <w:ind w:left="720" w:hanging="720"/>
        <w:jc w:val="both"/>
      </w:pPr>
      <w:r>
        <w:t>Deshmukh, P., Sharma, D., &amp; Sharma, P. (2022). Do socially responsible indices outperform the market during black swan events: Evidence from indian markets during global financial and COVID-19 crises.</w:t>
      </w:r>
      <w:r>
        <w:rPr>
          <w:i/>
          <w:iCs/>
        </w:rPr>
        <w:t> Australasian Accounting Business &amp; Finance Journal, 16</w:t>
      </w:r>
      <w:r>
        <w:t>(5), 19-37. Retrieved from https://www.proquest.com/scholarly-journals/do-socially-responsible-indices-outperform-market/docview/2736853980/se-2</w:t>
      </w:r>
    </w:p>
    <w:p w14:paraId="075CBDC0" w14:textId="77777777" w:rsidR="00377599" w:rsidRPr="00DC645C" w:rsidRDefault="00377599" w:rsidP="00DC645C">
      <w:pPr>
        <w:ind w:left="720" w:hanging="720"/>
        <w:jc w:val="both"/>
        <w:rPr>
          <w:rFonts w:cs="Times New Roman"/>
          <w:shd w:val="clear" w:color="auto" w:fill="FFFFFF"/>
        </w:rPr>
      </w:pPr>
      <w:r w:rsidRPr="00DC645C">
        <w:rPr>
          <w:rFonts w:cs="Times New Roman"/>
          <w:shd w:val="clear" w:color="auto" w:fill="FFFFFF"/>
        </w:rPr>
        <w:t>Hasan, M., Popp, J., &amp; Oláh, J. (2020). Current landscape and influence of big data on finance. </w:t>
      </w:r>
      <w:r w:rsidRPr="00DC645C">
        <w:rPr>
          <w:rFonts w:cs="Times New Roman"/>
          <w:i/>
          <w:iCs/>
          <w:shd w:val="clear" w:color="auto" w:fill="FFFFFF"/>
        </w:rPr>
        <w:t>Journal of Big Data</w:t>
      </w:r>
      <w:r w:rsidRPr="00DC645C">
        <w:rPr>
          <w:rFonts w:cs="Times New Roman"/>
          <w:shd w:val="clear" w:color="auto" w:fill="FFFFFF"/>
        </w:rPr>
        <w:t>, </w:t>
      </w:r>
      <w:r w:rsidRPr="00DC645C">
        <w:rPr>
          <w:rFonts w:cs="Times New Roman"/>
          <w:i/>
          <w:iCs/>
          <w:shd w:val="clear" w:color="auto" w:fill="FFFFFF"/>
        </w:rPr>
        <w:t>7</w:t>
      </w:r>
      <w:r w:rsidRPr="00DC645C">
        <w:rPr>
          <w:rFonts w:cs="Times New Roman"/>
          <w:shd w:val="clear" w:color="auto" w:fill="FFFFFF"/>
        </w:rPr>
        <w:t>(1), 1-17.</w:t>
      </w:r>
    </w:p>
    <w:p w14:paraId="0BE81F3B" w14:textId="77777777" w:rsidR="00377599" w:rsidRDefault="00377599" w:rsidP="00377599">
      <w:pPr>
        <w:ind w:left="720" w:hanging="720"/>
        <w:jc w:val="both"/>
      </w:pPr>
      <w:r>
        <w:t>Hu, C., Pan, W., Pan, W., Wan-qiang, D., &amp; Huang, G. (2022). The association of COVID-19 nexus on China’s economy: A financial crisis or a health crisis?</w:t>
      </w:r>
      <w:r>
        <w:rPr>
          <w:i/>
          <w:iCs/>
        </w:rPr>
        <w:t> PLoS One, 17</w:t>
      </w:r>
      <w:r>
        <w:t>(9) doi:https://doi.org/10.1371/journal.pone.0272024</w:t>
      </w:r>
    </w:p>
    <w:p w14:paraId="6302E1EA" w14:textId="77777777" w:rsidR="00377599" w:rsidRDefault="00377599" w:rsidP="00377599">
      <w:pPr>
        <w:ind w:left="720" w:hanging="720"/>
        <w:jc w:val="both"/>
      </w:pPr>
      <w:r>
        <w:t>Iershova, N., Portna, O., Tretyak, V., Moskalenko, K., &amp; Vasyliev, O. (2021). Crisis management: Innovative financial and accounting technologies.</w:t>
      </w:r>
      <w:r>
        <w:rPr>
          <w:i/>
          <w:iCs/>
        </w:rPr>
        <w:t> TEM Journal, 10</w:t>
      </w:r>
      <w:r>
        <w:t>(2), 766-776. Retrieved from https://www.proquest.com/scholarly-journals/crisis-management-innovative-financial-accounting/docview/2702220664/se-2</w:t>
      </w:r>
    </w:p>
    <w:p w14:paraId="00A1B2CA" w14:textId="77777777" w:rsidR="00377599" w:rsidRPr="00DC645C" w:rsidRDefault="00377599" w:rsidP="00DC645C">
      <w:pPr>
        <w:ind w:left="720" w:hanging="720"/>
        <w:jc w:val="both"/>
        <w:rPr>
          <w:rFonts w:cs="Times New Roman"/>
          <w:shd w:val="clear" w:color="auto" w:fill="FFFFFF"/>
        </w:rPr>
      </w:pPr>
      <w:r w:rsidRPr="00DC645C">
        <w:rPr>
          <w:rFonts w:cs="Times New Roman"/>
          <w:shd w:val="clear" w:color="auto" w:fill="FFFFFF"/>
        </w:rPr>
        <w:t>Jiang, Z. Q., Xie, W. J., Zhou, W. X., &amp; Sornette, D. (2019). Multifractal analysis of financial markets: a review. </w:t>
      </w:r>
      <w:r w:rsidRPr="00DC645C">
        <w:rPr>
          <w:rFonts w:cs="Times New Roman"/>
          <w:i/>
          <w:iCs/>
          <w:shd w:val="clear" w:color="auto" w:fill="FFFFFF"/>
        </w:rPr>
        <w:t>Reports on Progress in Physics</w:t>
      </w:r>
      <w:r w:rsidRPr="00DC645C">
        <w:rPr>
          <w:rFonts w:cs="Times New Roman"/>
          <w:shd w:val="clear" w:color="auto" w:fill="FFFFFF"/>
        </w:rPr>
        <w:t>, </w:t>
      </w:r>
      <w:r w:rsidRPr="00DC645C">
        <w:rPr>
          <w:rFonts w:cs="Times New Roman"/>
          <w:i/>
          <w:iCs/>
          <w:shd w:val="clear" w:color="auto" w:fill="FFFFFF"/>
        </w:rPr>
        <w:t>82</w:t>
      </w:r>
      <w:r w:rsidRPr="00DC645C">
        <w:rPr>
          <w:rFonts w:cs="Times New Roman"/>
          <w:shd w:val="clear" w:color="auto" w:fill="FFFFFF"/>
        </w:rPr>
        <w:t>(12), 125901.</w:t>
      </w:r>
    </w:p>
    <w:p w14:paraId="5654AE9F" w14:textId="77777777" w:rsidR="00377599" w:rsidRDefault="00377599" w:rsidP="00377599">
      <w:pPr>
        <w:ind w:left="720" w:hanging="720"/>
        <w:jc w:val="both"/>
      </w:pPr>
      <w:r>
        <w:lastRenderedPageBreak/>
        <w:t>Khalatur, S., Pavlova, H., Vasilieva, L., Karamushka, D., &amp; Danileviča, A. (2022). Innovation management as basis of digitalization trends and security of financial sector.</w:t>
      </w:r>
      <w:r>
        <w:rPr>
          <w:i/>
          <w:iCs/>
        </w:rPr>
        <w:t> Entrepreneurship and Sustainability Issues, 9</w:t>
      </w:r>
      <w:r>
        <w:t>(4), 56-76. doi:https://doi.org/10.9770/jesi.2022.9.4(3)</w:t>
      </w:r>
    </w:p>
    <w:p w14:paraId="09BBEF4B" w14:textId="77777777" w:rsidR="00377599" w:rsidRDefault="00377599" w:rsidP="00377599">
      <w:pPr>
        <w:ind w:left="720" w:hanging="720"/>
        <w:jc w:val="both"/>
      </w:pPr>
      <w:r>
        <w:t>Ludwiczak, A., &amp; Czarnecki, M. (2022). Financial liquidity management during crisis.</w:t>
      </w:r>
      <w:r>
        <w:rPr>
          <w:i/>
          <w:iCs/>
        </w:rPr>
        <w:t> European Research Studies, 25</w:t>
      </w:r>
      <w:r>
        <w:t>, 232-244. Retrieved from https://www.proquest.com/scholarly-journals/financial-liquidity-management-during-crisis/docview/2737509606/se-2</w:t>
      </w:r>
    </w:p>
    <w:p w14:paraId="09D7D3E9" w14:textId="77777777" w:rsidR="00377599" w:rsidRDefault="00377599" w:rsidP="00377599">
      <w:pPr>
        <w:ind w:left="720" w:hanging="720"/>
        <w:jc w:val="both"/>
      </w:pPr>
      <w:r>
        <w:t>Minhas, A., Ahsan, A., &amp; Draz, M. U. (2021). Global financial crisis, working capital management, and firm performance: Evidence from an islamic market index.</w:t>
      </w:r>
      <w:r>
        <w:rPr>
          <w:i/>
          <w:iCs/>
        </w:rPr>
        <w:t> Sage Open, 11</w:t>
      </w:r>
      <w:r>
        <w:t>(2) doi:https://doi.org/10.1177/21582440211015705</w:t>
      </w:r>
    </w:p>
    <w:p w14:paraId="37E945F2" w14:textId="77777777" w:rsidR="00377599" w:rsidRDefault="00377599" w:rsidP="00377599">
      <w:pPr>
        <w:ind w:left="720" w:hanging="720"/>
        <w:jc w:val="both"/>
      </w:pPr>
      <w:r>
        <w:t>Mohammad, R. N., Noor Ezlin, A. B., Hasannezhad, M., &amp; Elahi, M. (2019). Crisis management: Financial crisis and fund combination. [Gestión de crisis: Crisis financiera y combinación de fondos] </w:t>
      </w:r>
      <w:r>
        <w:rPr>
          <w:i/>
          <w:iCs/>
        </w:rPr>
        <w:t>RELIGACIÓN.Revista De Ciencias Sociales y Humanidades, 4</w:t>
      </w:r>
      <w:r>
        <w:t>(14) Retrieved from https://www.proquest.com/scholarly-journals/crisis-management-financial-fund-combination/docview/2691932920/se-2</w:t>
      </w:r>
    </w:p>
    <w:p w14:paraId="0B2D2684" w14:textId="77777777" w:rsidR="00377599" w:rsidRDefault="00377599" w:rsidP="00377599">
      <w:pPr>
        <w:ind w:left="720" w:hanging="720"/>
        <w:jc w:val="both"/>
      </w:pPr>
      <w:r>
        <w:t>Morton-Huddleston, W., &amp; Maxwell, C. (2022). Three crisis management imperatives recalibration, recovery &amp; resiliency.</w:t>
      </w:r>
      <w:r>
        <w:rPr>
          <w:i/>
          <w:iCs/>
        </w:rPr>
        <w:t> The Journal of Government Financial Management, 70</w:t>
      </w:r>
      <w:r>
        <w:t>(4), 20-25. Retrieved from https://www.proquest.com/scholarly-journals/three-crisis-management-imperatives-recalibration/docview/2640797783/se-2</w:t>
      </w:r>
    </w:p>
    <w:p w14:paraId="5E2B4202" w14:textId="77777777" w:rsidR="00377599" w:rsidRDefault="00377599" w:rsidP="00377599">
      <w:pPr>
        <w:ind w:left="720" w:hanging="720"/>
        <w:jc w:val="both"/>
      </w:pPr>
      <w:r>
        <w:t>Ntokozi, A., Tzovas, C. A., &amp; Chalevas, C. G. (2022). Earnings management during financial crisis: The case of greece.</w:t>
      </w:r>
      <w:r>
        <w:rPr>
          <w:i/>
          <w:iCs/>
        </w:rPr>
        <w:t> Accounting and Management Information Systems, 21</w:t>
      </w:r>
      <w:r>
        <w:t>(2), 200-219. doi:https://doi.org/10.24818/jamis.2022.02003</w:t>
      </w:r>
    </w:p>
    <w:p w14:paraId="3C903F70" w14:textId="77777777" w:rsidR="00377599" w:rsidRDefault="00377599" w:rsidP="00377599">
      <w:pPr>
        <w:ind w:left="720" w:hanging="720"/>
        <w:jc w:val="both"/>
      </w:pPr>
      <w:r>
        <w:t>Pálinkó, É., &amp; Pétervári, K. (2022). Global crises and corporate reorganisation methods.</w:t>
      </w:r>
      <w:r>
        <w:rPr>
          <w:i/>
          <w:iCs/>
        </w:rPr>
        <w:t> Periodica Polytechnica.Social and Management Sciences, 30</w:t>
      </w:r>
      <w:r>
        <w:t>(2), 128-140. doi:https://doi.org/10.3311/PPso.14155</w:t>
      </w:r>
    </w:p>
    <w:p w14:paraId="04DE7712" w14:textId="77777777" w:rsidR="00377599" w:rsidRDefault="00377599" w:rsidP="00377599">
      <w:pPr>
        <w:ind w:left="720" w:hanging="720"/>
        <w:jc w:val="both"/>
      </w:pPr>
      <w:r>
        <w:t>Ramli, N. H., Adnan, H., Har Einur, A. B., Bakhary, N. A., &amp; Zul Zakiyuddin, A. R. (2022). Financial risk in managing public-private partnership (PPP) project.</w:t>
      </w:r>
      <w:r>
        <w:rPr>
          <w:i/>
          <w:iCs/>
        </w:rPr>
        <w:t> IOP Conference Series.Earth and Environmental Science, 1067</w:t>
      </w:r>
      <w:r>
        <w:t>(1), 012074. doi:https://doi.org/10.1088/1755-1315/1067/1/012074</w:t>
      </w:r>
    </w:p>
    <w:p w14:paraId="658A96AC" w14:textId="77777777" w:rsidR="00377599" w:rsidRPr="00DC645C" w:rsidRDefault="00377599" w:rsidP="00DC645C">
      <w:pPr>
        <w:ind w:left="720" w:hanging="720"/>
        <w:jc w:val="both"/>
        <w:rPr>
          <w:rFonts w:cs="Times New Roman"/>
          <w:shd w:val="clear" w:color="auto" w:fill="FFFFFF"/>
        </w:rPr>
      </w:pPr>
      <w:r w:rsidRPr="00DC645C">
        <w:rPr>
          <w:rFonts w:cs="Times New Roman"/>
          <w:shd w:val="clear" w:color="auto" w:fill="FFFFFF"/>
        </w:rPr>
        <w:lastRenderedPageBreak/>
        <w:t>Schär, F. (2021). Decentralized finance: On blockchain-and smart contract-based financial markets. </w:t>
      </w:r>
      <w:r w:rsidRPr="00DC645C">
        <w:rPr>
          <w:rFonts w:cs="Times New Roman"/>
          <w:i/>
          <w:iCs/>
          <w:shd w:val="clear" w:color="auto" w:fill="FFFFFF"/>
        </w:rPr>
        <w:t>FRB of St. Louis Review</w:t>
      </w:r>
      <w:r w:rsidRPr="00DC645C">
        <w:rPr>
          <w:rFonts w:cs="Times New Roman"/>
          <w:shd w:val="clear" w:color="auto" w:fill="FFFFFF"/>
        </w:rPr>
        <w:t>.</w:t>
      </w:r>
    </w:p>
    <w:p w14:paraId="10C339FA" w14:textId="77777777" w:rsidR="00377599" w:rsidRDefault="00377599" w:rsidP="00377599">
      <w:pPr>
        <w:ind w:left="720" w:hanging="720"/>
        <w:jc w:val="both"/>
      </w:pPr>
      <w:r>
        <w:t>Shuangyan, L., Wang, G., &amp; Yongli, L. (2022). Tone of language, financial disclosure, and earnings management: A textual analysis of form 20-F.</w:t>
      </w:r>
      <w:r>
        <w:rPr>
          <w:i/>
          <w:iCs/>
        </w:rPr>
        <w:t> Financial Innovation, 8</w:t>
      </w:r>
      <w:r>
        <w:t>(1) doi:https://doi.org/10.1186/s40854-022-00346-5</w:t>
      </w:r>
    </w:p>
    <w:p w14:paraId="2C93D81B" w14:textId="77777777" w:rsidR="00377599" w:rsidRPr="00DC645C" w:rsidRDefault="00377599" w:rsidP="00DC645C">
      <w:pPr>
        <w:ind w:left="720" w:hanging="720"/>
        <w:jc w:val="both"/>
        <w:rPr>
          <w:rFonts w:cs="Times New Roman"/>
          <w:shd w:val="clear" w:color="auto" w:fill="FFFFFF"/>
        </w:rPr>
      </w:pPr>
      <w:r w:rsidRPr="00DC645C">
        <w:rPr>
          <w:rFonts w:cs="Times New Roman"/>
          <w:shd w:val="clear" w:color="auto" w:fill="FFFFFF"/>
        </w:rPr>
        <w:t>Slepov, V. A., Kosov, M. E., Chalova, A. Y., Gromova, E. I., &amp; Voronkova, E. K. (2019). Integration of the financial market sectors: factors, risks and management approaches. </w:t>
      </w:r>
      <w:r w:rsidRPr="00DC645C">
        <w:rPr>
          <w:rFonts w:cs="Times New Roman"/>
          <w:i/>
          <w:iCs/>
          <w:shd w:val="clear" w:color="auto" w:fill="FFFFFF"/>
        </w:rPr>
        <w:t>International Journal of Civil Engineering and Technology</w:t>
      </w:r>
      <w:r w:rsidRPr="00DC645C">
        <w:rPr>
          <w:rFonts w:cs="Times New Roman"/>
          <w:shd w:val="clear" w:color="auto" w:fill="FFFFFF"/>
        </w:rPr>
        <w:t>, </w:t>
      </w:r>
      <w:r w:rsidRPr="00DC645C">
        <w:rPr>
          <w:rFonts w:cs="Times New Roman"/>
          <w:i/>
          <w:iCs/>
          <w:shd w:val="clear" w:color="auto" w:fill="FFFFFF"/>
        </w:rPr>
        <w:t>10</w:t>
      </w:r>
      <w:r w:rsidRPr="00DC645C">
        <w:rPr>
          <w:rFonts w:cs="Times New Roman"/>
          <w:shd w:val="clear" w:color="auto" w:fill="FFFFFF"/>
        </w:rPr>
        <w:t>(2), 1243.</w:t>
      </w:r>
    </w:p>
    <w:p w14:paraId="3ED644B2" w14:textId="77777777" w:rsidR="00377599" w:rsidRDefault="00377599" w:rsidP="00377599">
      <w:pPr>
        <w:ind w:left="720" w:hanging="720"/>
        <w:jc w:val="both"/>
      </w:pPr>
      <w:r>
        <w:t>Sultanbaiuly, S., Nasyrhanov, A., Khan, Y., Kenenova, K., Konuspayev, R., &amp; Bazarbayev, A. (2022). The influence of the financial and banking sector on the development on the tourism industry in the context of the crisis of the global economic system.</w:t>
      </w:r>
      <w:r>
        <w:rPr>
          <w:i/>
          <w:iCs/>
        </w:rPr>
        <w:t> Journal of Environmental Management &amp; Tourism, 13</w:t>
      </w:r>
      <w:r>
        <w:t>(4), 1100-1112. doi:https://doi.org/10.14505/jemt.13.4(60).16</w:t>
      </w:r>
    </w:p>
    <w:p w14:paraId="3D16460B" w14:textId="77777777" w:rsidR="00377599" w:rsidRDefault="00377599" w:rsidP="00DC645C">
      <w:pPr>
        <w:ind w:left="720" w:hanging="720"/>
        <w:jc w:val="both"/>
        <w:rPr>
          <w:rFonts w:cs="Times New Roman"/>
          <w:shd w:val="clear" w:color="auto" w:fill="FFFFFF"/>
        </w:rPr>
      </w:pPr>
      <w:r w:rsidRPr="00DC645C">
        <w:rPr>
          <w:rFonts w:cs="Times New Roman"/>
          <w:shd w:val="clear" w:color="auto" w:fill="FFFFFF"/>
        </w:rPr>
        <w:t>Tripathi, A., &amp; Dixit, A. (2019). Liquidity of financial markets: a review. </w:t>
      </w:r>
      <w:r w:rsidRPr="00DC645C">
        <w:rPr>
          <w:rFonts w:cs="Times New Roman"/>
          <w:i/>
          <w:iCs/>
          <w:shd w:val="clear" w:color="auto" w:fill="FFFFFF"/>
        </w:rPr>
        <w:t>Studies in Economics and Finance</w:t>
      </w:r>
      <w:r w:rsidRPr="00DC645C">
        <w:rPr>
          <w:rFonts w:cs="Times New Roman"/>
          <w:shd w:val="clear" w:color="auto" w:fill="FFFFFF"/>
        </w:rPr>
        <w:t>, </w:t>
      </w:r>
      <w:r w:rsidRPr="00DC645C">
        <w:rPr>
          <w:rFonts w:cs="Times New Roman"/>
          <w:i/>
          <w:iCs/>
          <w:shd w:val="clear" w:color="auto" w:fill="FFFFFF"/>
        </w:rPr>
        <w:t>37</w:t>
      </w:r>
      <w:r w:rsidRPr="00DC645C">
        <w:rPr>
          <w:rFonts w:cs="Times New Roman"/>
          <w:shd w:val="clear" w:color="auto" w:fill="FFFFFF"/>
        </w:rPr>
        <w:t>(2), 201-227.</w:t>
      </w:r>
    </w:p>
    <w:p w14:paraId="1A89E49F" w14:textId="77777777" w:rsidR="00377599" w:rsidRDefault="00377599" w:rsidP="00377599">
      <w:pPr>
        <w:ind w:left="720" w:hanging="720"/>
        <w:jc w:val="both"/>
      </w:pPr>
      <w:r>
        <w:t>Tsai, H., &amp; Wu, Y. (2022). Changes in corporate social responsibility and stock performance: JBE.</w:t>
      </w:r>
      <w:r>
        <w:rPr>
          <w:i/>
          <w:iCs/>
        </w:rPr>
        <w:t> Journal of Business Ethics, 178</w:t>
      </w:r>
      <w:r>
        <w:t>(3), 735-755. doi:https://doi.org/10.1007/s10551-021-04772-w</w:t>
      </w:r>
    </w:p>
    <w:p w14:paraId="37146C52" w14:textId="77777777" w:rsidR="00377599" w:rsidRDefault="00377599" w:rsidP="00377599">
      <w:pPr>
        <w:ind w:left="720" w:hanging="720"/>
        <w:jc w:val="both"/>
      </w:pPr>
      <w:r>
        <w:t>Yildirim, F. (2022). Investigation of the studies in the field of banking risk management via the social network analysis. [Bankacılık Risk Yönetimi Alanındaki Çalışmaların Sosyal A</w:t>
      </w:r>
      <w:r>
        <w:rPr>
          <w:rFonts w:ascii="Calibri" w:hAnsi="Calibri" w:cs="Calibri"/>
        </w:rPr>
        <w:t>ǧ</w:t>
      </w:r>
      <w:r>
        <w:t xml:space="preserve"> Analizi ile </w:t>
      </w:r>
      <w:r>
        <w:rPr>
          <w:rFonts w:cs="Verdana"/>
        </w:rPr>
        <w:t>İ</w:t>
      </w:r>
      <w:r>
        <w:t>ncelenmesi] </w:t>
      </w:r>
      <w:r>
        <w:rPr>
          <w:i/>
          <w:iCs/>
        </w:rPr>
        <w:t>Sosyoekonomi, 30</w:t>
      </w:r>
      <w:r>
        <w:t>(53), 155-172. doi:https://doi.org/10.17233/sosyoekonomi.2022.03.08</w:t>
      </w:r>
    </w:p>
    <w:p w14:paraId="778548E1" w14:textId="77777777" w:rsidR="00377599" w:rsidRPr="00B64FDF" w:rsidRDefault="00377599" w:rsidP="00377599">
      <w:pPr>
        <w:ind w:left="720" w:hanging="720"/>
        <w:jc w:val="both"/>
      </w:pPr>
    </w:p>
    <w:p w14:paraId="3ABCB560" w14:textId="77777777" w:rsidR="00377599" w:rsidRPr="00DC645C" w:rsidRDefault="00377599" w:rsidP="00DC645C">
      <w:pPr>
        <w:ind w:left="720" w:hanging="720"/>
        <w:jc w:val="both"/>
        <w:rPr>
          <w:rFonts w:cs="Times New Roman"/>
          <w:shd w:val="clear" w:color="auto" w:fill="FFFFFF"/>
        </w:rPr>
      </w:pPr>
    </w:p>
    <w:p w14:paraId="096692B9" w14:textId="77777777" w:rsidR="002F763B" w:rsidRPr="00DC645C" w:rsidRDefault="002F763B" w:rsidP="00DC645C">
      <w:pPr>
        <w:jc w:val="both"/>
        <w:rPr>
          <w:rFonts w:cs="Times New Roman"/>
        </w:rPr>
      </w:pPr>
    </w:p>
    <w:sectPr w:rsidR="002F763B" w:rsidRPr="00DC645C" w:rsidSect="00ED11FF">
      <w:footerReference w:type="default" r:id="rId7"/>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8E7798" w14:textId="77777777" w:rsidR="001A7B56" w:rsidRDefault="001A7B56" w:rsidP="00992A45">
      <w:pPr>
        <w:spacing w:after="0" w:line="240" w:lineRule="auto"/>
      </w:pPr>
      <w:r>
        <w:separator/>
      </w:r>
    </w:p>
  </w:endnote>
  <w:endnote w:type="continuationSeparator" w:id="0">
    <w:p w14:paraId="3262FD2E" w14:textId="77777777" w:rsidR="001A7B56" w:rsidRDefault="001A7B56" w:rsidP="00992A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4551822"/>
      <w:docPartObj>
        <w:docPartGallery w:val="Page Numbers (Bottom of Page)"/>
        <w:docPartUnique/>
      </w:docPartObj>
    </w:sdtPr>
    <w:sdtEndPr>
      <w:rPr>
        <w:color w:val="7F7F7F" w:themeColor="background1" w:themeShade="7F"/>
        <w:spacing w:val="60"/>
      </w:rPr>
    </w:sdtEndPr>
    <w:sdtContent>
      <w:p w14:paraId="3BF91DE9" w14:textId="38896916" w:rsidR="00992A45" w:rsidRDefault="00992A4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B550A2D" w14:textId="77777777" w:rsidR="00992A45" w:rsidRDefault="00992A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722466" w14:textId="77777777" w:rsidR="001A7B56" w:rsidRDefault="001A7B56" w:rsidP="00992A45">
      <w:pPr>
        <w:spacing w:after="0" w:line="240" w:lineRule="auto"/>
      </w:pPr>
      <w:r>
        <w:separator/>
      </w:r>
    </w:p>
  </w:footnote>
  <w:footnote w:type="continuationSeparator" w:id="0">
    <w:p w14:paraId="4945B4A3" w14:textId="77777777" w:rsidR="001A7B56" w:rsidRDefault="001A7B56" w:rsidP="00992A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851"/>
    <w:rsid w:val="00013BCB"/>
    <w:rsid w:val="00073CFC"/>
    <w:rsid w:val="000C7A37"/>
    <w:rsid w:val="000F14B8"/>
    <w:rsid w:val="00157FD8"/>
    <w:rsid w:val="00181CF1"/>
    <w:rsid w:val="001A59C1"/>
    <w:rsid w:val="001A7B56"/>
    <w:rsid w:val="001C1FDF"/>
    <w:rsid w:val="00210C68"/>
    <w:rsid w:val="00274B95"/>
    <w:rsid w:val="00290709"/>
    <w:rsid w:val="002B4D0E"/>
    <w:rsid w:val="002F763B"/>
    <w:rsid w:val="003051C6"/>
    <w:rsid w:val="00327E41"/>
    <w:rsid w:val="00377599"/>
    <w:rsid w:val="00392DF6"/>
    <w:rsid w:val="003A788F"/>
    <w:rsid w:val="003F75E8"/>
    <w:rsid w:val="00417358"/>
    <w:rsid w:val="00474AFC"/>
    <w:rsid w:val="004A4716"/>
    <w:rsid w:val="004F033F"/>
    <w:rsid w:val="005624E7"/>
    <w:rsid w:val="005B6A9D"/>
    <w:rsid w:val="005D5927"/>
    <w:rsid w:val="005E65A5"/>
    <w:rsid w:val="006765E1"/>
    <w:rsid w:val="006852C0"/>
    <w:rsid w:val="006B0C24"/>
    <w:rsid w:val="00736555"/>
    <w:rsid w:val="00763851"/>
    <w:rsid w:val="0077687D"/>
    <w:rsid w:val="00784452"/>
    <w:rsid w:val="007921F1"/>
    <w:rsid w:val="007C5F69"/>
    <w:rsid w:val="0083781A"/>
    <w:rsid w:val="00881137"/>
    <w:rsid w:val="00935C43"/>
    <w:rsid w:val="00943529"/>
    <w:rsid w:val="00992A45"/>
    <w:rsid w:val="009C5E5C"/>
    <w:rsid w:val="00AD130B"/>
    <w:rsid w:val="00AF7646"/>
    <w:rsid w:val="00B31874"/>
    <w:rsid w:val="00B32404"/>
    <w:rsid w:val="00B70AE4"/>
    <w:rsid w:val="00B910C6"/>
    <w:rsid w:val="00BD2D5D"/>
    <w:rsid w:val="00C07A1A"/>
    <w:rsid w:val="00C1727E"/>
    <w:rsid w:val="00C27FD0"/>
    <w:rsid w:val="00C6014C"/>
    <w:rsid w:val="00CC62D0"/>
    <w:rsid w:val="00D57388"/>
    <w:rsid w:val="00DA67F3"/>
    <w:rsid w:val="00DC645C"/>
    <w:rsid w:val="00E15E86"/>
    <w:rsid w:val="00E243F0"/>
    <w:rsid w:val="00E53203"/>
    <w:rsid w:val="00E774BE"/>
    <w:rsid w:val="00EB0A1C"/>
    <w:rsid w:val="00ED11FF"/>
    <w:rsid w:val="00EE30B2"/>
    <w:rsid w:val="00FA515B"/>
    <w:rsid w:val="00FD39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E3080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51C6"/>
    <w:pPr>
      <w:spacing w:line="360" w:lineRule="auto"/>
    </w:pPr>
    <w:rPr>
      <w:rFonts w:ascii="Times New Roman" w:hAnsi="Times New Roman"/>
      <w:sz w:val="24"/>
    </w:rPr>
  </w:style>
  <w:style w:type="paragraph" w:styleId="Heading1">
    <w:name w:val="heading 1"/>
    <w:basedOn w:val="Normal"/>
    <w:next w:val="Normal"/>
    <w:link w:val="Heading1Char"/>
    <w:autoRedefine/>
    <w:uiPriority w:val="9"/>
    <w:qFormat/>
    <w:rsid w:val="003051C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B31874"/>
    <w:pPr>
      <w:keepNext/>
      <w:keepLines/>
      <w:spacing w:before="40" w:after="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autoRedefine/>
    <w:uiPriority w:val="9"/>
    <w:unhideWhenUsed/>
    <w:qFormat/>
    <w:rsid w:val="00FD39C3"/>
    <w:pPr>
      <w:keepNext/>
      <w:keepLines/>
      <w:spacing w:before="40" w:after="0"/>
      <w:jc w:val="both"/>
      <w:outlineLvl w:val="2"/>
    </w:pPr>
    <w:rPr>
      <w:rFonts w:eastAsiaTheme="majorEastAsia" w:cstheme="majorBidi"/>
      <w:b/>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51C6"/>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B31874"/>
    <w:rPr>
      <w:rFonts w:ascii="Times New Roman" w:eastAsiaTheme="majorEastAsia" w:hAnsi="Times New Roman" w:cstheme="majorBidi"/>
      <w:b/>
      <w:color w:val="2F5496" w:themeColor="accent1" w:themeShade="BF"/>
      <w:sz w:val="26"/>
      <w:szCs w:val="26"/>
    </w:rPr>
  </w:style>
  <w:style w:type="character" w:customStyle="1" w:styleId="Heading3Char">
    <w:name w:val="Heading 3 Char"/>
    <w:basedOn w:val="DefaultParagraphFont"/>
    <w:link w:val="Heading3"/>
    <w:uiPriority w:val="9"/>
    <w:rsid w:val="00FD39C3"/>
    <w:rPr>
      <w:rFonts w:ascii="Times New Roman" w:eastAsiaTheme="majorEastAsia" w:hAnsi="Times New Roman" w:cstheme="majorBidi"/>
      <w:b/>
      <w:color w:val="1F3763" w:themeColor="accent1" w:themeShade="7F"/>
      <w:sz w:val="26"/>
      <w:szCs w:val="24"/>
    </w:rPr>
  </w:style>
  <w:style w:type="paragraph" w:styleId="TOCHeading">
    <w:name w:val="TOC Heading"/>
    <w:basedOn w:val="Heading1"/>
    <w:next w:val="Normal"/>
    <w:uiPriority w:val="39"/>
    <w:unhideWhenUsed/>
    <w:qFormat/>
    <w:rsid w:val="00DC645C"/>
    <w:pPr>
      <w:spacing w:line="259" w:lineRule="auto"/>
      <w:outlineLvl w:val="9"/>
    </w:pPr>
    <w:rPr>
      <w:rFonts w:asciiTheme="majorHAnsi" w:hAnsiTheme="majorHAnsi"/>
      <w:b w:val="0"/>
      <w:lang w:val="en-US"/>
    </w:rPr>
  </w:style>
  <w:style w:type="paragraph" w:styleId="TOC1">
    <w:name w:val="toc 1"/>
    <w:basedOn w:val="Normal"/>
    <w:next w:val="Normal"/>
    <w:autoRedefine/>
    <w:uiPriority w:val="39"/>
    <w:unhideWhenUsed/>
    <w:rsid w:val="00DC645C"/>
    <w:pPr>
      <w:spacing w:after="100"/>
    </w:pPr>
  </w:style>
  <w:style w:type="character" w:styleId="Hyperlink">
    <w:name w:val="Hyperlink"/>
    <w:basedOn w:val="DefaultParagraphFont"/>
    <w:uiPriority w:val="99"/>
    <w:unhideWhenUsed/>
    <w:rsid w:val="00DC645C"/>
    <w:rPr>
      <w:color w:val="0563C1" w:themeColor="hyperlink"/>
      <w:u w:val="single"/>
    </w:rPr>
  </w:style>
  <w:style w:type="paragraph" w:styleId="Header">
    <w:name w:val="header"/>
    <w:basedOn w:val="Normal"/>
    <w:link w:val="HeaderChar"/>
    <w:uiPriority w:val="99"/>
    <w:unhideWhenUsed/>
    <w:rsid w:val="00992A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2A45"/>
    <w:rPr>
      <w:rFonts w:ascii="Times New Roman" w:hAnsi="Times New Roman"/>
      <w:sz w:val="24"/>
    </w:rPr>
  </w:style>
  <w:style w:type="paragraph" w:styleId="Footer">
    <w:name w:val="footer"/>
    <w:basedOn w:val="Normal"/>
    <w:link w:val="FooterChar"/>
    <w:uiPriority w:val="99"/>
    <w:unhideWhenUsed/>
    <w:rsid w:val="00992A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2A4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1754CF-A2D3-4759-BDE7-08E7CFA7AE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5639</Words>
  <Characters>32143</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2022-12-13T05:26:00Z</dcterms:created>
  <dcterms:modified xsi:type="dcterms:W3CDTF">2023-01-09T13:05:00Z</dcterms:modified>
</cp:coreProperties>
</file>