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D23C6" w:rsidP="15DCE85B" w:rsidRDefault="000D23C6" w14:paraId="00000001" w14:textId="77777777">
      <w:pPr>
        <w:shd w:val="clear" w:color="auto" w:fill="FFFFFF" w:themeFill="background1"/>
        <w:spacing w:after="240" w:line="480" w:lineRule="auto"/>
        <w:jc w:val="center"/>
        <w:rPr>
          <w:rFonts w:ascii="Roboto" w:hAnsi="Roboto" w:eastAsia="Roboto" w:cs="Roboto"/>
          <w:sz w:val="23"/>
          <w:szCs w:val="23"/>
        </w:rPr>
      </w:pPr>
    </w:p>
    <w:p w:rsidR="000D23C6" w:rsidP="15DCE85B" w:rsidRDefault="000D23C6" w14:paraId="00000002" w14:textId="77777777">
      <w:pPr>
        <w:pStyle w:val="Heading1"/>
        <w:keepNext w:val="0"/>
        <w:keepLines w:val="0"/>
        <w:shd w:val="clear" w:color="auto" w:fill="FFFFFF" w:themeFill="background1"/>
        <w:spacing w:before="0" w:line="480" w:lineRule="auto"/>
        <w:jc w:val="center"/>
        <w:rPr>
          <w:rFonts w:ascii="Roboto" w:hAnsi="Roboto" w:eastAsia="Roboto" w:cs="Roboto"/>
          <w:b w:val="1"/>
          <w:bCs w:val="1"/>
          <w:sz w:val="46"/>
          <w:szCs w:val="46"/>
        </w:rPr>
      </w:pPr>
      <w:bookmarkStart w:name="_dvqyw9stsa4u" w:id="0"/>
      <w:bookmarkEnd w:id="0"/>
    </w:p>
    <w:p w:rsidR="000D23C6" w:rsidRDefault="009C4033" w14:paraId="00000003" w14:textId="77777777">
      <w:pPr>
        <w:spacing w:line="480" w:lineRule="auto"/>
        <w:jc w:val="center"/>
        <w:rPr>
          <w:rFonts w:ascii="Times New Roman" w:hAnsi="Times New Roman" w:eastAsia="Times New Roman" w:cs="Times New Roman"/>
          <w:sz w:val="24"/>
          <w:szCs w:val="24"/>
        </w:rPr>
      </w:pPr>
      <w:r w:rsidRPr="15DCE85B" w:rsidR="009C4033">
        <w:rPr>
          <w:rFonts w:ascii="Times New Roman" w:hAnsi="Times New Roman" w:eastAsia="Times New Roman" w:cs="Times New Roman"/>
          <w:sz w:val="24"/>
          <w:szCs w:val="24"/>
        </w:rPr>
        <w:t>The University of Wales Trinity Saint David</w:t>
      </w:r>
    </w:p>
    <w:p w:rsidR="000D23C6" w:rsidRDefault="000D23C6" w14:paraId="00000004" w14:textId="77777777">
      <w:pPr>
        <w:spacing w:line="480" w:lineRule="auto"/>
        <w:jc w:val="center"/>
        <w:rPr>
          <w:rFonts w:ascii="Times New Roman" w:hAnsi="Times New Roman" w:eastAsia="Times New Roman" w:cs="Times New Roman"/>
          <w:sz w:val="24"/>
          <w:szCs w:val="24"/>
        </w:rPr>
      </w:pPr>
    </w:p>
    <w:p w:rsidR="000D23C6" w:rsidRDefault="009C4033" w14:paraId="00000005" w14:textId="77777777">
      <w:pPr>
        <w:spacing w:line="480" w:lineRule="auto"/>
        <w:jc w:val="center"/>
        <w:rPr>
          <w:rFonts w:ascii="Times New Roman" w:hAnsi="Times New Roman" w:eastAsia="Times New Roman" w:cs="Times New Roman"/>
          <w:sz w:val="24"/>
          <w:szCs w:val="24"/>
        </w:rPr>
      </w:pPr>
      <w:r w:rsidRPr="15DCE85B" w:rsidR="009C4033">
        <w:rPr>
          <w:rFonts w:ascii="Times New Roman" w:hAnsi="Times New Roman" w:eastAsia="Times New Roman" w:cs="Times New Roman"/>
          <w:sz w:val="24"/>
          <w:szCs w:val="24"/>
        </w:rPr>
        <w:t>From Patriarchs to Prophets: Reading and Reception (HPRS7015)</w:t>
      </w:r>
    </w:p>
    <w:p w:rsidR="000D23C6" w:rsidP="31555CEC" w:rsidRDefault="009C4033" w14:paraId="00000006" w14:textId="77777777">
      <w:pPr>
        <w:spacing w:line="480" w:lineRule="auto"/>
        <w:jc w:val="center"/>
        <w:rPr>
          <w:rFonts w:ascii="Times New Roman" w:hAnsi="Times New Roman" w:eastAsia="Times New Roman" w:cs="Times New Roman"/>
          <w:sz w:val="24"/>
          <w:szCs w:val="24"/>
          <w:lang w:val="en-US"/>
        </w:rPr>
      </w:pPr>
      <w:r w:rsidRPr="15DCE85B" w:rsidR="009C4033">
        <w:rPr>
          <w:rFonts w:ascii="Times New Roman" w:hAnsi="Times New Roman" w:eastAsia="Times New Roman" w:cs="Times New Roman"/>
          <w:sz w:val="24"/>
          <w:szCs w:val="24"/>
        </w:rPr>
        <w:t xml:space="preserve">Assessment 1: What is reception </w:t>
      </w:r>
      <w:bookmarkStart w:name="_Int_xSypyuTe" w:id="1883694028"/>
      <w:r w:rsidRPr="15DCE85B" w:rsidR="009C4033">
        <w:rPr>
          <w:rFonts w:ascii="Times New Roman" w:hAnsi="Times New Roman" w:eastAsia="Times New Roman" w:cs="Times New Roman"/>
          <w:sz w:val="24"/>
          <w:szCs w:val="24"/>
        </w:rPr>
        <w:t>history</w:t>
      </w:r>
      <w:bookmarkEnd w:id="1883694028"/>
      <w:r w:rsidRPr="15DCE85B" w:rsidR="009C4033">
        <w:rPr>
          <w:rFonts w:ascii="Times New Roman" w:hAnsi="Times New Roman" w:eastAsia="Times New Roman" w:cs="Times New Roman"/>
          <w:sz w:val="24"/>
          <w:szCs w:val="24"/>
        </w:rPr>
        <w:t xml:space="preserve"> and does it have value in Biblical Studies?</w:t>
      </w:r>
    </w:p>
    <w:p w:rsidR="000D23C6" w:rsidRDefault="000D23C6" w14:paraId="00000007" w14:textId="77777777">
      <w:pPr>
        <w:spacing w:line="480" w:lineRule="auto"/>
        <w:jc w:val="center"/>
        <w:rPr>
          <w:rFonts w:ascii="Times New Roman" w:hAnsi="Times New Roman" w:eastAsia="Times New Roman" w:cs="Times New Roman"/>
          <w:sz w:val="24"/>
          <w:szCs w:val="24"/>
        </w:rPr>
      </w:pPr>
    </w:p>
    <w:p w:rsidR="000D23C6" w:rsidRDefault="009C4033" w14:paraId="00000008" w14:textId="77777777">
      <w:pPr>
        <w:spacing w:line="480" w:lineRule="auto"/>
        <w:jc w:val="center"/>
        <w:rPr>
          <w:rFonts w:ascii="Times New Roman" w:hAnsi="Times New Roman" w:eastAsia="Times New Roman" w:cs="Times New Roman"/>
          <w:sz w:val="24"/>
          <w:szCs w:val="24"/>
        </w:rPr>
      </w:pPr>
      <w:r w:rsidRPr="15DCE85B" w:rsidR="009C4033">
        <w:rPr>
          <w:rFonts w:ascii="Times New Roman" w:hAnsi="Times New Roman" w:eastAsia="Times New Roman" w:cs="Times New Roman"/>
          <w:sz w:val="24"/>
          <w:szCs w:val="24"/>
        </w:rPr>
        <w:t>By:</w:t>
      </w:r>
    </w:p>
    <w:p w:rsidR="000D23C6" w:rsidP="31555CEC" w:rsidRDefault="009C4033" w14:paraId="00000009" w14:textId="77777777">
      <w:pPr>
        <w:spacing w:line="480" w:lineRule="auto"/>
        <w:jc w:val="center"/>
        <w:rPr>
          <w:rFonts w:ascii="Times New Roman" w:hAnsi="Times New Roman" w:eastAsia="Times New Roman" w:cs="Times New Roman"/>
          <w:sz w:val="24"/>
          <w:szCs w:val="24"/>
          <w:lang w:val="en-US"/>
        </w:rPr>
      </w:pPr>
      <w:r w:rsidRPr="15DCE85B" w:rsidR="009C4033">
        <w:rPr>
          <w:rFonts w:ascii="Times New Roman" w:hAnsi="Times New Roman" w:eastAsia="Times New Roman" w:cs="Times New Roman"/>
          <w:sz w:val="24"/>
          <w:szCs w:val="24"/>
        </w:rPr>
        <w:t xml:space="preserve">Brandon </w:t>
      </w:r>
      <w:r w:rsidRPr="15DCE85B" w:rsidR="009C4033">
        <w:rPr>
          <w:rFonts w:ascii="Times New Roman" w:hAnsi="Times New Roman" w:eastAsia="Times New Roman" w:cs="Times New Roman"/>
          <w:sz w:val="24"/>
          <w:szCs w:val="24"/>
        </w:rPr>
        <w:t>Taschuk</w:t>
      </w:r>
    </w:p>
    <w:p w:rsidR="000D23C6" w:rsidRDefault="009C4033" w14:paraId="0000000A" w14:textId="77777777">
      <w:pPr>
        <w:spacing w:line="480" w:lineRule="auto"/>
        <w:jc w:val="center"/>
        <w:rPr>
          <w:rFonts w:ascii="Times New Roman" w:hAnsi="Times New Roman" w:eastAsia="Times New Roman" w:cs="Times New Roman"/>
          <w:sz w:val="24"/>
          <w:szCs w:val="24"/>
        </w:rPr>
      </w:pPr>
      <w:r w:rsidRPr="15DCE85B" w:rsidR="009C4033">
        <w:rPr>
          <w:rFonts w:ascii="Times New Roman" w:hAnsi="Times New Roman" w:eastAsia="Times New Roman" w:cs="Times New Roman"/>
          <w:sz w:val="24"/>
          <w:szCs w:val="24"/>
        </w:rPr>
        <w:t>2322606</w:t>
      </w:r>
    </w:p>
    <w:p w:rsidR="000D23C6" w:rsidRDefault="000D23C6" w14:paraId="0000000B" w14:textId="77777777">
      <w:pPr>
        <w:spacing w:line="480" w:lineRule="auto"/>
        <w:jc w:val="center"/>
        <w:rPr>
          <w:rFonts w:ascii="Times New Roman" w:hAnsi="Times New Roman" w:eastAsia="Times New Roman" w:cs="Times New Roman"/>
          <w:sz w:val="24"/>
          <w:szCs w:val="24"/>
        </w:rPr>
      </w:pPr>
    </w:p>
    <w:p w:rsidR="000D23C6" w:rsidRDefault="009C4033" w14:paraId="0000000C" w14:textId="77777777">
      <w:pPr>
        <w:spacing w:line="480" w:lineRule="auto"/>
        <w:jc w:val="center"/>
        <w:rPr>
          <w:rFonts w:ascii="Times New Roman" w:hAnsi="Times New Roman" w:eastAsia="Times New Roman" w:cs="Times New Roman"/>
          <w:sz w:val="24"/>
          <w:szCs w:val="24"/>
        </w:rPr>
      </w:pPr>
      <w:r w:rsidRPr="15DCE85B" w:rsidR="009C4033">
        <w:rPr>
          <w:rFonts w:ascii="Times New Roman" w:hAnsi="Times New Roman" w:eastAsia="Times New Roman" w:cs="Times New Roman"/>
          <w:sz w:val="24"/>
          <w:szCs w:val="24"/>
        </w:rPr>
        <w:t>27 June 2024</w:t>
      </w:r>
    </w:p>
    <w:p w:rsidR="000D23C6" w:rsidRDefault="000D23C6" w14:paraId="0000000D" w14:textId="77777777">
      <w:pPr>
        <w:spacing w:line="480" w:lineRule="auto"/>
        <w:ind w:firstLine="720"/>
        <w:jc w:val="center"/>
        <w:rPr>
          <w:rFonts w:ascii="Times New Roman" w:hAnsi="Times New Roman" w:eastAsia="Times New Roman" w:cs="Times New Roman"/>
          <w:sz w:val="24"/>
          <w:szCs w:val="24"/>
        </w:rPr>
      </w:pPr>
    </w:p>
    <w:p w:rsidR="000D23C6" w:rsidRDefault="000D23C6" w14:paraId="0000000E" w14:textId="77777777">
      <w:pPr>
        <w:spacing w:line="480" w:lineRule="auto"/>
        <w:ind w:firstLine="720"/>
        <w:jc w:val="center"/>
        <w:rPr>
          <w:rFonts w:ascii="Times New Roman" w:hAnsi="Times New Roman" w:eastAsia="Times New Roman" w:cs="Times New Roman"/>
          <w:sz w:val="24"/>
          <w:szCs w:val="24"/>
        </w:rPr>
      </w:pPr>
    </w:p>
    <w:p w:rsidR="000D23C6" w:rsidRDefault="000D23C6" w14:paraId="0000000F" w14:textId="77777777">
      <w:pPr>
        <w:spacing w:line="480" w:lineRule="auto"/>
        <w:ind w:firstLine="720"/>
        <w:jc w:val="center"/>
        <w:rPr>
          <w:rFonts w:ascii="Times New Roman" w:hAnsi="Times New Roman" w:eastAsia="Times New Roman" w:cs="Times New Roman"/>
          <w:sz w:val="24"/>
          <w:szCs w:val="24"/>
        </w:rPr>
      </w:pPr>
    </w:p>
    <w:p w:rsidR="000D23C6" w:rsidRDefault="000D23C6" w14:paraId="00000010" w14:textId="3E0FD5FC">
      <w:pPr>
        <w:spacing w:line="480" w:lineRule="auto"/>
        <w:ind w:firstLine="720"/>
        <w:jc w:val="center"/>
        <w:rPr>
          <w:rFonts w:ascii="Times New Roman" w:hAnsi="Times New Roman" w:eastAsia="Times New Roman" w:cs="Times New Roman"/>
          <w:sz w:val="24"/>
          <w:szCs w:val="24"/>
        </w:rPr>
      </w:pPr>
    </w:p>
    <w:p w:rsidR="15DCE85B" w:rsidP="15DCE85B" w:rsidRDefault="15DCE85B" w14:paraId="23474BF2" w14:textId="430959D2">
      <w:pPr>
        <w:pStyle w:val="Normal"/>
        <w:spacing w:line="480" w:lineRule="auto"/>
        <w:ind w:firstLine="720"/>
        <w:jc w:val="center"/>
        <w:rPr>
          <w:rFonts w:ascii="Times New Roman" w:hAnsi="Times New Roman" w:eastAsia="Times New Roman" w:cs="Times New Roman"/>
          <w:sz w:val="24"/>
          <w:szCs w:val="24"/>
        </w:rPr>
      </w:pPr>
    </w:p>
    <w:p w:rsidR="15DCE85B" w:rsidP="15DCE85B" w:rsidRDefault="15DCE85B" w14:paraId="08B33A83" w14:textId="36482AD6">
      <w:pPr>
        <w:pStyle w:val="Normal"/>
        <w:spacing w:line="480" w:lineRule="auto"/>
        <w:ind w:firstLine="720"/>
        <w:jc w:val="center"/>
        <w:rPr>
          <w:rFonts w:ascii="Times New Roman" w:hAnsi="Times New Roman" w:eastAsia="Times New Roman" w:cs="Times New Roman"/>
          <w:sz w:val="24"/>
          <w:szCs w:val="24"/>
        </w:rPr>
      </w:pPr>
    </w:p>
    <w:p w:rsidR="000D23C6" w:rsidRDefault="000D23C6" w14:paraId="00000011" w14:textId="77777777">
      <w:pPr>
        <w:spacing w:line="480" w:lineRule="auto"/>
        <w:ind w:firstLine="720"/>
        <w:jc w:val="center"/>
        <w:rPr>
          <w:rFonts w:ascii="Times New Roman" w:hAnsi="Times New Roman" w:eastAsia="Times New Roman" w:cs="Times New Roman"/>
          <w:sz w:val="24"/>
          <w:szCs w:val="24"/>
        </w:rPr>
      </w:pPr>
    </w:p>
    <w:p w:rsidR="000D23C6" w:rsidRDefault="000D23C6" w14:paraId="00000012" w14:textId="77777777">
      <w:pPr>
        <w:spacing w:line="480" w:lineRule="auto"/>
        <w:ind w:firstLine="720"/>
        <w:jc w:val="center"/>
        <w:rPr>
          <w:rFonts w:ascii="Times New Roman" w:hAnsi="Times New Roman" w:eastAsia="Times New Roman" w:cs="Times New Roman"/>
          <w:sz w:val="24"/>
          <w:szCs w:val="24"/>
        </w:rPr>
      </w:pPr>
    </w:p>
    <w:p w:rsidR="000D23C6" w:rsidRDefault="000D23C6" w14:paraId="00000013" w14:textId="77777777">
      <w:pPr>
        <w:spacing w:line="480" w:lineRule="auto"/>
        <w:rPr>
          <w:rFonts w:ascii="Times New Roman" w:hAnsi="Times New Roman" w:eastAsia="Times New Roman" w:cs="Times New Roman"/>
          <w:sz w:val="24"/>
          <w:szCs w:val="24"/>
        </w:rPr>
      </w:pPr>
    </w:p>
    <w:p w:rsidR="000D23C6" w:rsidP="31555CEC" w:rsidRDefault="009C4033" w14:paraId="00000014" w14:textId="63254642">
      <w:pPr>
        <w:spacing w:line="480" w:lineRule="auto"/>
        <w:ind w:firstLine="720"/>
        <w:rPr>
          <w:rFonts w:ascii="Times New Roman" w:hAnsi="Times New Roman" w:eastAsia="Times New Roman" w:cs="Times New Roman"/>
          <w:sz w:val="24"/>
          <w:szCs w:val="24"/>
          <w:lang w:val="en-US"/>
        </w:rPr>
      </w:pPr>
      <w:r w:rsidRPr="31555CEC" w:rsidR="009C4033">
        <w:rPr>
          <w:rFonts w:ascii="Times New Roman" w:hAnsi="Times New Roman" w:eastAsia="Times New Roman" w:cs="Times New Roman"/>
          <w:sz w:val="24"/>
          <w:szCs w:val="24"/>
          <w:lang w:val="en-US"/>
        </w:rPr>
        <w:t>Reception history in its broadest sense can be defined as the interaction between the interpretive agent and the text.</w:t>
      </w:r>
      <w:r w:rsidRPr="31555CEC">
        <w:rPr>
          <w:rFonts w:ascii="Times New Roman" w:hAnsi="Times New Roman" w:eastAsia="Times New Roman" w:cs="Times New Roman"/>
          <w:sz w:val="24"/>
          <w:szCs w:val="24"/>
          <w:vertAlign w:val="superscript"/>
          <w:lang w:val="en-US"/>
        </w:rPr>
        <w:footnoteReference w:id="1"/>
      </w:r>
      <w:r w:rsidRPr="31555CEC" w:rsidR="009C4033">
        <w:rPr>
          <w:rFonts w:ascii="Times New Roman" w:hAnsi="Times New Roman" w:eastAsia="Times New Roman" w:cs="Times New Roman"/>
          <w:sz w:val="24"/>
          <w:szCs w:val="24"/>
          <w:lang w:val="en-US"/>
        </w:rPr>
        <w:t xml:space="preserve"> In this sense, any time a reader engages with a text, they are </w:t>
      </w:r>
      <w:r w:rsidRPr="31555CEC" w:rsidR="009C4033">
        <w:rPr>
          <w:rFonts w:ascii="Times New Roman" w:hAnsi="Times New Roman" w:eastAsia="Times New Roman" w:cs="Times New Roman"/>
          <w:sz w:val="24"/>
          <w:szCs w:val="24"/>
          <w:lang w:val="en-US"/>
        </w:rPr>
        <w:t xml:space="preserve">participating</w:t>
      </w:r>
      <w:r w:rsidRPr="31555CEC" w:rsidR="009C4033">
        <w:rPr>
          <w:rFonts w:ascii="Times New Roman" w:hAnsi="Times New Roman" w:eastAsia="Times New Roman" w:cs="Times New Roman"/>
          <w:sz w:val="24"/>
          <w:szCs w:val="24"/>
          <w:lang w:val="en-US"/>
        </w:rPr>
        <w:t xml:space="preserve"> in the reception history of that work.</w:t>
      </w:r>
      <w:r w:rsidRPr="31555CEC">
        <w:rPr>
          <w:rFonts w:ascii="Times New Roman" w:hAnsi="Times New Roman" w:eastAsia="Times New Roman" w:cs="Times New Roman"/>
          <w:sz w:val="24"/>
          <w:szCs w:val="24"/>
          <w:vertAlign w:val="superscript"/>
          <w:lang w:val="en-US"/>
        </w:rPr>
        <w:footnoteReference w:id="2"/>
      </w:r>
      <w:r w:rsidRPr="31555CEC" w:rsidR="009C4033">
        <w:rPr>
          <w:rFonts w:ascii="Times New Roman" w:hAnsi="Times New Roman" w:eastAsia="Times New Roman" w:cs="Times New Roman"/>
          <w:sz w:val="24"/>
          <w:szCs w:val="24"/>
          <w:lang w:val="en-US"/>
        </w:rPr>
        <w:t xml:space="preserve"> This can be explained further when we acknowledge two realities: that words have no inherent meaning, and that it is not possible to be completely objective or unbiased.</w:t>
      </w:r>
      <w:r w:rsidRPr="31555CEC">
        <w:rPr>
          <w:rFonts w:ascii="Times New Roman" w:hAnsi="Times New Roman" w:eastAsia="Times New Roman" w:cs="Times New Roman"/>
          <w:sz w:val="24"/>
          <w:szCs w:val="24"/>
          <w:vertAlign w:val="superscript"/>
          <w:lang w:val="en-US"/>
        </w:rPr>
        <w:footnoteReference w:id="3"/>
      </w:r>
      <w:r w:rsidRPr="31555CEC" w:rsidR="009C4033">
        <w:rPr>
          <w:rFonts w:ascii="Times New Roman" w:hAnsi="Times New Roman" w:eastAsia="Times New Roman" w:cs="Times New Roman"/>
          <w:sz w:val="24"/>
          <w:szCs w:val="24"/>
          <w:lang w:val="en-US"/>
        </w:rPr>
        <w:t xml:space="preserve"> Words obviously do have meaning, otherwise writing and reading would be useless human inventions and would not have survived into the present, but the words do not themselves </w:t>
      </w:r>
      <w:r w:rsidRPr="31555CEC" w:rsidR="009C4033">
        <w:rPr>
          <w:rFonts w:ascii="Times New Roman" w:hAnsi="Times New Roman" w:eastAsia="Times New Roman" w:cs="Times New Roman"/>
          <w:sz w:val="24"/>
          <w:szCs w:val="24"/>
          <w:lang w:val="en-US"/>
        </w:rPr>
        <w:t xml:space="preserve">possess</w:t>
      </w:r>
      <w:r w:rsidRPr="31555CEC" w:rsidR="009C4033">
        <w:rPr>
          <w:rFonts w:ascii="Times New Roman" w:hAnsi="Times New Roman" w:eastAsia="Times New Roman" w:cs="Times New Roman"/>
          <w:sz w:val="24"/>
          <w:szCs w:val="24"/>
          <w:lang w:val="en-US"/>
        </w:rPr>
        <w:t xml:space="preserve"> some metaphysical objective meaning. Words are symbols that our brains must interpret, the meanings of which are informed by an unwritten social contract and agreement between members of a given culture or class.</w:t>
      </w:r>
      <w:r w:rsidRPr="31555CEC">
        <w:rPr>
          <w:rFonts w:ascii="Times New Roman" w:hAnsi="Times New Roman" w:eastAsia="Times New Roman" w:cs="Times New Roman"/>
          <w:sz w:val="24"/>
          <w:szCs w:val="24"/>
          <w:vertAlign w:val="superscript"/>
          <w:lang w:val="en-US"/>
        </w:rPr>
        <w:footnoteReference w:id="4"/>
      </w:r>
      <w:r w:rsidRPr="31555CEC" w:rsidR="009C4033">
        <w:rPr>
          <w:rFonts w:ascii="Times New Roman" w:hAnsi="Times New Roman" w:eastAsia="Times New Roman" w:cs="Times New Roman"/>
          <w:sz w:val="24"/>
          <w:szCs w:val="24"/>
          <w:lang w:val="en-US"/>
        </w:rPr>
        <w:t xml:space="preserve"> This is precisely why reception history as a concept is necessary to begin with: because human minds’ interpretations of their own experiences are intrinsically linked to the context in which they find themselves. While this can pose a challenge for scholars, given that they must </w:t>
      </w:r>
      <w:r w:rsidRPr="31555CEC" w:rsidR="6B0955D5">
        <w:rPr>
          <w:rFonts w:ascii="Times New Roman" w:hAnsi="Times New Roman" w:eastAsia="Times New Roman" w:cs="Times New Roman"/>
          <w:sz w:val="24"/>
          <w:szCs w:val="24"/>
          <w:lang w:val="en-US"/>
        </w:rPr>
        <w:t xml:space="preserve">consider</w:t>
      </w:r>
      <w:r w:rsidRPr="31555CEC" w:rsidR="009C4033">
        <w:rPr>
          <w:rFonts w:ascii="Times New Roman" w:hAnsi="Times New Roman" w:eastAsia="Times New Roman" w:cs="Times New Roman"/>
          <w:sz w:val="24"/>
          <w:szCs w:val="24"/>
          <w:lang w:val="en-US"/>
        </w:rPr>
        <w:t xml:space="preserve"> their own biases based on their place in culture and history, it </w:t>
      </w:r>
      <w:r w:rsidRPr="31555CEC" w:rsidR="36A0CE0E">
        <w:rPr>
          <w:rFonts w:ascii="Times New Roman" w:hAnsi="Times New Roman" w:eastAsia="Times New Roman" w:cs="Times New Roman"/>
          <w:sz w:val="24"/>
          <w:szCs w:val="24"/>
          <w:lang w:val="en-US"/>
        </w:rPr>
        <w:t xml:space="preserve">opens</w:t>
      </w:r>
      <w:r w:rsidRPr="31555CEC" w:rsidR="009C4033">
        <w:rPr>
          <w:rFonts w:ascii="Times New Roman" w:hAnsi="Times New Roman" w:eastAsia="Times New Roman" w:cs="Times New Roman"/>
          <w:sz w:val="24"/>
          <w:szCs w:val="24"/>
          <w:lang w:val="en-US"/>
        </w:rPr>
        <w:t xml:space="preserve"> a new realm of study when we consider that all humans face this same hurdle. Reception history allows us to more closely </w:t>
      </w:r>
      <w:r w:rsidRPr="31555CEC" w:rsidR="009C4033">
        <w:rPr>
          <w:rFonts w:ascii="Times New Roman" w:hAnsi="Times New Roman" w:eastAsia="Times New Roman" w:cs="Times New Roman"/>
          <w:sz w:val="24"/>
          <w:szCs w:val="24"/>
          <w:lang w:val="en-US"/>
        </w:rPr>
        <w:t xml:space="preserve">analyse</w:t>
      </w:r>
      <w:r w:rsidRPr="31555CEC" w:rsidR="009C4033">
        <w:rPr>
          <w:rFonts w:ascii="Times New Roman" w:hAnsi="Times New Roman" w:eastAsia="Times New Roman" w:cs="Times New Roman"/>
          <w:sz w:val="24"/>
          <w:szCs w:val="24"/>
          <w:lang w:val="en-US"/>
        </w:rPr>
        <w:t xml:space="preserve"> the ways </w:t>
      </w:r>
      <w:r w:rsidRPr="31555CEC" w:rsidR="009C4033">
        <w:rPr>
          <w:rFonts w:ascii="Times New Roman" w:hAnsi="Times New Roman" w:eastAsia="Times New Roman" w:cs="Times New Roman"/>
          <w:sz w:val="24"/>
          <w:szCs w:val="24"/>
          <w:lang w:val="en-US"/>
        </w:rPr>
        <w:t xml:space="preserve">that people throughout history have interpreted texts such as the Bible, which has been read, </w:t>
      </w:r>
      <w:r w:rsidRPr="31555CEC" w:rsidR="009C4033">
        <w:rPr>
          <w:rFonts w:ascii="Times New Roman" w:hAnsi="Times New Roman" w:eastAsia="Times New Roman" w:cs="Times New Roman"/>
          <w:sz w:val="24"/>
          <w:szCs w:val="24"/>
          <w:lang w:val="en-US"/>
        </w:rPr>
        <w:t>translated</w:t>
      </w:r>
      <w:r w:rsidRPr="31555CEC" w:rsidR="009C4033">
        <w:rPr>
          <w:rFonts w:ascii="Times New Roman" w:hAnsi="Times New Roman" w:eastAsia="Times New Roman" w:cs="Times New Roman"/>
          <w:sz w:val="24"/>
          <w:szCs w:val="24"/>
          <w:lang w:val="en-US"/>
        </w:rPr>
        <w:t xml:space="preserve"> and edited across millennia. By sharing my own thoughts and through examining case studies such as the New Testament’s reception of Daniel 7 and Gnostic receptions of Genesis, I aim to </w:t>
      </w:r>
      <w:r w:rsidRPr="31555CEC" w:rsidR="009C4033">
        <w:rPr>
          <w:rFonts w:ascii="Times New Roman" w:hAnsi="Times New Roman" w:eastAsia="Times New Roman" w:cs="Times New Roman"/>
          <w:sz w:val="24"/>
          <w:szCs w:val="24"/>
          <w:lang w:val="en-US"/>
        </w:rPr>
        <w:t>demonstrate</w:t>
      </w:r>
      <w:r w:rsidRPr="31555CEC" w:rsidR="009C4033">
        <w:rPr>
          <w:rFonts w:ascii="Times New Roman" w:hAnsi="Times New Roman" w:eastAsia="Times New Roman" w:cs="Times New Roman"/>
          <w:sz w:val="24"/>
          <w:szCs w:val="24"/>
          <w:lang w:val="en-US"/>
        </w:rPr>
        <w:t xml:space="preserve"> that reception history provides a wealth of value to the discipline of Biblical Studies.</w:t>
      </w:r>
    </w:p>
    <w:p w:rsidR="000D23C6" w:rsidP="31555CEC" w:rsidRDefault="009C4033" w14:paraId="00000015" w14:textId="69F03B13">
      <w:pPr>
        <w:spacing w:line="480" w:lineRule="auto"/>
        <w:rPr>
          <w:rFonts w:ascii="Times New Roman" w:hAnsi="Times New Roman" w:eastAsia="Times New Roman" w:cs="Times New Roman"/>
          <w:sz w:val="24"/>
          <w:szCs w:val="24"/>
          <w:lang w:val="en-US"/>
        </w:rPr>
      </w:pPr>
      <w:r>
        <w:rPr>
          <w:rFonts w:ascii="Times New Roman" w:hAnsi="Times New Roman" w:eastAsia="Times New Roman" w:cs="Times New Roman"/>
          <w:sz w:val="24"/>
          <w:szCs w:val="24"/>
        </w:rPr>
        <w:tab/>
      </w:r>
      <w:r w:rsidRPr="31555CEC" w:rsidR="009C4033">
        <w:rPr>
          <w:rFonts w:ascii="Times New Roman" w:hAnsi="Times New Roman" w:eastAsia="Times New Roman" w:cs="Times New Roman"/>
          <w:sz w:val="24"/>
          <w:szCs w:val="24"/>
          <w:lang w:val="en-US"/>
        </w:rPr>
        <w:t xml:space="preserve">While I do not believe it should be the only framework scholars use, reception history is an invaluable theoretical lens that </w:t>
      </w:r>
      <w:r w:rsidRPr="31555CEC" w:rsidR="7E12AA1B">
        <w:rPr>
          <w:rFonts w:ascii="Times New Roman" w:hAnsi="Times New Roman" w:eastAsia="Times New Roman" w:cs="Times New Roman"/>
          <w:sz w:val="24"/>
          <w:szCs w:val="24"/>
          <w:lang w:val="en-US"/>
        </w:rPr>
        <w:t>opens</w:t>
      </w:r>
      <w:r w:rsidRPr="31555CEC" w:rsidR="009C4033">
        <w:rPr>
          <w:rFonts w:ascii="Times New Roman" w:hAnsi="Times New Roman" w:eastAsia="Times New Roman" w:cs="Times New Roman"/>
          <w:sz w:val="24"/>
          <w:szCs w:val="24"/>
          <w:lang w:val="en-US"/>
        </w:rPr>
        <w:t xml:space="preserve"> new possibilities ranging from understanding ancient philosophical forebears and Church Fathers, to examining why various contemporary groups interpret biblical texts the way they do. In this fashion, reception history’s strength is not an examination of the original text and its author’s theoretical intentions in writing their works; rather, reception history’s triumph lie</w:t>
      </w:r>
      <w:r w:rsidRPr="31555CEC" w:rsidR="009C4033">
        <w:rPr>
          <w:rFonts w:ascii="Times New Roman" w:hAnsi="Times New Roman" w:eastAsia="Times New Roman" w:cs="Times New Roman"/>
          <w:sz w:val="24"/>
          <w:szCs w:val="24"/>
          <w:lang w:val="en-US"/>
        </w:rPr>
        <w:t xml:space="preserve">s in its ability to allow us to </w:t>
      </w:r>
      <w:r w:rsidRPr="31555CEC" w:rsidR="009C4033">
        <w:rPr>
          <w:rFonts w:ascii="Times New Roman" w:hAnsi="Times New Roman" w:eastAsia="Times New Roman" w:cs="Times New Roman"/>
          <w:sz w:val="24"/>
          <w:szCs w:val="24"/>
          <w:lang w:val="en-US"/>
        </w:rPr>
        <w:t>analyse</w:t>
      </w:r>
      <w:r w:rsidRPr="31555CEC" w:rsidR="009C4033">
        <w:rPr>
          <w:rFonts w:ascii="Times New Roman" w:hAnsi="Times New Roman" w:eastAsia="Times New Roman" w:cs="Times New Roman"/>
          <w:sz w:val="24"/>
          <w:szCs w:val="24"/>
          <w:lang w:val="en-US"/>
        </w:rPr>
        <w:t xml:space="preserve"> the complex interpretive relationship of interpreter and text. While reconstructing an approximation of a text’s original meaning can give us invaluable insight into a text and its original audience, when the collection of works being </w:t>
      </w:r>
      <w:r w:rsidRPr="31555CEC" w:rsidR="009C4033">
        <w:rPr>
          <w:rFonts w:ascii="Times New Roman" w:hAnsi="Times New Roman" w:eastAsia="Times New Roman" w:cs="Times New Roman"/>
          <w:sz w:val="24"/>
          <w:szCs w:val="24"/>
          <w:lang w:val="en-US"/>
        </w:rPr>
        <w:t>analysed</w:t>
      </w:r>
      <w:r w:rsidRPr="31555CEC" w:rsidR="009C4033">
        <w:rPr>
          <w:rFonts w:ascii="Times New Roman" w:hAnsi="Times New Roman" w:eastAsia="Times New Roman" w:cs="Times New Roman"/>
          <w:sz w:val="24"/>
          <w:szCs w:val="24"/>
          <w:lang w:val="en-US"/>
        </w:rPr>
        <w:t xml:space="preserve"> has existed in public consciousness for two millennia, discerning how and why it has been interpreted in </w:t>
      </w:r>
      <w:bookmarkStart w:name="_Int_21NQY7HT" w:id="1892332943"/>
      <w:r w:rsidRPr="31555CEC" w:rsidR="009C4033">
        <w:rPr>
          <w:rFonts w:ascii="Times New Roman" w:hAnsi="Times New Roman" w:eastAsia="Times New Roman" w:cs="Times New Roman"/>
          <w:sz w:val="24"/>
          <w:szCs w:val="24"/>
          <w:lang w:val="en-US"/>
        </w:rPr>
        <w:t>different ways</w:t>
      </w:r>
      <w:bookmarkEnd w:id="1892332943"/>
      <w:r w:rsidRPr="31555CEC" w:rsidR="009C4033">
        <w:rPr>
          <w:rFonts w:ascii="Times New Roman" w:hAnsi="Times New Roman" w:eastAsia="Times New Roman" w:cs="Times New Roman"/>
          <w:sz w:val="24"/>
          <w:szCs w:val="24"/>
          <w:lang w:val="en-US"/>
        </w:rPr>
        <w:t xml:space="preserve"> throughout the centuries becomes </w:t>
      </w:r>
      <w:bookmarkStart w:name="_Int_97LXEoZi" w:id="279828676"/>
      <w:r w:rsidRPr="31555CEC" w:rsidR="009C4033">
        <w:rPr>
          <w:rFonts w:ascii="Times New Roman" w:hAnsi="Times New Roman" w:eastAsia="Times New Roman" w:cs="Times New Roman"/>
          <w:sz w:val="24"/>
          <w:szCs w:val="24"/>
          <w:lang w:val="en-US"/>
        </w:rPr>
        <w:t>a rather important</w:t>
      </w:r>
      <w:bookmarkEnd w:id="279828676"/>
      <w:r w:rsidRPr="31555CEC" w:rsidR="009C4033">
        <w:rPr>
          <w:rFonts w:ascii="Times New Roman" w:hAnsi="Times New Roman" w:eastAsia="Times New Roman" w:cs="Times New Roman"/>
          <w:sz w:val="24"/>
          <w:szCs w:val="24"/>
          <w:lang w:val="en-US"/>
        </w:rPr>
        <w:t xml:space="preserve"> undertaking. I would argue that reception history is </w:t>
      </w:r>
      <w:r w:rsidRPr="31555CEC" w:rsidR="3A86E033">
        <w:rPr>
          <w:rFonts w:ascii="Times New Roman" w:hAnsi="Times New Roman" w:eastAsia="Times New Roman" w:cs="Times New Roman"/>
          <w:sz w:val="24"/>
          <w:szCs w:val="24"/>
          <w:lang w:val="en-US"/>
        </w:rPr>
        <w:t>more</w:t>
      </w:r>
      <w:r w:rsidRPr="31555CEC" w:rsidR="009C4033">
        <w:rPr>
          <w:rFonts w:ascii="Times New Roman" w:hAnsi="Times New Roman" w:eastAsia="Times New Roman" w:cs="Times New Roman"/>
          <w:sz w:val="24"/>
          <w:szCs w:val="24"/>
          <w:lang w:val="en-US"/>
        </w:rPr>
        <w:t xml:space="preserve"> important for the present, given that the </w:t>
      </w:r>
      <w:bookmarkStart w:name="_Int_SoFCaeeD" w:id="1926182804"/>
      <w:r w:rsidRPr="31555CEC" w:rsidR="009C4033">
        <w:rPr>
          <w:rFonts w:ascii="Times New Roman" w:hAnsi="Times New Roman" w:eastAsia="Times New Roman" w:cs="Times New Roman"/>
          <w:sz w:val="24"/>
          <w:szCs w:val="24"/>
          <w:lang w:val="en-US"/>
        </w:rPr>
        <w:t xml:space="preserve">time frame</w:t>
      </w:r>
      <w:bookmarkEnd w:id="1926182804"/>
      <w:r w:rsidRPr="31555CEC" w:rsidR="009C4033">
        <w:rPr>
          <w:rFonts w:ascii="Times New Roman" w:hAnsi="Times New Roman" w:eastAsia="Times New Roman" w:cs="Times New Roman"/>
          <w:sz w:val="24"/>
          <w:szCs w:val="24"/>
          <w:lang w:val="en-US"/>
        </w:rPr>
        <w:t xml:space="preserve"> of reception history of the Bible is insurmountably larger than its composition history. It is no secret that this collection of ancient texts has affected the lives of billions of people, often in very grave and negative ways. Furthermore, the Bible continues to be </w:t>
      </w:r>
      <w:r w:rsidRPr="31555CEC" w:rsidR="009C4033">
        <w:rPr>
          <w:rFonts w:ascii="Times New Roman" w:hAnsi="Times New Roman" w:eastAsia="Times New Roman" w:cs="Times New Roman"/>
          <w:sz w:val="24"/>
          <w:szCs w:val="24"/>
          <w:lang w:val="en-US"/>
        </w:rPr>
        <w:t xml:space="preserve">leveraged</w:t>
      </w:r>
      <w:r w:rsidRPr="31555CEC" w:rsidR="009C4033">
        <w:rPr>
          <w:rFonts w:ascii="Times New Roman" w:hAnsi="Times New Roman" w:eastAsia="Times New Roman" w:cs="Times New Roman"/>
          <w:sz w:val="24"/>
          <w:szCs w:val="24"/>
          <w:lang w:val="en-US"/>
        </w:rPr>
        <w:t xml:space="preserve"> to enforce the identity politics of various groups, meaning reception history is especially relevant for the present. </w:t>
      </w:r>
    </w:p>
    <w:p w:rsidR="000D23C6" w:rsidP="31555CEC" w:rsidRDefault="009C4033" w14:paraId="00000016" w14:textId="77777777">
      <w:pPr>
        <w:spacing w:line="480" w:lineRule="auto"/>
        <w:rPr>
          <w:rFonts w:ascii="Times New Roman" w:hAnsi="Times New Roman" w:eastAsia="Times New Roman" w:cs="Times New Roman"/>
          <w:sz w:val="24"/>
          <w:szCs w:val="24"/>
          <w:lang w:val="en-US"/>
        </w:rPr>
      </w:pPr>
      <w:r>
        <w:rPr>
          <w:rFonts w:ascii="Times New Roman" w:hAnsi="Times New Roman" w:eastAsia="Times New Roman" w:cs="Times New Roman"/>
          <w:sz w:val="24"/>
          <w:szCs w:val="24"/>
        </w:rPr>
        <w:tab/>
      </w:r>
      <w:r w:rsidRPr="31555CEC" w:rsidR="009C4033">
        <w:rPr>
          <w:rFonts w:ascii="Times New Roman" w:hAnsi="Times New Roman" w:eastAsia="Times New Roman" w:cs="Times New Roman"/>
          <w:sz w:val="24"/>
          <w:szCs w:val="24"/>
          <w:lang w:val="en-US"/>
        </w:rPr>
        <w:t xml:space="preserve">What more traditional students of the Bible may </w:t>
      </w:r>
      <w:r w:rsidRPr="31555CEC" w:rsidR="009C4033">
        <w:rPr>
          <w:rFonts w:ascii="Times New Roman" w:hAnsi="Times New Roman" w:eastAsia="Times New Roman" w:cs="Times New Roman"/>
          <w:sz w:val="24"/>
          <w:szCs w:val="24"/>
          <w:lang w:val="en-US"/>
        </w:rPr>
        <w:t>fail to</w:t>
      </w:r>
      <w:r w:rsidRPr="31555CEC" w:rsidR="009C4033">
        <w:rPr>
          <w:rFonts w:ascii="Times New Roman" w:hAnsi="Times New Roman" w:eastAsia="Times New Roman" w:cs="Times New Roman"/>
          <w:sz w:val="24"/>
          <w:szCs w:val="24"/>
          <w:lang w:val="en-US"/>
        </w:rPr>
        <w:t xml:space="preserve"> recognize is that reception history is not relegated to modern interpretations of biblical texts. In fact, some of the most obvious acts of reception history that we can directly </w:t>
      </w:r>
      <w:r w:rsidRPr="31555CEC" w:rsidR="009C4033">
        <w:rPr>
          <w:rFonts w:ascii="Times New Roman" w:hAnsi="Times New Roman" w:eastAsia="Times New Roman" w:cs="Times New Roman"/>
          <w:sz w:val="24"/>
          <w:szCs w:val="24"/>
          <w:lang w:val="en-US"/>
        </w:rPr>
        <w:t>observe</w:t>
      </w:r>
      <w:r w:rsidRPr="31555CEC" w:rsidR="009C4033">
        <w:rPr>
          <w:rFonts w:ascii="Times New Roman" w:hAnsi="Times New Roman" w:eastAsia="Times New Roman" w:cs="Times New Roman"/>
          <w:sz w:val="24"/>
          <w:szCs w:val="24"/>
          <w:lang w:val="en-US"/>
        </w:rPr>
        <w:t xml:space="preserve"> are some of the writings of New Testament authors in relation to Hebrew Bible texts and other early Jewish literature that they were familiar with. One such example is how the author of Matthew interprets the apocalyptic imagery, </w:t>
      </w:r>
      <w:r w:rsidRPr="31555CEC" w:rsidR="009C4033">
        <w:rPr>
          <w:rFonts w:ascii="Times New Roman" w:hAnsi="Times New Roman" w:eastAsia="Times New Roman" w:cs="Times New Roman"/>
          <w:sz w:val="24"/>
          <w:szCs w:val="24"/>
          <w:lang w:val="en-US"/>
        </w:rPr>
        <w:t>narrative</w:t>
      </w:r>
      <w:r w:rsidRPr="31555CEC" w:rsidR="009C4033">
        <w:rPr>
          <w:rFonts w:ascii="Times New Roman" w:hAnsi="Times New Roman" w:eastAsia="Times New Roman" w:cs="Times New Roman"/>
          <w:sz w:val="24"/>
          <w:szCs w:val="24"/>
          <w:lang w:val="en-US"/>
        </w:rPr>
        <w:t xml:space="preserve"> and eschatology in Daniel 7:</w:t>
      </w:r>
      <w:r w:rsidRPr="31555CEC" w:rsidR="009C4033">
        <w:rPr>
          <w:rFonts w:ascii="Times New Roman" w:hAnsi="Times New Roman" w:eastAsia="Times New Roman" w:cs="Times New Roman"/>
          <w:sz w:val="24"/>
          <w:szCs w:val="24"/>
          <w:lang w:val="en-US"/>
        </w:rPr>
        <w:t>13-14. The relevant passage from Daniel 7: 13-14 reads:</w:t>
      </w:r>
    </w:p>
    <w:p w:rsidR="000D23C6" w:rsidRDefault="000D23C6" w14:paraId="00000017" w14:textId="77777777">
      <w:pPr>
        <w:spacing w:line="480" w:lineRule="auto"/>
        <w:rPr>
          <w:rFonts w:ascii="Times New Roman" w:hAnsi="Times New Roman" w:eastAsia="Times New Roman" w:cs="Times New Roman"/>
          <w:sz w:val="24"/>
          <w:szCs w:val="24"/>
        </w:rPr>
      </w:pPr>
    </w:p>
    <w:p w:rsidR="000D23C6" w:rsidP="31555CEC" w:rsidRDefault="009C4033" w14:paraId="00000018" w14:textId="77777777">
      <w:pPr>
        <w:spacing w:line="480" w:lineRule="auto"/>
        <w:ind w:left="720"/>
        <w:rPr>
          <w:rFonts w:ascii="Times New Roman" w:hAnsi="Times New Roman" w:eastAsia="Times New Roman" w:cs="Times New Roman"/>
          <w:sz w:val="24"/>
          <w:szCs w:val="24"/>
          <w:lang w:val="en-US"/>
        </w:rPr>
      </w:pPr>
      <w:r w:rsidRPr="15DCE85B" w:rsidR="009C4033">
        <w:rPr>
          <w:rFonts w:ascii="Times New Roman" w:hAnsi="Times New Roman" w:eastAsia="Times New Roman" w:cs="Times New Roman"/>
          <w:sz w:val="24"/>
          <w:szCs w:val="24"/>
        </w:rPr>
        <w:t xml:space="preserve">I saw one like a human being coming with the clouds of heaven. And he came to the Ancient One and was presented before him. </w:t>
      </w:r>
      <w:r w:rsidRPr="15DCE85B" w:rsidR="009C4033">
        <w:rPr>
          <w:rFonts w:ascii="Times New Roman" w:hAnsi="Times New Roman" w:eastAsia="Times New Roman" w:cs="Times New Roman"/>
          <w:sz w:val="24"/>
          <w:szCs w:val="24"/>
        </w:rPr>
        <w:t xml:space="preserve">To him was given </w:t>
      </w:r>
      <w:bookmarkStart w:name="_Int_mA8XnXFB" w:id="926634624"/>
      <w:r w:rsidRPr="15DCE85B" w:rsidR="009C4033">
        <w:rPr>
          <w:rFonts w:ascii="Times New Roman" w:hAnsi="Times New Roman" w:eastAsia="Times New Roman" w:cs="Times New Roman"/>
          <w:sz w:val="24"/>
          <w:szCs w:val="24"/>
        </w:rPr>
        <w:t>dominion and glory</w:t>
      </w:r>
      <w:bookmarkEnd w:id="926634624"/>
      <w:r w:rsidRPr="15DCE85B" w:rsidR="009C4033">
        <w:rPr>
          <w:rFonts w:ascii="Times New Roman" w:hAnsi="Times New Roman" w:eastAsia="Times New Roman" w:cs="Times New Roman"/>
          <w:sz w:val="24"/>
          <w:szCs w:val="24"/>
        </w:rPr>
        <w:t xml:space="preserve"> and kingship, that all peoples, </w:t>
      </w:r>
      <w:r w:rsidRPr="15DCE85B" w:rsidR="009C4033">
        <w:rPr>
          <w:rFonts w:ascii="Times New Roman" w:hAnsi="Times New Roman" w:eastAsia="Times New Roman" w:cs="Times New Roman"/>
          <w:sz w:val="24"/>
          <w:szCs w:val="24"/>
        </w:rPr>
        <w:t>nations</w:t>
      </w:r>
      <w:r w:rsidRPr="15DCE85B" w:rsidR="009C4033">
        <w:rPr>
          <w:rFonts w:ascii="Times New Roman" w:hAnsi="Times New Roman" w:eastAsia="Times New Roman" w:cs="Times New Roman"/>
          <w:sz w:val="24"/>
          <w:szCs w:val="24"/>
        </w:rPr>
        <w:t xml:space="preserve"> and languages should serve him.</w:t>
      </w:r>
      <w:r w:rsidRPr="15DCE85B" w:rsidR="009C4033">
        <w:rPr>
          <w:rFonts w:ascii="Times New Roman" w:hAnsi="Times New Roman" w:eastAsia="Times New Roman" w:cs="Times New Roman"/>
          <w:sz w:val="24"/>
          <w:szCs w:val="24"/>
        </w:rPr>
        <w:t xml:space="preserve"> His dominion is an everlasting dominion that shall not pass away, and his kingship is one that shall never be destroyed.</w:t>
      </w:r>
    </w:p>
    <w:p w:rsidR="000D23C6" w:rsidRDefault="000D23C6" w14:paraId="00000019" w14:textId="77777777">
      <w:pPr>
        <w:spacing w:line="480" w:lineRule="auto"/>
        <w:rPr>
          <w:rFonts w:ascii="Times New Roman" w:hAnsi="Times New Roman" w:eastAsia="Times New Roman" w:cs="Times New Roman"/>
          <w:sz w:val="24"/>
          <w:szCs w:val="24"/>
        </w:rPr>
      </w:pPr>
    </w:p>
    <w:p w:rsidR="000D23C6" w:rsidP="31555CEC" w:rsidRDefault="009C4033" w14:paraId="0000001A" w14:textId="285FCDD9">
      <w:pPr>
        <w:spacing w:line="480" w:lineRule="auto"/>
        <w:rPr>
          <w:rFonts w:ascii="Times New Roman" w:hAnsi="Times New Roman" w:eastAsia="Times New Roman" w:cs="Times New Roman"/>
          <w:sz w:val="24"/>
          <w:szCs w:val="24"/>
          <w:lang w:val="en-US"/>
        </w:rPr>
      </w:pPr>
      <w:r w:rsidRPr="31555CEC" w:rsidR="009C4033">
        <w:rPr>
          <w:rFonts w:ascii="Times New Roman" w:hAnsi="Times New Roman" w:eastAsia="Times New Roman" w:cs="Times New Roman"/>
          <w:sz w:val="24"/>
          <w:szCs w:val="24"/>
          <w:lang w:val="en-US"/>
        </w:rPr>
        <w:t>The NRSV explains in a footnote that the phrase translated as “one like a human being” can be read as “one like a son of man</w:t>
      </w:r>
      <w:r w:rsidRPr="31555CEC" w:rsidR="009C4033">
        <w:rPr>
          <w:rFonts w:ascii="Times New Roman" w:hAnsi="Times New Roman" w:eastAsia="Times New Roman" w:cs="Times New Roman"/>
          <w:sz w:val="24"/>
          <w:szCs w:val="24"/>
          <w:lang w:val="en-US"/>
        </w:rPr>
        <w:t>”,</w:t>
      </w:r>
      <w:r w:rsidRPr="31555CEC" w:rsidR="009C4033">
        <w:rPr>
          <w:rFonts w:ascii="Times New Roman" w:hAnsi="Times New Roman" w:eastAsia="Times New Roman" w:cs="Times New Roman"/>
          <w:sz w:val="24"/>
          <w:szCs w:val="24"/>
          <w:lang w:val="en-US"/>
        </w:rPr>
        <w:t xml:space="preserve"> which would have been the case in the Septuagint. This is a phrase </w:t>
      </w:r>
      <w:bookmarkStart w:name="_Int_OjxsB0jg" w:id="1710265055"/>
      <w:r w:rsidRPr="31555CEC" w:rsidR="009C4033">
        <w:rPr>
          <w:rFonts w:ascii="Times New Roman" w:hAnsi="Times New Roman" w:eastAsia="Times New Roman" w:cs="Times New Roman"/>
          <w:sz w:val="24"/>
          <w:szCs w:val="24"/>
          <w:lang w:val="en-US"/>
        </w:rPr>
        <w:t xml:space="preserve">almost every</w:t>
      </w:r>
      <w:bookmarkEnd w:id="1710265055"/>
      <w:r w:rsidRPr="31555CEC" w:rsidR="009C4033">
        <w:rPr>
          <w:rFonts w:ascii="Times New Roman" w:hAnsi="Times New Roman" w:eastAsia="Times New Roman" w:cs="Times New Roman"/>
          <w:sz w:val="24"/>
          <w:szCs w:val="24"/>
          <w:lang w:val="en-US"/>
        </w:rPr>
        <w:t xml:space="preserve"> Bible-reader should be familiar with, as it appears in the New Testament a total of eighty-six times, usually in reference to Jesus himself.</w:t>
      </w:r>
      <w:r w:rsidRPr="31555CEC">
        <w:rPr>
          <w:rFonts w:ascii="Times New Roman" w:hAnsi="Times New Roman" w:eastAsia="Times New Roman" w:cs="Times New Roman"/>
          <w:sz w:val="24"/>
          <w:szCs w:val="24"/>
          <w:vertAlign w:val="superscript"/>
          <w:lang w:val="en-US"/>
        </w:rPr>
        <w:footnoteReference w:id="5"/>
      </w:r>
      <w:r w:rsidRPr="31555CEC" w:rsidR="009C4033">
        <w:rPr>
          <w:rFonts w:ascii="Times New Roman" w:hAnsi="Times New Roman" w:eastAsia="Times New Roman" w:cs="Times New Roman"/>
          <w:sz w:val="24"/>
          <w:szCs w:val="24"/>
          <w:lang w:val="en-US"/>
        </w:rPr>
        <w:t xml:space="preserve"> </w:t>
      </w:r>
      <w:r w:rsidRPr="31555CEC" w:rsidR="009C4033">
        <w:rPr>
          <w:rFonts w:ascii="Times New Roman" w:hAnsi="Times New Roman" w:eastAsia="Times New Roman" w:cs="Times New Roman"/>
          <w:sz w:val="24"/>
          <w:szCs w:val="24"/>
          <w:lang w:val="en-US"/>
        </w:rPr>
        <w:t xml:space="preserve">Ruzer</w:t>
      </w:r>
      <w:r w:rsidRPr="31555CEC" w:rsidR="009C4033">
        <w:rPr>
          <w:rFonts w:ascii="Times New Roman" w:hAnsi="Times New Roman" w:eastAsia="Times New Roman" w:cs="Times New Roman"/>
          <w:sz w:val="24"/>
          <w:szCs w:val="24"/>
          <w:lang w:val="en-US"/>
        </w:rPr>
        <w:t xml:space="preserve"> explains that within the synoptic gospels, the son-of-man motif is an integral part of Jesus’ messianic biography and goes on to elaborate that the idea of the son-of-man with definite article, clearly referencing the messianic vision of Daniel 7, is completely absent from the Pauline epistles.</w:t>
      </w:r>
      <w:r w:rsidRPr="31555CEC">
        <w:rPr>
          <w:rFonts w:ascii="Times New Roman" w:hAnsi="Times New Roman" w:eastAsia="Times New Roman" w:cs="Times New Roman"/>
          <w:sz w:val="24"/>
          <w:szCs w:val="24"/>
          <w:vertAlign w:val="superscript"/>
          <w:lang w:val="en-US"/>
        </w:rPr>
        <w:footnoteReference w:id="6"/>
      </w:r>
      <w:r w:rsidRPr="31555CEC" w:rsidR="009C4033">
        <w:rPr>
          <w:rFonts w:ascii="Times New Roman" w:hAnsi="Times New Roman" w:eastAsia="Times New Roman" w:cs="Times New Roman"/>
          <w:sz w:val="24"/>
          <w:szCs w:val="24"/>
          <w:lang w:val="en-US"/>
        </w:rPr>
        <w:t xml:space="preserve"> Given that Paul’s writings </w:t>
      </w:r>
      <w:r w:rsidRPr="31555CEC" w:rsidR="009C4033">
        <w:rPr>
          <w:rFonts w:ascii="Times New Roman" w:hAnsi="Times New Roman" w:eastAsia="Times New Roman" w:cs="Times New Roman"/>
          <w:sz w:val="24"/>
          <w:szCs w:val="24"/>
          <w:lang w:val="en-US"/>
        </w:rPr>
        <w:t xml:space="preserve">constitute</w:t>
      </w:r>
      <w:r w:rsidRPr="31555CEC" w:rsidR="009C4033">
        <w:rPr>
          <w:rFonts w:ascii="Times New Roman" w:hAnsi="Times New Roman" w:eastAsia="Times New Roman" w:cs="Times New Roman"/>
          <w:sz w:val="24"/>
          <w:szCs w:val="24"/>
          <w:lang w:val="en-US"/>
        </w:rPr>
        <w:t xml:space="preserve"> the earliest Christian literature in the Bible, it could be </w:t>
      </w:r>
      <w:r w:rsidRPr="31555CEC" w:rsidR="38AC949E">
        <w:rPr>
          <w:rFonts w:ascii="Times New Roman" w:hAnsi="Times New Roman" w:eastAsia="Times New Roman" w:cs="Times New Roman"/>
          <w:sz w:val="24"/>
          <w:szCs w:val="24"/>
          <w:lang w:val="en-US"/>
        </w:rPr>
        <w:t xml:space="preserve">assumed</w:t>
      </w:r>
      <w:r w:rsidRPr="31555CEC" w:rsidR="009C4033">
        <w:rPr>
          <w:rFonts w:ascii="Times New Roman" w:hAnsi="Times New Roman" w:eastAsia="Times New Roman" w:cs="Times New Roman"/>
          <w:sz w:val="24"/>
          <w:szCs w:val="24"/>
          <w:lang w:val="en-US"/>
        </w:rPr>
        <w:t xml:space="preserve"> that much of the usage and expansion of Daniel 7’s vision </w:t>
      </w:r>
      <w:r w:rsidRPr="31555CEC" w:rsidR="009C4033">
        <w:rPr>
          <w:rFonts w:ascii="Times New Roman" w:hAnsi="Times New Roman" w:eastAsia="Times New Roman" w:cs="Times New Roman"/>
          <w:sz w:val="24"/>
          <w:szCs w:val="24"/>
          <w:lang w:val="en-US"/>
        </w:rPr>
        <w:t xml:space="preserve">constituted</w:t>
      </w:r>
      <w:r w:rsidRPr="31555CEC" w:rsidR="009C4033">
        <w:rPr>
          <w:rFonts w:ascii="Times New Roman" w:hAnsi="Times New Roman" w:eastAsia="Times New Roman" w:cs="Times New Roman"/>
          <w:sz w:val="24"/>
          <w:szCs w:val="24"/>
          <w:lang w:val="en-US"/>
        </w:rPr>
        <w:t xml:space="preserve"> a later reception of Daniel 7 by the generation of Christians after Paul who were familiar with the Septuagint. Whether the gospel authors were the ones to originally draw on Daniel or whether the tradition was already circulating when they began writing, Daniel’s relevance and reception by early Christian writers is </w:t>
      </w:r>
      <w:r w:rsidRPr="31555CEC" w:rsidR="009C4033">
        <w:rPr>
          <w:rFonts w:ascii="Times New Roman" w:hAnsi="Times New Roman" w:eastAsia="Times New Roman" w:cs="Times New Roman"/>
          <w:sz w:val="24"/>
          <w:szCs w:val="24"/>
          <w:lang w:val="en-US"/>
        </w:rPr>
        <w:t xml:space="preserve">evide</w:t>
      </w:r>
      <w:r w:rsidRPr="31555CEC" w:rsidR="009C4033">
        <w:rPr>
          <w:rFonts w:ascii="Times New Roman" w:hAnsi="Times New Roman" w:eastAsia="Times New Roman" w:cs="Times New Roman"/>
          <w:sz w:val="24"/>
          <w:szCs w:val="24"/>
          <w:lang w:val="en-US"/>
        </w:rPr>
        <w:t xml:space="preserve">nt</w:t>
      </w:r>
      <w:r w:rsidRPr="31555CEC" w:rsidR="009C4033">
        <w:rPr>
          <w:rFonts w:ascii="Times New Roman" w:hAnsi="Times New Roman" w:eastAsia="Times New Roman" w:cs="Times New Roman"/>
          <w:sz w:val="24"/>
          <w:szCs w:val="24"/>
          <w:lang w:val="en-US"/>
        </w:rPr>
        <w:t xml:space="preserve">. </w:t>
      </w:r>
    </w:p>
    <w:p w:rsidR="000D23C6" w:rsidP="31555CEC" w:rsidRDefault="009C4033" w14:paraId="0000001B" w14:textId="17CDC812">
      <w:pPr>
        <w:spacing w:line="480" w:lineRule="auto"/>
        <w:rPr>
          <w:rFonts w:ascii="Times New Roman" w:hAnsi="Times New Roman" w:eastAsia="Times New Roman" w:cs="Times New Roman"/>
          <w:sz w:val="24"/>
          <w:szCs w:val="24"/>
          <w:highlight w:val="magenta"/>
          <w:lang w:val="en-US"/>
        </w:rPr>
      </w:pPr>
      <w:r>
        <w:rPr>
          <w:rFonts w:ascii="Times New Roman" w:hAnsi="Times New Roman" w:eastAsia="Times New Roman" w:cs="Times New Roman"/>
          <w:sz w:val="24"/>
          <w:szCs w:val="24"/>
        </w:rPr>
        <w:tab/>
      </w:r>
      <w:r w:rsidRPr="31555CEC" w:rsidR="009C4033">
        <w:rPr>
          <w:rFonts w:ascii="Times New Roman" w:hAnsi="Times New Roman" w:eastAsia="Times New Roman" w:cs="Times New Roman"/>
          <w:sz w:val="24"/>
          <w:szCs w:val="24"/>
          <w:lang w:val="en-US"/>
        </w:rPr>
        <w:t xml:space="preserve">Daniel 7 exists among a sea of Hebrew Bible reception and interpretation among the apocalyptic school of Second Temple Judaism and the emerging Christian community. Matthew, for example, quotes ten passages he interprets to be prophetic as markers of Jesus’ </w:t>
      </w:r>
      <w:r w:rsidRPr="31555CEC" w:rsidR="009C4033">
        <w:rPr>
          <w:rFonts w:ascii="Times New Roman" w:hAnsi="Times New Roman" w:eastAsia="Times New Roman" w:cs="Times New Roman"/>
          <w:sz w:val="24"/>
          <w:szCs w:val="24"/>
          <w:lang w:val="en-US"/>
        </w:rPr>
        <w:t>messiahship.</w:t>
      </w:r>
      <w:r w:rsidRPr="31555CEC">
        <w:rPr>
          <w:rFonts w:ascii="Times New Roman" w:hAnsi="Times New Roman" w:eastAsia="Times New Roman" w:cs="Times New Roman"/>
          <w:sz w:val="24"/>
          <w:szCs w:val="24"/>
          <w:vertAlign w:val="superscript"/>
          <w:lang w:val="en-US"/>
        </w:rPr>
        <w:footnoteReference w:id="7"/>
      </w:r>
      <w:r w:rsidRPr="31555CEC" w:rsidR="009C4033">
        <w:rPr>
          <w:rFonts w:ascii="Times New Roman" w:hAnsi="Times New Roman" w:eastAsia="Times New Roman" w:cs="Times New Roman"/>
          <w:sz w:val="24"/>
          <w:szCs w:val="24"/>
          <w:lang w:val="en-US"/>
        </w:rPr>
        <w:t xml:space="preserve"> The quotes include excerpts from Isaiah, Hosea, Jeremiah, </w:t>
      </w:r>
      <w:r w:rsidRPr="31555CEC" w:rsidR="009C4033">
        <w:rPr>
          <w:rFonts w:ascii="Times New Roman" w:hAnsi="Times New Roman" w:eastAsia="Times New Roman" w:cs="Times New Roman"/>
          <w:sz w:val="24"/>
          <w:szCs w:val="24"/>
          <w:lang w:val="en-US"/>
        </w:rPr>
        <w:t xml:space="preserve">Zechariah</w:t>
      </w:r>
      <w:r w:rsidRPr="31555CEC" w:rsidR="009C4033">
        <w:rPr>
          <w:rFonts w:ascii="Times New Roman" w:hAnsi="Times New Roman" w:eastAsia="Times New Roman" w:cs="Times New Roman"/>
          <w:sz w:val="24"/>
          <w:szCs w:val="24"/>
          <w:lang w:val="en-US"/>
        </w:rPr>
        <w:t xml:space="preserve"> and Psalms. While </w:t>
      </w:r>
      <w:r w:rsidRPr="31555CEC" w:rsidR="60C6E7B8">
        <w:rPr>
          <w:rFonts w:ascii="Times New Roman" w:hAnsi="Times New Roman" w:eastAsia="Times New Roman" w:cs="Times New Roman"/>
          <w:sz w:val="24"/>
          <w:szCs w:val="24"/>
          <w:lang w:val="en-US"/>
        </w:rPr>
        <w:t xml:space="preserve">most</w:t>
      </w:r>
      <w:r w:rsidRPr="31555CEC" w:rsidR="009C4033">
        <w:rPr>
          <w:rFonts w:ascii="Times New Roman" w:hAnsi="Times New Roman" w:eastAsia="Times New Roman" w:cs="Times New Roman"/>
          <w:sz w:val="24"/>
          <w:szCs w:val="24"/>
          <w:lang w:val="en-US"/>
        </w:rPr>
        <w:t xml:space="preserve"> passages quoted are </w:t>
      </w:r>
      <w:bookmarkStart w:name="_Int_I5HXeFue" w:id="1127525945"/>
      <w:r w:rsidRPr="31555CEC" w:rsidR="009C4033">
        <w:rPr>
          <w:rFonts w:ascii="Times New Roman" w:hAnsi="Times New Roman" w:eastAsia="Times New Roman" w:cs="Times New Roman"/>
          <w:sz w:val="24"/>
          <w:szCs w:val="24"/>
          <w:lang w:val="en-US"/>
        </w:rPr>
        <w:t xml:space="preserve">seemingly of</w:t>
      </w:r>
      <w:bookmarkEnd w:id="1127525945"/>
      <w:r w:rsidRPr="31555CEC" w:rsidR="009C4033">
        <w:rPr>
          <w:rFonts w:ascii="Times New Roman" w:hAnsi="Times New Roman" w:eastAsia="Times New Roman" w:cs="Times New Roman"/>
          <w:sz w:val="24"/>
          <w:szCs w:val="24"/>
          <w:lang w:val="en-US"/>
        </w:rPr>
        <w:t xml:space="preserve"> Septuagint origin based on their composition, several clearly diverge from both the Septuagint and Masoretic Text.</w:t>
      </w:r>
      <w:r w:rsidRPr="31555CEC">
        <w:rPr>
          <w:rFonts w:ascii="Times New Roman" w:hAnsi="Times New Roman" w:eastAsia="Times New Roman" w:cs="Times New Roman"/>
          <w:sz w:val="24"/>
          <w:szCs w:val="24"/>
          <w:vertAlign w:val="superscript"/>
          <w:lang w:val="en-US"/>
        </w:rPr>
        <w:footnoteReference w:id="8"/>
      </w:r>
      <w:r w:rsidRPr="31555CEC" w:rsidR="009C4033">
        <w:rPr>
          <w:rFonts w:ascii="Times New Roman" w:hAnsi="Times New Roman" w:eastAsia="Times New Roman" w:cs="Times New Roman"/>
          <w:sz w:val="24"/>
          <w:szCs w:val="24"/>
          <w:lang w:val="en-US"/>
        </w:rPr>
        <w:t xml:space="preserve"> While this may </w:t>
      </w:r>
      <w:r w:rsidRPr="31555CEC" w:rsidR="009C4033">
        <w:rPr>
          <w:rFonts w:ascii="Times New Roman" w:hAnsi="Times New Roman" w:eastAsia="Times New Roman" w:cs="Times New Roman"/>
          <w:sz w:val="24"/>
          <w:szCs w:val="24"/>
          <w:lang w:val="en-US"/>
        </w:rPr>
        <w:t xml:space="preserve">demonstrate</w:t>
      </w:r>
      <w:r w:rsidRPr="31555CEC" w:rsidR="009C4033">
        <w:rPr>
          <w:rFonts w:ascii="Times New Roman" w:hAnsi="Times New Roman" w:eastAsia="Times New Roman" w:cs="Times New Roman"/>
          <w:sz w:val="24"/>
          <w:szCs w:val="24"/>
          <w:lang w:val="en-US"/>
        </w:rPr>
        <w:t xml:space="preserve"> the existence of another manuscript that the author of Matthew had access to, it may also suggest that the author was taking some liberties with Hebrew Bible traditions, once again engaging in its reception history. Furthermore, the reworking of the Jesus narrative to fit the formulaic Messiah passages that Matthew </w:t>
      </w:r>
      <w:r w:rsidRPr="31555CEC" w:rsidR="009C4033">
        <w:rPr>
          <w:rFonts w:ascii="Times New Roman" w:hAnsi="Times New Roman" w:eastAsia="Times New Roman" w:cs="Times New Roman"/>
          <w:sz w:val="24"/>
          <w:szCs w:val="24"/>
          <w:lang w:val="en-US"/>
        </w:rPr>
        <w:t xml:space="preserve">identified</w:t>
      </w:r>
      <w:r w:rsidRPr="31555CEC" w:rsidR="009C4033">
        <w:rPr>
          <w:rFonts w:ascii="Times New Roman" w:hAnsi="Times New Roman" w:eastAsia="Times New Roman" w:cs="Times New Roman"/>
          <w:sz w:val="24"/>
          <w:szCs w:val="24"/>
          <w:lang w:val="en-US"/>
        </w:rPr>
        <w:t xml:space="preserve"> in the Hebrew Bible </w:t>
      </w:r>
      <w:r w:rsidRPr="31555CEC" w:rsidR="009C4033">
        <w:rPr>
          <w:rFonts w:ascii="Times New Roman" w:hAnsi="Times New Roman" w:eastAsia="Times New Roman" w:cs="Times New Roman"/>
          <w:sz w:val="24"/>
          <w:szCs w:val="24"/>
          <w:lang w:val="en-US"/>
        </w:rPr>
        <w:t xml:space="preserve">demonstrates</w:t>
      </w:r>
      <w:r w:rsidRPr="31555CEC" w:rsidR="009C4033">
        <w:rPr>
          <w:rFonts w:ascii="Times New Roman" w:hAnsi="Times New Roman" w:eastAsia="Times New Roman" w:cs="Times New Roman"/>
          <w:sz w:val="24"/>
          <w:szCs w:val="24"/>
          <w:lang w:val="en-US"/>
        </w:rPr>
        <w:t xml:space="preserve"> </w:t>
      </w:r>
      <w:bookmarkStart w:name="_Int_XUV0SZ31" w:id="507607045"/>
      <w:r w:rsidRPr="31555CEC" w:rsidR="009C4033">
        <w:rPr>
          <w:rFonts w:ascii="Times New Roman" w:hAnsi="Times New Roman" w:eastAsia="Times New Roman" w:cs="Times New Roman"/>
          <w:sz w:val="24"/>
          <w:szCs w:val="24"/>
          <w:lang w:val="en-US"/>
        </w:rPr>
        <w:t xml:space="preserve">very clear</w:t>
      </w:r>
      <w:bookmarkEnd w:id="507607045"/>
      <w:r w:rsidRPr="31555CEC" w:rsidR="009C4033">
        <w:rPr>
          <w:rFonts w:ascii="Times New Roman" w:hAnsi="Times New Roman" w:eastAsia="Times New Roman" w:cs="Times New Roman"/>
          <w:sz w:val="24"/>
          <w:szCs w:val="24"/>
          <w:lang w:val="en-US"/>
        </w:rPr>
        <w:t xml:space="preserve"> reception history from the first century that we can directly </w:t>
      </w:r>
      <w:r w:rsidRPr="31555CEC" w:rsidR="009C4033">
        <w:rPr>
          <w:rFonts w:ascii="Times New Roman" w:hAnsi="Times New Roman" w:eastAsia="Times New Roman" w:cs="Times New Roman"/>
          <w:sz w:val="24"/>
          <w:szCs w:val="24"/>
          <w:lang w:val="en-US"/>
        </w:rPr>
        <w:t xml:space="preserve">observe</w:t>
      </w:r>
      <w:r w:rsidRPr="31555CEC" w:rsidR="009C4033">
        <w:rPr>
          <w:rFonts w:ascii="Times New Roman" w:hAnsi="Times New Roman" w:eastAsia="Times New Roman" w:cs="Times New Roman"/>
          <w:sz w:val="24"/>
          <w:szCs w:val="24"/>
          <w:lang w:val="en-US"/>
        </w:rPr>
        <w:t xml:space="preserve"> and study. The existence of this literary </w:t>
      </w:r>
      <w:r w:rsidRPr="31555CEC" w:rsidR="009C4033">
        <w:rPr>
          <w:rFonts w:ascii="Times New Roman" w:hAnsi="Times New Roman" w:eastAsia="Times New Roman" w:cs="Times New Roman"/>
          <w:sz w:val="24"/>
          <w:szCs w:val="24"/>
          <w:lang w:val="en-US"/>
        </w:rPr>
        <w:t xml:space="preserve">time capsule allows us to study the evolution of the reception of these passages and see the changing narratives that different communities developed around certain texts and traditions. </w:t>
      </w:r>
    </w:p>
    <w:p w:rsidR="000D23C6" w:rsidP="31555CEC" w:rsidRDefault="009C4033" w14:paraId="0000001C" w14:textId="6B77BB5C">
      <w:pPr>
        <w:spacing w:line="480" w:lineRule="auto"/>
        <w:rPr>
          <w:rFonts w:ascii="Times New Roman" w:hAnsi="Times New Roman" w:eastAsia="Times New Roman" w:cs="Times New Roman"/>
          <w:sz w:val="24"/>
          <w:szCs w:val="24"/>
          <w:lang w:val="en-US"/>
        </w:rPr>
      </w:pPr>
      <w:r>
        <w:rPr>
          <w:rFonts w:ascii="Times New Roman" w:hAnsi="Times New Roman" w:eastAsia="Times New Roman" w:cs="Times New Roman"/>
          <w:sz w:val="24"/>
          <w:szCs w:val="24"/>
        </w:rPr>
        <w:tab/>
      </w:r>
      <w:r w:rsidRPr="31555CEC" w:rsidR="009C4033">
        <w:rPr>
          <w:rFonts w:ascii="Times New Roman" w:hAnsi="Times New Roman" w:eastAsia="Times New Roman" w:cs="Times New Roman"/>
          <w:sz w:val="24"/>
          <w:szCs w:val="24"/>
          <w:lang w:val="en-US"/>
        </w:rPr>
        <w:t xml:space="preserve">More than </w:t>
      </w:r>
      <w:r w:rsidRPr="31555CEC" w:rsidR="009C4033">
        <w:rPr>
          <w:rFonts w:ascii="Times New Roman" w:hAnsi="Times New Roman" w:eastAsia="Times New Roman" w:cs="Times New Roman"/>
          <w:sz w:val="24"/>
          <w:szCs w:val="24"/>
          <w:lang w:val="en-US"/>
        </w:rPr>
        <w:t>demonstrating</w:t>
      </w:r>
      <w:r w:rsidRPr="31555CEC" w:rsidR="009C4033">
        <w:rPr>
          <w:rFonts w:ascii="Times New Roman" w:hAnsi="Times New Roman" w:eastAsia="Times New Roman" w:cs="Times New Roman"/>
          <w:sz w:val="24"/>
          <w:szCs w:val="24"/>
          <w:lang w:val="en-US"/>
        </w:rPr>
        <w:t xml:space="preserve"> reception history within the Bible itself, </w:t>
      </w:r>
      <w:r w:rsidRPr="31555CEC" w:rsidR="3D1B5A89">
        <w:rPr>
          <w:rFonts w:ascii="Times New Roman" w:hAnsi="Times New Roman" w:eastAsia="Times New Roman" w:cs="Times New Roman"/>
          <w:sz w:val="24"/>
          <w:szCs w:val="24"/>
          <w:lang w:val="en-US"/>
        </w:rPr>
        <w:t>it</w:t>
      </w:r>
      <w:r w:rsidRPr="31555CEC" w:rsidR="009C4033">
        <w:rPr>
          <w:rFonts w:ascii="Times New Roman" w:hAnsi="Times New Roman" w:eastAsia="Times New Roman" w:cs="Times New Roman"/>
          <w:sz w:val="24"/>
          <w:szCs w:val="24"/>
          <w:lang w:val="en-US"/>
        </w:rPr>
        <w:t xml:space="preserve"> is imperative to also </w:t>
      </w:r>
      <w:r w:rsidRPr="31555CEC" w:rsidR="009C4033">
        <w:rPr>
          <w:rFonts w:ascii="Times New Roman" w:hAnsi="Times New Roman" w:eastAsia="Times New Roman" w:cs="Times New Roman"/>
          <w:sz w:val="24"/>
          <w:szCs w:val="24"/>
          <w:lang w:val="en-US"/>
        </w:rPr>
        <w:t>demonstrate</w:t>
      </w:r>
      <w:r w:rsidRPr="31555CEC" w:rsidR="009C4033">
        <w:rPr>
          <w:rFonts w:ascii="Times New Roman" w:hAnsi="Times New Roman" w:eastAsia="Times New Roman" w:cs="Times New Roman"/>
          <w:sz w:val="24"/>
          <w:szCs w:val="24"/>
          <w:lang w:val="en-US"/>
        </w:rPr>
        <w:t xml:space="preserve"> its historic importance outside the Bible, given that most reception history is extra-biblical. Within early Christianity, there was little uniformity of belief. This can be plainly </w:t>
      </w:r>
      <w:r w:rsidRPr="31555CEC" w:rsidR="009C4033">
        <w:rPr>
          <w:rFonts w:ascii="Times New Roman" w:hAnsi="Times New Roman" w:eastAsia="Times New Roman" w:cs="Times New Roman"/>
          <w:sz w:val="24"/>
          <w:szCs w:val="24"/>
          <w:lang w:val="en-US"/>
        </w:rPr>
        <w:t>observed</w:t>
      </w:r>
      <w:r w:rsidRPr="31555CEC" w:rsidR="009C4033">
        <w:rPr>
          <w:rFonts w:ascii="Times New Roman" w:hAnsi="Times New Roman" w:eastAsia="Times New Roman" w:cs="Times New Roman"/>
          <w:sz w:val="24"/>
          <w:szCs w:val="24"/>
          <w:lang w:val="en-US"/>
        </w:rPr>
        <w:t xml:space="preserve"> in Paul’s various epistles to different early congregations. More interesting, however, are the dissenting beliefs that were never recorded in the Bible. These so called “heresies” abounded in the first sev</w:t>
      </w:r>
      <w:r w:rsidRPr="31555CEC" w:rsidR="009C4033">
        <w:rPr>
          <w:rFonts w:ascii="Times New Roman" w:hAnsi="Times New Roman" w:eastAsia="Times New Roman" w:cs="Times New Roman"/>
          <w:sz w:val="24"/>
          <w:szCs w:val="24"/>
          <w:lang w:val="en-US"/>
        </w:rPr>
        <w:t xml:space="preserve">eral centuries of the common era, and by luck and coincidence some of the writings espousing beliefs that would fall out of </w:t>
      </w:r>
      <w:r w:rsidRPr="31555CEC" w:rsidR="009C4033">
        <w:rPr>
          <w:rFonts w:ascii="Times New Roman" w:hAnsi="Times New Roman" w:eastAsia="Times New Roman" w:cs="Times New Roman"/>
          <w:sz w:val="24"/>
          <w:szCs w:val="24"/>
          <w:lang w:val="en-US"/>
        </w:rPr>
        <w:t>favour</w:t>
      </w:r>
      <w:r w:rsidRPr="31555CEC" w:rsidR="009C4033">
        <w:rPr>
          <w:rFonts w:ascii="Times New Roman" w:hAnsi="Times New Roman" w:eastAsia="Times New Roman" w:cs="Times New Roman"/>
          <w:sz w:val="24"/>
          <w:szCs w:val="24"/>
          <w:lang w:val="en-US"/>
        </w:rPr>
        <w:t xml:space="preserve"> survive to this day. Several different early Christian heresies have been retroactively grouped together as “Gnosticism</w:t>
      </w:r>
      <w:r w:rsidRPr="31555CEC" w:rsidR="009C4033">
        <w:rPr>
          <w:rFonts w:ascii="Times New Roman" w:hAnsi="Times New Roman" w:eastAsia="Times New Roman" w:cs="Times New Roman"/>
          <w:sz w:val="24"/>
          <w:szCs w:val="24"/>
          <w:lang w:val="en-US"/>
        </w:rPr>
        <w:t>”,</w:t>
      </w:r>
      <w:r w:rsidRPr="31555CEC" w:rsidR="009C4033">
        <w:rPr>
          <w:rFonts w:ascii="Times New Roman" w:hAnsi="Times New Roman" w:eastAsia="Times New Roman" w:cs="Times New Roman"/>
          <w:sz w:val="24"/>
          <w:szCs w:val="24"/>
          <w:lang w:val="en-US"/>
        </w:rPr>
        <w:t xml:space="preserve"> although the actual theology of these movements varies widely. What is shared is the belief that the deity depicted in the Hebrew Bible is not the same deity who sent Jesus Christ and therefore is not the deity that Christians ought to worship.</w:t>
      </w:r>
      <w:r w:rsidRPr="31555CEC">
        <w:rPr>
          <w:rFonts w:ascii="Times New Roman" w:hAnsi="Times New Roman" w:eastAsia="Times New Roman" w:cs="Times New Roman"/>
          <w:sz w:val="24"/>
          <w:szCs w:val="24"/>
          <w:vertAlign w:val="superscript"/>
          <w:lang w:val="en-US"/>
        </w:rPr>
        <w:footnoteReference w:id="9"/>
      </w:r>
      <w:r w:rsidRPr="31555CEC" w:rsidR="009C4033">
        <w:rPr>
          <w:rFonts w:ascii="Times New Roman" w:hAnsi="Times New Roman" w:eastAsia="Times New Roman" w:cs="Times New Roman"/>
          <w:sz w:val="24"/>
          <w:szCs w:val="24"/>
          <w:lang w:val="en-US"/>
        </w:rPr>
        <w:t xml:space="preserve"> The development of these Gnostic movements </w:t>
      </w:r>
      <w:r w:rsidRPr="31555CEC" w:rsidR="122FDD79">
        <w:rPr>
          <w:rFonts w:ascii="Times New Roman" w:hAnsi="Times New Roman" w:eastAsia="Times New Roman" w:cs="Times New Roman"/>
          <w:sz w:val="24"/>
          <w:szCs w:val="24"/>
          <w:lang w:val="en-US"/>
        </w:rPr>
        <w:t xml:space="preserve">was</w:t>
      </w:r>
      <w:r w:rsidRPr="31555CEC" w:rsidR="009C4033">
        <w:rPr>
          <w:rFonts w:ascii="Times New Roman" w:hAnsi="Times New Roman" w:eastAsia="Times New Roman" w:cs="Times New Roman"/>
          <w:sz w:val="24"/>
          <w:szCs w:val="24"/>
          <w:lang w:val="en-US"/>
        </w:rPr>
        <w:t xml:space="preserve"> heavily influenced by the circulating Platonic philosophy of the </w:t>
      </w:r>
      <w:r w:rsidRPr="31555CEC" w:rsidR="009C4033">
        <w:rPr>
          <w:rFonts w:ascii="Times New Roman" w:hAnsi="Times New Roman" w:eastAsia="Times New Roman" w:cs="Times New Roman"/>
          <w:sz w:val="24"/>
          <w:szCs w:val="24"/>
          <w:lang w:val="en-US"/>
        </w:rPr>
        <w:t xml:space="preserve">Hellenised</w:t>
      </w:r>
      <w:r w:rsidRPr="31555CEC" w:rsidR="009C4033">
        <w:rPr>
          <w:rFonts w:ascii="Times New Roman" w:hAnsi="Times New Roman" w:eastAsia="Times New Roman" w:cs="Times New Roman"/>
          <w:sz w:val="24"/>
          <w:szCs w:val="24"/>
          <w:lang w:val="en-US"/>
        </w:rPr>
        <w:t xml:space="preserve"> world, but what cannot be denied is that their theology </w:t>
      </w:r>
      <w:r w:rsidRPr="31555CEC" w:rsidR="009C4033">
        <w:rPr>
          <w:rFonts w:ascii="Times New Roman" w:hAnsi="Times New Roman" w:eastAsia="Times New Roman" w:cs="Times New Roman"/>
          <w:sz w:val="24"/>
          <w:szCs w:val="24"/>
          <w:lang w:val="en-US"/>
        </w:rPr>
        <w:t xml:space="preserve">necessitated</w:t>
      </w:r>
      <w:r w:rsidRPr="31555CEC" w:rsidR="009C4033">
        <w:rPr>
          <w:rFonts w:ascii="Times New Roman" w:hAnsi="Times New Roman" w:eastAsia="Times New Roman" w:cs="Times New Roman"/>
          <w:sz w:val="24"/>
          <w:szCs w:val="24"/>
          <w:lang w:val="en-US"/>
        </w:rPr>
        <w:t xml:space="preserve"> a specific reception of the Hebrew scriptures. Like many Christians, Gnostic thinkers grappled with how to reconcile the God of love and forgiveness portrayed in the gospels with the unjust, quick-tempered, and vengeful God </w:t>
      </w:r>
      <w:r w:rsidRPr="31555CEC" w:rsidR="009C4033">
        <w:rPr>
          <w:rFonts w:ascii="Times New Roman" w:hAnsi="Times New Roman" w:eastAsia="Times New Roman" w:cs="Times New Roman"/>
          <w:sz w:val="24"/>
          <w:szCs w:val="24"/>
          <w:lang w:val="en-US"/>
        </w:rPr>
        <w:t xml:space="preserve">demonstrated</w:t>
      </w:r>
      <w:r w:rsidRPr="31555CEC" w:rsidR="009C4033">
        <w:rPr>
          <w:rFonts w:ascii="Times New Roman" w:hAnsi="Times New Roman" w:eastAsia="Times New Roman" w:cs="Times New Roman"/>
          <w:sz w:val="24"/>
          <w:szCs w:val="24"/>
          <w:lang w:val="en-US"/>
        </w:rPr>
        <w:t xml:space="preserve"> in parts of the Hebrew Bible.</w:t>
      </w:r>
      <w:r w:rsidRPr="31555CEC">
        <w:rPr>
          <w:rFonts w:ascii="Times New Roman" w:hAnsi="Times New Roman" w:eastAsia="Times New Roman" w:cs="Times New Roman"/>
          <w:sz w:val="24"/>
          <w:szCs w:val="24"/>
          <w:vertAlign w:val="superscript"/>
          <w:lang w:val="en-US"/>
        </w:rPr>
        <w:footnoteReference w:id="10"/>
      </w:r>
      <w:r w:rsidRPr="31555CEC" w:rsidR="009C4033">
        <w:rPr>
          <w:rFonts w:ascii="Times New Roman" w:hAnsi="Times New Roman" w:eastAsia="Times New Roman" w:cs="Times New Roman"/>
          <w:sz w:val="24"/>
          <w:szCs w:val="24"/>
          <w:lang w:val="en-US"/>
        </w:rPr>
        <w:t xml:space="preserve"> While mainstream Christian reception history has found ways to reconcile the </w:t>
      </w:r>
      <w:bookmarkStart w:name="_Int_8pOxzfRb" w:id="1793214447"/>
      <w:r w:rsidRPr="31555CEC" w:rsidR="009C4033">
        <w:rPr>
          <w:rFonts w:ascii="Times New Roman" w:hAnsi="Times New Roman" w:eastAsia="Times New Roman" w:cs="Times New Roman"/>
          <w:sz w:val="24"/>
          <w:szCs w:val="24"/>
          <w:lang w:val="en-US"/>
        </w:rPr>
        <w:t xml:space="preserve">seemingly antithetical</w:t>
      </w:r>
      <w:bookmarkEnd w:id="1793214447"/>
      <w:r w:rsidRPr="31555CEC" w:rsidR="009C4033">
        <w:rPr>
          <w:rFonts w:ascii="Times New Roman" w:hAnsi="Times New Roman" w:eastAsia="Times New Roman" w:cs="Times New Roman"/>
          <w:sz w:val="24"/>
          <w:szCs w:val="24"/>
          <w:lang w:val="en-US"/>
        </w:rPr>
        <w:t xml:space="preserve"> natures of God in the Old and New Testaments, Gnostic reception history involved crafting complex new myths from Genesis and elsewhere in the Hebrew Bible. Gnostic interpretations of Genesis ranged from framing the Jewish God as anywhere from ignorant and deluded, to purposely deceitful and cruel.</w:t>
      </w:r>
      <w:r w:rsidRPr="31555CEC">
        <w:rPr>
          <w:rFonts w:ascii="Times New Roman" w:hAnsi="Times New Roman" w:eastAsia="Times New Roman" w:cs="Times New Roman"/>
          <w:sz w:val="24"/>
          <w:szCs w:val="24"/>
          <w:vertAlign w:val="superscript"/>
          <w:lang w:val="en-US"/>
        </w:rPr>
        <w:footnoteReference w:id="11"/>
      </w:r>
      <w:r w:rsidRPr="31555CEC" w:rsidR="009C4033">
        <w:rPr>
          <w:rFonts w:ascii="Times New Roman" w:hAnsi="Times New Roman" w:eastAsia="Times New Roman" w:cs="Times New Roman"/>
          <w:sz w:val="24"/>
          <w:szCs w:val="24"/>
          <w:lang w:val="en-US"/>
        </w:rPr>
        <w:t xml:space="preserve"> Whereas most Christians today see the serpent in Genesis as a tempter, convincing humans to disobey their creator, the Sethian sect of Gnosticism interpreted God’s withholding of knowledge and clear desire to keep humans ignorant to be the true act of deceit, with the serpent being a liberator of humanity in imparting the knowledge of good and evil.</w:t>
      </w:r>
      <w:r w:rsidRPr="31555CEC">
        <w:rPr>
          <w:rFonts w:ascii="Times New Roman" w:hAnsi="Times New Roman" w:eastAsia="Times New Roman" w:cs="Times New Roman"/>
          <w:sz w:val="24"/>
          <w:szCs w:val="24"/>
          <w:vertAlign w:val="superscript"/>
          <w:lang w:val="en-US"/>
        </w:rPr>
        <w:footnoteReference w:id="12"/>
      </w:r>
      <w:r w:rsidRPr="31555CEC" w:rsidR="009C4033">
        <w:rPr>
          <w:rFonts w:ascii="Times New Roman" w:hAnsi="Times New Roman" w:eastAsia="Times New Roman" w:cs="Times New Roman"/>
          <w:sz w:val="24"/>
          <w:szCs w:val="24"/>
          <w:lang w:val="en-US"/>
        </w:rPr>
        <w:t xml:space="preserve"> </w:t>
      </w:r>
      <w:r w:rsidRPr="31555CEC" w:rsidR="009C4033">
        <w:rPr>
          <w:rFonts w:ascii="Times New Roman" w:hAnsi="Times New Roman" w:eastAsia="Times New Roman" w:cs="Times New Roman"/>
          <w:sz w:val="24"/>
          <w:szCs w:val="24"/>
          <w:lang w:val="en-US"/>
        </w:rPr>
        <w:t xml:space="preserve">Genesis 3:21 does seem to portray God as concerned about humanity’s rise to divinity, worrying that with their newfound knowledge humans “might reach out their hands and take also from the tree of life and eat and live forever.” In examining and contrasting the Sethian reception of Genesis 3 with the mainstream Christian view, we can </w:t>
      </w:r>
      <w:r w:rsidRPr="31555CEC" w:rsidR="009C4033">
        <w:rPr>
          <w:rFonts w:ascii="Times New Roman" w:hAnsi="Times New Roman" w:eastAsia="Times New Roman" w:cs="Times New Roman"/>
          <w:sz w:val="24"/>
          <w:szCs w:val="24"/>
          <w:lang w:val="en-US"/>
        </w:rPr>
        <w:t>observe</w:t>
      </w:r>
      <w:r w:rsidRPr="31555CEC" w:rsidR="009C4033">
        <w:rPr>
          <w:rFonts w:ascii="Times New Roman" w:hAnsi="Times New Roman" w:eastAsia="Times New Roman" w:cs="Times New Roman"/>
          <w:sz w:val="24"/>
          <w:szCs w:val="24"/>
          <w:lang w:val="en-US"/>
        </w:rPr>
        <w:t xml:space="preserve"> how placing emphasis on a different aspect of the same text can lead to a spiderweb of branching religious traditions that, with Gnosticism, many would argue constitute</w:t>
      </w:r>
      <w:r w:rsidRPr="31555CEC" w:rsidR="009C4033">
        <w:rPr>
          <w:rFonts w:ascii="Times New Roman" w:hAnsi="Times New Roman" w:eastAsia="Times New Roman" w:cs="Times New Roman"/>
          <w:sz w:val="24"/>
          <w:szCs w:val="24"/>
          <w:lang w:val="en-US"/>
        </w:rPr>
        <w:t xml:space="preserve"> different faiths entirely. </w:t>
      </w:r>
    </w:p>
    <w:p w:rsidR="07A8FB2A" w:rsidP="15DCE85B" w:rsidRDefault="07A8FB2A" w14:paraId="33C88218" w14:textId="2CFE878D">
      <w:pPr>
        <w:spacing w:line="480" w:lineRule="auto"/>
        <w:ind w:firstLine="720"/>
        <w:rPr>
          <w:rFonts w:ascii="Times New Roman" w:hAnsi="Times New Roman" w:eastAsia="Times New Roman" w:cs="Times New Roman"/>
          <w:sz w:val="24"/>
          <w:szCs w:val="24"/>
        </w:rPr>
      </w:pPr>
      <w:r w:rsidRPr="15DCE85B" w:rsidR="009C4033">
        <w:rPr>
          <w:rFonts w:ascii="Times New Roman" w:hAnsi="Times New Roman" w:eastAsia="Times New Roman" w:cs="Times New Roman"/>
          <w:sz w:val="24"/>
          <w:szCs w:val="24"/>
        </w:rPr>
        <w:t>Whether examining the Hebrew Bible’s prophetic reception in the Gospels or its Platonic and anti-Jewish reception by the Sethians, the strength of reception history lies in its ability to examine and critique how the Bible has shaped countless lives throughout history. While reception history does not aim to supplant other methods of study, its addition to the plethora of philosophical frameworks scholars have access to will only serve to further the understanding of the Bible and its influence on the world</w:t>
      </w:r>
      <w:r w:rsidRPr="15DCE85B" w:rsidR="009C4033">
        <w:rPr>
          <w:rFonts w:ascii="Times New Roman" w:hAnsi="Times New Roman" w:eastAsia="Times New Roman" w:cs="Times New Roman"/>
          <w:sz w:val="24"/>
          <w:szCs w:val="24"/>
        </w:rPr>
        <w:t xml:space="preserve"> around us. While the Biblical authors’ intentions are important and should be studied, the ways the texts are interpreted now has more bearing on society than </w:t>
      </w:r>
      <w:r w:rsidRPr="15DCE85B" w:rsidR="3CA51160">
        <w:rPr>
          <w:rFonts w:ascii="Times New Roman" w:hAnsi="Times New Roman" w:eastAsia="Times New Roman" w:cs="Times New Roman"/>
          <w:sz w:val="24"/>
          <w:szCs w:val="24"/>
        </w:rPr>
        <w:t xml:space="preserve">reconstructed ancient </w:t>
      </w:r>
      <w:r w:rsidRPr="15DCE85B" w:rsidR="009C4033">
        <w:rPr>
          <w:rFonts w:ascii="Times New Roman" w:hAnsi="Times New Roman" w:eastAsia="Times New Roman" w:cs="Times New Roman"/>
          <w:sz w:val="24"/>
          <w:szCs w:val="24"/>
        </w:rPr>
        <w:t xml:space="preserve">thoughts and meanings ever could. In this way, reception history is invaluable and without placing it on a pedestal above other methodologies of Biblical Studies, it is </w:t>
      </w:r>
      <w:r w:rsidRPr="15DCE85B" w:rsidR="009C4033">
        <w:rPr>
          <w:rFonts w:ascii="Times New Roman" w:hAnsi="Times New Roman" w:eastAsia="Times New Roman" w:cs="Times New Roman"/>
          <w:sz w:val="24"/>
          <w:szCs w:val="24"/>
        </w:rPr>
        <w:t>evident</w:t>
      </w:r>
      <w:r w:rsidRPr="15DCE85B" w:rsidR="009C4033">
        <w:rPr>
          <w:rFonts w:ascii="Times New Roman" w:hAnsi="Times New Roman" w:eastAsia="Times New Roman" w:cs="Times New Roman"/>
          <w:sz w:val="24"/>
          <w:szCs w:val="24"/>
        </w:rPr>
        <w:t xml:space="preserve"> that it is one of the most important aspects to Biblical </w:t>
      </w:r>
      <w:r w:rsidRPr="15DCE85B" w:rsidR="32733C1D">
        <w:rPr>
          <w:rFonts w:ascii="Times New Roman" w:hAnsi="Times New Roman" w:eastAsia="Times New Roman" w:cs="Times New Roman"/>
          <w:sz w:val="24"/>
          <w:szCs w:val="24"/>
        </w:rPr>
        <w:t>studies and</w:t>
      </w:r>
      <w:r w:rsidRPr="15DCE85B" w:rsidR="009C4033">
        <w:rPr>
          <w:rFonts w:ascii="Times New Roman" w:hAnsi="Times New Roman" w:eastAsia="Times New Roman" w:cs="Times New Roman"/>
          <w:sz w:val="24"/>
          <w:szCs w:val="24"/>
        </w:rPr>
        <w:t xml:space="preserve"> will </w:t>
      </w:r>
      <w:bookmarkStart w:name="_Int_gPDxMnin" w:id="48887596"/>
      <w:r w:rsidRPr="15DCE85B" w:rsidR="009C4033">
        <w:rPr>
          <w:rFonts w:ascii="Times New Roman" w:hAnsi="Times New Roman" w:eastAsia="Times New Roman" w:cs="Times New Roman"/>
          <w:sz w:val="24"/>
          <w:szCs w:val="24"/>
        </w:rPr>
        <w:t>likely continue</w:t>
      </w:r>
      <w:bookmarkEnd w:id="48887596"/>
      <w:r w:rsidRPr="15DCE85B" w:rsidR="009C4033">
        <w:rPr>
          <w:rFonts w:ascii="Times New Roman" w:hAnsi="Times New Roman" w:eastAsia="Times New Roman" w:cs="Times New Roman"/>
          <w:sz w:val="24"/>
          <w:szCs w:val="24"/>
        </w:rPr>
        <w:t xml:space="preserve"> to be in the future.</w:t>
      </w:r>
      <w:r w:rsidRPr="15DCE85B" w:rsidR="18ACD593">
        <w:rPr>
          <w:rFonts w:ascii="Times New Roman" w:hAnsi="Times New Roman" w:eastAsia="Times New Roman" w:cs="Times New Roman"/>
          <w:sz w:val="24"/>
          <w:szCs w:val="24"/>
        </w:rPr>
        <w:t xml:space="preserve"> [Word</w:t>
      </w:r>
      <w:r w:rsidRPr="15DCE85B" w:rsidR="18ACD593">
        <w:rPr>
          <w:rFonts w:ascii="Times New Roman" w:hAnsi="Times New Roman" w:eastAsia="Times New Roman" w:cs="Times New Roman"/>
          <w:sz w:val="24"/>
          <w:szCs w:val="24"/>
        </w:rPr>
        <w:t xml:space="preserve"> </w:t>
      </w:r>
      <w:r w:rsidRPr="15DCE85B" w:rsidR="18ACD593">
        <w:rPr>
          <w:rFonts w:ascii="Times New Roman" w:hAnsi="Times New Roman" w:eastAsia="Times New Roman" w:cs="Times New Roman"/>
          <w:sz w:val="24"/>
          <w:szCs w:val="24"/>
        </w:rPr>
        <w:t>Count: 16</w:t>
      </w:r>
      <w:r w:rsidRPr="15DCE85B" w:rsidR="45043CBE">
        <w:rPr>
          <w:rFonts w:ascii="Times New Roman" w:hAnsi="Times New Roman" w:eastAsia="Times New Roman" w:cs="Times New Roman"/>
          <w:sz w:val="24"/>
          <w:szCs w:val="24"/>
        </w:rPr>
        <w:t>1</w:t>
      </w:r>
      <w:r w:rsidRPr="15DCE85B" w:rsidR="18ACD593">
        <w:rPr>
          <w:rFonts w:ascii="Times New Roman" w:hAnsi="Times New Roman" w:eastAsia="Times New Roman" w:cs="Times New Roman"/>
          <w:sz w:val="24"/>
          <w:szCs w:val="24"/>
        </w:rPr>
        <w:t>5</w:t>
      </w:r>
      <w:r w:rsidRPr="15DCE85B" w:rsidR="4C907CA6">
        <w:rPr>
          <w:rFonts w:ascii="Times New Roman" w:hAnsi="Times New Roman" w:eastAsia="Times New Roman" w:cs="Times New Roman"/>
          <w:sz w:val="24"/>
          <w:szCs w:val="24"/>
        </w:rPr>
        <w:t>]</w:t>
      </w:r>
    </w:p>
    <w:p w:rsidR="15DCE85B" w:rsidRDefault="15DCE85B" w14:paraId="0C378E11" w14:textId="3DED32A6">
      <w:r>
        <w:br w:type="page"/>
      </w:r>
    </w:p>
    <w:p w:rsidR="15DCE85B" w:rsidP="15DCE85B" w:rsidRDefault="15DCE85B" w14:paraId="4279ED05" w14:textId="46738E40">
      <w:pPr>
        <w:pStyle w:val="Normal"/>
        <w:spacing w:line="480" w:lineRule="auto"/>
        <w:ind w:firstLine="720"/>
        <w:rPr>
          <w:rFonts w:ascii="Times New Roman" w:hAnsi="Times New Roman" w:eastAsia="Times New Roman" w:cs="Times New Roman"/>
          <w:sz w:val="24"/>
          <w:szCs w:val="24"/>
        </w:rPr>
      </w:pPr>
    </w:p>
    <w:p w:rsidR="000D23C6" w:rsidP="07A8FB2A" w:rsidRDefault="009C4033" w14:paraId="00000028" w14:textId="3832C4D5">
      <w:pPr>
        <w:pStyle w:val="Normal"/>
        <w:spacing w:line="480" w:lineRule="auto"/>
        <w:ind w:firstLine="720"/>
        <w:rPr>
          <w:rFonts w:ascii="Times New Roman" w:hAnsi="Times New Roman" w:eastAsia="Times New Roman" w:cs="Times New Roman"/>
          <w:sz w:val="24"/>
          <w:szCs w:val="24"/>
        </w:rPr>
      </w:pPr>
    </w:p>
    <w:p w:rsidR="000D23C6" w:rsidRDefault="009C4033" w14:paraId="00000029" w14:textId="717D57A1">
      <w:pPr>
        <w:spacing w:line="480" w:lineRule="auto"/>
        <w:jc w:val="center"/>
        <w:rPr>
          <w:rFonts w:ascii="Times New Roman" w:hAnsi="Times New Roman" w:eastAsia="Times New Roman" w:cs="Times New Roman"/>
          <w:sz w:val="24"/>
          <w:szCs w:val="24"/>
        </w:rPr>
      </w:pPr>
      <w:r>
        <w:br/>
      </w:r>
      <w:r w:rsidRPr="15DCE85B" w:rsidR="009C4033">
        <w:rPr>
          <w:rFonts w:ascii="Times New Roman" w:hAnsi="Times New Roman" w:eastAsia="Times New Roman" w:cs="Times New Roman"/>
          <w:sz w:val="24"/>
          <w:szCs w:val="24"/>
        </w:rPr>
        <w:t>Bibliography</w:t>
      </w:r>
    </w:p>
    <w:p w:rsidR="000D23C6" w:rsidRDefault="000D23C6" w14:paraId="0000002A" w14:textId="77777777">
      <w:pPr>
        <w:spacing w:line="480" w:lineRule="auto"/>
        <w:rPr>
          <w:rFonts w:ascii="Times New Roman" w:hAnsi="Times New Roman" w:eastAsia="Times New Roman" w:cs="Times New Roman"/>
          <w:sz w:val="24"/>
          <w:szCs w:val="24"/>
        </w:rPr>
      </w:pPr>
    </w:p>
    <w:p w:rsidR="000D23C6" w:rsidP="31555CEC" w:rsidRDefault="009C4033" w14:paraId="0000002B" w14:textId="77777777">
      <w:pPr>
        <w:spacing w:line="480" w:lineRule="auto"/>
        <w:ind w:left="720" w:hanging="720"/>
        <w:rPr>
          <w:rFonts w:ascii="Times New Roman" w:hAnsi="Times New Roman" w:eastAsia="Times New Roman" w:cs="Times New Roman"/>
          <w:sz w:val="24"/>
          <w:szCs w:val="24"/>
          <w:lang w:val="en-US"/>
        </w:rPr>
      </w:pPr>
      <w:r w:rsidRPr="15DCE85B" w:rsidR="009C4033">
        <w:rPr>
          <w:rFonts w:ascii="Times New Roman" w:hAnsi="Times New Roman" w:eastAsia="Times New Roman" w:cs="Times New Roman"/>
          <w:sz w:val="24"/>
          <w:szCs w:val="24"/>
        </w:rPr>
        <w:t>Barton, J., ‘Canons of the Old Testament</w:t>
      </w:r>
      <w:r w:rsidRPr="15DCE85B" w:rsidR="009C4033">
        <w:rPr>
          <w:rFonts w:ascii="Times New Roman" w:hAnsi="Times New Roman" w:eastAsia="Times New Roman" w:cs="Times New Roman"/>
          <w:sz w:val="24"/>
          <w:szCs w:val="24"/>
        </w:rPr>
        <w:t>’,</w:t>
      </w:r>
      <w:r w:rsidRPr="15DCE85B" w:rsidR="009C4033">
        <w:rPr>
          <w:rFonts w:ascii="Times New Roman" w:hAnsi="Times New Roman" w:eastAsia="Times New Roman" w:cs="Times New Roman"/>
          <w:sz w:val="24"/>
          <w:szCs w:val="24"/>
        </w:rPr>
        <w:t xml:space="preserve"> in </w:t>
      </w:r>
      <w:r w:rsidRPr="15DCE85B" w:rsidR="009C4033">
        <w:rPr>
          <w:rFonts w:ascii="Times New Roman" w:hAnsi="Times New Roman" w:eastAsia="Times New Roman" w:cs="Times New Roman"/>
          <w:i w:val="1"/>
          <w:iCs w:val="1"/>
          <w:sz w:val="24"/>
          <w:szCs w:val="24"/>
        </w:rPr>
        <w:t>Text in Context: Essays by Members of the Society for Old Testament Study</w:t>
      </w:r>
      <w:r w:rsidRPr="15DCE85B" w:rsidR="009C4033">
        <w:rPr>
          <w:rFonts w:ascii="Times New Roman" w:hAnsi="Times New Roman" w:eastAsia="Times New Roman" w:cs="Times New Roman"/>
          <w:sz w:val="24"/>
          <w:szCs w:val="24"/>
        </w:rPr>
        <w:t>, ed. by A. D. H. Mayes (Oxford: Oxford Academic, 2000)</w:t>
      </w:r>
    </w:p>
    <w:p w:rsidR="000D23C6" w:rsidRDefault="000D23C6" w14:paraId="0000002C" w14:textId="77777777">
      <w:pPr>
        <w:spacing w:line="480" w:lineRule="auto"/>
        <w:rPr>
          <w:rFonts w:ascii="Times New Roman" w:hAnsi="Times New Roman" w:eastAsia="Times New Roman" w:cs="Times New Roman"/>
          <w:sz w:val="24"/>
          <w:szCs w:val="24"/>
        </w:rPr>
      </w:pPr>
    </w:p>
    <w:p w:rsidR="000D23C6" w:rsidP="31555CEC" w:rsidRDefault="009C4033" w14:paraId="0000002D" w14:textId="4DBD0D60">
      <w:pPr>
        <w:spacing w:line="480" w:lineRule="auto"/>
        <w:ind w:left="720" w:hanging="720"/>
        <w:rPr>
          <w:rFonts w:ascii="Times New Roman" w:hAnsi="Times New Roman" w:eastAsia="Times New Roman" w:cs="Times New Roman"/>
          <w:sz w:val="24"/>
          <w:szCs w:val="24"/>
          <w:lang w:val="en-US"/>
        </w:rPr>
      </w:pPr>
      <w:r w:rsidRPr="15DCE85B" w:rsidR="009C4033">
        <w:rPr>
          <w:rFonts w:ascii="Times New Roman" w:hAnsi="Times New Roman" w:eastAsia="Times New Roman" w:cs="Times New Roman"/>
          <w:sz w:val="24"/>
          <w:szCs w:val="24"/>
        </w:rPr>
        <w:t>Batovici</w:t>
      </w:r>
      <w:r w:rsidRPr="15DCE85B" w:rsidR="009C4033">
        <w:rPr>
          <w:rFonts w:ascii="Times New Roman" w:hAnsi="Times New Roman" w:eastAsia="Times New Roman" w:cs="Times New Roman"/>
          <w:sz w:val="24"/>
          <w:szCs w:val="24"/>
        </w:rPr>
        <w:t xml:space="preserve">, Dan, and Kristin de Troyer, </w:t>
      </w:r>
      <w:r w:rsidRPr="15DCE85B" w:rsidR="009C4033">
        <w:rPr>
          <w:rFonts w:ascii="Times New Roman" w:hAnsi="Times New Roman" w:eastAsia="Times New Roman" w:cs="Times New Roman"/>
          <w:i w:val="1"/>
          <w:iCs w:val="1"/>
          <w:sz w:val="24"/>
          <w:szCs w:val="24"/>
        </w:rPr>
        <w:t>Authoritative Texts and Reception History: Aspects and Approaches</w:t>
      </w:r>
      <w:r w:rsidRPr="15DCE85B" w:rsidR="009C4033">
        <w:rPr>
          <w:rFonts w:ascii="Times New Roman" w:hAnsi="Times New Roman" w:eastAsia="Times New Roman" w:cs="Times New Roman"/>
          <w:sz w:val="24"/>
          <w:szCs w:val="24"/>
        </w:rPr>
        <w:t xml:space="preserve">, 1st </w:t>
      </w:r>
      <w:r w:rsidRPr="15DCE85B" w:rsidR="009C4033">
        <w:rPr>
          <w:rFonts w:ascii="Times New Roman" w:hAnsi="Times New Roman" w:eastAsia="Times New Roman" w:cs="Times New Roman"/>
          <w:sz w:val="24"/>
          <w:szCs w:val="24"/>
        </w:rPr>
        <w:t>edn</w:t>
      </w:r>
      <w:r w:rsidRPr="15DCE85B" w:rsidR="6800791B">
        <w:rPr>
          <w:rFonts w:ascii="Times New Roman" w:hAnsi="Times New Roman" w:eastAsia="Times New Roman" w:cs="Times New Roman"/>
          <w:sz w:val="24"/>
          <w:szCs w:val="24"/>
        </w:rPr>
        <w:t>.</w:t>
      </w:r>
      <w:r w:rsidRPr="15DCE85B" w:rsidR="009C4033">
        <w:rPr>
          <w:rFonts w:ascii="Times New Roman" w:hAnsi="Times New Roman" w:eastAsia="Times New Roman" w:cs="Times New Roman"/>
          <w:sz w:val="24"/>
          <w:szCs w:val="24"/>
        </w:rPr>
        <w:t xml:space="preserve"> (Boston: Brill, 2017)</w:t>
      </w:r>
    </w:p>
    <w:p w:rsidR="000D23C6" w:rsidRDefault="000D23C6" w14:paraId="0000002E" w14:textId="77777777">
      <w:pPr>
        <w:spacing w:line="480" w:lineRule="auto"/>
        <w:rPr>
          <w:rFonts w:ascii="Times New Roman" w:hAnsi="Times New Roman" w:eastAsia="Times New Roman" w:cs="Times New Roman"/>
          <w:sz w:val="24"/>
          <w:szCs w:val="24"/>
        </w:rPr>
      </w:pPr>
    </w:p>
    <w:p w:rsidR="000D23C6" w:rsidP="31555CEC" w:rsidRDefault="009C4033" w14:paraId="0000002F" w14:textId="77777777">
      <w:pPr>
        <w:spacing w:line="480" w:lineRule="auto"/>
        <w:ind w:left="720" w:hanging="720"/>
        <w:rPr>
          <w:rFonts w:ascii="Times New Roman" w:hAnsi="Times New Roman" w:eastAsia="Times New Roman" w:cs="Times New Roman"/>
          <w:sz w:val="24"/>
          <w:szCs w:val="24"/>
          <w:lang w:val="en-US"/>
        </w:rPr>
      </w:pPr>
      <w:r w:rsidRPr="15DCE85B" w:rsidR="009C4033">
        <w:rPr>
          <w:rFonts w:ascii="Times New Roman" w:hAnsi="Times New Roman" w:eastAsia="Times New Roman" w:cs="Times New Roman"/>
          <w:sz w:val="24"/>
          <w:szCs w:val="24"/>
        </w:rPr>
        <w:t>Dundenberg</w:t>
      </w:r>
      <w:r w:rsidRPr="15DCE85B" w:rsidR="009C4033">
        <w:rPr>
          <w:rFonts w:ascii="Times New Roman" w:hAnsi="Times New Roman" w:eastAsia="Times New Roman" w:cs="Times New Roman"/>
          <w:sz w:val="24"/>
          <w:szCs w:val="24"/>
        </w:rPr>
        <w:t>, Ismo, ‘Gnostic Interpretations of Genesis</w:t>
      </w:r>
      <w:r w:rsidRPr="15DCE85B" w:rsidR="009C4033">
        <w:rPr>
          <w:rFonts w:ascii="Times New Roman" w:hAnsi="Times New Roman" w:eastAsia="Times New Roman" w:cs="Times New Roman"/>
          <w:sz w:val="24"/>
          <w:szCs w:val="24"/>
        </w:rPr>
        <w:t>’,</w:t>
      </w:r>
      <w:r w:rsidRPr="15DCE85B" w:rsidR="009C4033">
        <w:rPr>
          <w:rFonts w:ascii="Times New Roman" w:hAnsi="Times New Roman" w:eastAsia="Times New Roman" w:cs="Times New Roman"/>
          <w:sz w:val="24"/>
          <w:szCs w:val="24"/>
        </w:rPr>
        <w:t xml:space="preserve"> in </w:t>
      </w:r>
      <w:r w:rsidRPr="15DCE85B" w:rsidR="009C4033">
        <w:rPr>
          <w:rFonts w:ascii="Times New Roman" w:hAnsi="Times New Roman" w:eastAsia="Times New Roman" w:cs="Times New Roman"/>
          <w:i w:val="1"/>
          <w:iCs w:val="1"/>
          <w:sz w:val="24"/>
          <w:szCs w:val="24"/>
        </w:rPr>
        <w:t>The Oxford Handbook of the Reception History of the Bible</w:t>
      </w:r>
      <w:r w:rsidRPr="15DCE85B" w:rsidR="009C4033">
        <w:rPr>
          <w:rFonts w:ascii="Times New Roman" w:hAnsi="Times New Roman" w:eastAsia="Times New Roman" w:cs="Times New Roman"/>
          <w:sz w:val="24"/>
          <w:szCs w:val="24"/>
        </w:rPr>
        <w:t>, ed. by Micheal Lieb, Emma Mason, and Jonathan Roberts (Oxford: Oxford University Press, 2011), pp. 383-396</w:t>
      </w:r>
    </w:p>
    <w:p w:rsidR="000D23C6" w:rsidRDefault="000D23C6" w14:paraId="00000030" w14:textId="77777777">
      <w:pPr>
        <w:spacing w:line="480" w:lineRule="auto"/>
        <w:rPr>
          <w:rFonts w:ascii="Times New Roman" w:hAnsi="Times New Roman" w:eastAsia="Times New Roman" w:cs="Times New Roman"/>
          <w:sz w:val="24"/>
          <w:szCs w:val="24"/>
        </w:rPr>
      </w:pPr>
    </w:p>
    <w:p w:rsidR="000D23C6" w:rsidP="31555CEC" w:rsidRDefault="009C4033" w14:paraId="00000031" w14:textId="77777777">
      <w:pPr>
        <w:spacing w:line="480" w:lineRule="auto"/>
        <w:ind w:left="720" w:hanging="720"/>
        <w:rPr>
          <w:rFonts w:ascii="Times New Roman" w:hAnsi="Times New Roman" w:eastAsia="Times New Roman" w:cs="Times New Roman"/>
          <w:sz w:val="24"/>
          <w:szCs w:val="24"/>
          <w:lang w:val="en-US"/>
        </w:rPr>
      </w:pPr>
      <w:r w:rsidRPr="15DCE85B" w:rsidR="009C4033">
        <w:rPr>
          <w:rFonts w:ascii="Times New Roman" w:hAnsi="Times New Roman" w:eastAsia="Times New Roman" w:cs="Times New Roman"/>
          <w:sz w:val="24"/>
          <w:szCs w:val="24"/>
        </w:rPr>
        <w:t xml:space="preserve">Lieb, Michael and others, </w:t>
      </w:r>
      <w:r w:rsidRPr="15DCE85B" w:rsidR="009C4033">
        <w:rPr>
          <w:rFonts w:ascii="Times New Roman" w:hAnsi="Times New Roman" w:eastAsia="Times New Roman" w:cs="Times New Roman"/>
          <w:i w:val="1"/>
          <w:iCs w:val="1"/>
          <w:sz w:val="24"/>
          <w:szCs w:val="24"/>
        </w:rPr>
        <w:t>The Oxford Handbook of the Reception History of the Bible</w:t>
      </w:r>
      <w:r w:rsidRPr="15DCE85B" w:rsidR="009C4033">
        <w:rPr>
          <w:rFonts w:ascii="Times New Roman" w:hAnsi="Times New Roman" w:eastAsia="Times New Roman" w:cs="Times New Roman"/>
          <w:sz w:val="24"/>
          <w:szCs w:val="24"/>
        </w:rPr>
        <w:t xml:space="preserve">, 1st </w:t>
      </w:r>
      <w:r w:rsidRPr="15DCE85B" w:rsidR="009C4033">
        <w:rPr>
          <w:rFonts w:ascii="Times New Roman" w:hAnsi="Times New Roman" w:eastAsia="Times New Roman" w:cs="Times New Roman"/>
          <w:sz w:val="24"/>
          <w:szCs w:val="24"/>
        </w:rPr>
        <w:t>edn</w:t>
      </w:r>
      <w:r w:rsidRPr="15DCE85B" w:rsidR="009C4033">
        <w:rPr>
          <w:rFonts w:ascii="Times New Roman" w:hAnsi="Times New Roman" w:eastAsia="Times New Roman" w:cs="Times New Roman"/>
          <w:sz w:val="24"/>
          <w:szCs w:val="24"/>
        </w:rPr>
        <w:t>. (Oxford: Oxford University Press, 2011)</w:t>
      </w:r>
    </w:p>
    <w:p w:rsidR="000D23C6" w:rsidRDefault="000D23C6" w14:paraId="00000032" w14:textId="77777777">
      <w:pPr>
        <w:spacing w:line="480" w:lineRule="auto"/>
        <w:rPr>
          <w:rFonts w:ascii="Times New Roman" w:hAnsi="Times New Roman" w:eastAsia="Times New Roman" w:cs="Times New Roman"/>
          <w:sz w:val="24"/>
          <w:szCs w:val="24"/>
        </w:rPr>
      </w:pPr>
    </w:p>
    <w:p w:rsidR="000D23C6" w:rsidP="31555CEC" w:rsidRDefault="009C4033" w14:paraId="00000033" w14:textId="77777777">
      <w:pPr>
        <w:spacing w:line="480" w:lineRule="auto"/>
        <w:ind w:left="720" w:hanging="720"/>
        <w:rPr>
          <w:rFonts w:ascii="Times New Roman" w:hAnsi="Times New Roman" w:eastAsia="Times New Roman" w:cs="Times New Roman"/>
          <w:sz w:val="24"/>
          <w:szCs w:val="24"/>
          <w:lang w:val="en-US"/>
        </w:rPr>
      </w:pPr>
      <w:r w:rsidRPr="15DCE85B" w:rsidR="009C4033">
        <w:rPr>
          <w:rFonts w:ascii="Times New Roman" w:hAnsi="Times New Roman" w:eastAsia="Times New Roman" w:cs="Times New Roman"/>
          <w:sz w:val="24"/>
          <w:szCs w:val="24"/>
        </w:rPr>
        <w:t>Markl, Dominik, ‘David in Reception History</w:t>
      </w:r>
      <w:r w:rsidRPr="15DCE85B" w:rsidR="009C4033">
        <w:rPr>
          <w:rFonts w:ascii="Times New Roman" w:hAnsi="Times New Roman" w:eastAsia="Times New Roman" w:cs="Times New Roman"/>
          <w:sz w:val="24"/>
          <w:szCs w:val="24"/>
        </w:rPr>
        <w:t>’,</w:t>
      </w:r>
      <w:r w:rsidRPr="15DCE85B" w:rsidR="009C4033">
        <w:rPr>
          <w:rFonts w:ascii="Times New Roman" w:hAnsi="Times New Roman" w:eastAsia="Times New Roman" w:cs="Times New Roman"/>
          <w:sz w:val="24"/>
          <w:szCs w:val="24"/>
        </w:rPr>
        <w:t xml:space="preserve"> in </w:t>
      </w:r>
      <w:r w:rsidRPr="15DCE85B" w:rsidR="009C4033">
        <w:rPr>
          <w:rFonts w:ascii="Times New Roman" w:hAnsi="Times New Roman" w:eastAsia="Times New Roman" w:cs="Times New Roman"/>
          <w:i w:val="1"/>
          <w:iCs w:val="1"/>
          <w:sz w:val="24"/>
          <w:szCs w:val="24"/>
        </w:rPr>
        <w:t>The Oxford Handbook of the Historical Books of the Hebrew Bible</w:t>
      </w:r>
      <w:r w:rsidRPr="15DCE85B" w:rsidR="009C4033">
        <w:rPr>
          <w:rFonts w:ascii="Times New Roman" w:hAnsi="Times New Roman" w:eastAsia="Times New Roman" w:cs="Times New Roman"/>
          <w:sz w:val="24"/>
          <w:szCs w:val="24"/>
        </w:rPr>
        <w:t xml:space="preserve">, ed. by Brad E. Kelle and Brent A. Strawn, 1st </w:t>
      </w:r>
      <w:r w:rsidRPr="15DCE85B" w:rsidR="009C4033">
        <w:rPr>
          <w:rFonts w:ascii="Times New Roman" w:hAnsi="Times New Roman" w:eastAsia="Times New Roman" w:cs="Times New Roman"/>
          <w:sz w:val="24"/>
          <w:szCs w:val="24"/>
        </w:rPr>
        <w:t>edn</w:t>
      </w:r>
      <w:r w:rsidRPr="15DCE85B" w:rsidR="009C4033">
        <w:rPr>
          <w:rFonts w:ascii="Times New Roman" w:hAnsi="Times New Roman" w:eastAsia="Times New Roman" w:cs="Times New Roman"/>
          <w:sz w:val="24"/>
          <w:szCs w:val="24"/>
        </w:rPr>
        <w:t>. (Oxford: Oxford University Press, 2020), pp. 496-510</w:t>
      </w:r>
    </w:p>
    <w:p w:rsidR="000D23C6" w:rsidRDefault="000D23C6" w14:paraId="00000034" w14:textId="77777777">
      <w:pPr>
        <w:spacing w:line="480" w:lineRule="auto"/>
        <w:rPr>
          <w:rFonts w:ascii="Times New Roman" w:hAnsi="Times New Roman" w:eastAsia="Times New Roman" w:cs="Times New Roman"/>
          <w:sz w:val="24"/>
          <w:szCs w:val="24"/>
        </w:rPr>
      </w:pPr>
    </w:p>
    <w:p w:rsidR="000D23C6" w:rsidP="31555CEC" w:rsidRDefault="009C4033" w14:paraId="00000035" w14:textId="6C9E19B5">
      <w:pPr>
        <w:spacing w:line="480" w:lineRule="auto"/>
        <w:ind w:left="720" w:hanging="720"/>
        <w:rPr>
          <w:rFonts w:ascii="Times New Roman" w:hAnsi="Times New Roman" w:eastAsia="Times New Roman" w:cs="Times New Roman"/>
          <w:sz w:val="24"/>
          <w:szCs w:val="24"/>
          <w:lang w:val="en-US"/>
        </w:rPr>
      </w:pPr>
      <w:r w:rsidRPr="15DCE85B" w:rsidR="009C4033">
        <w:rPr>
          <w:rFonts w:ascii="Times New Roman" w:hAnsi="Times New Roman" w:eastAsia="Times New Roman" w:cs="Times New Roman"/>
          <w:sz w:val="24"/>
          <w:szCs w:val="24"/>
        </w:rPr>
        <w:t>Piñero</w:t>
      </w:r>
      <w:r w:rsidRPr="15DCE85B" w:rsidR="009C4033">
        <w:rPr>
          <w:rFonts w:ascii="Times New Roman" w:hAnsi="Times New Roman" w:eastAsia="Times New Roman" w:cs="Times New Roman"/>
          <w:sz w:val="24"/>
          <w:szCs w:val="24"/>
        </w:rPr>
        <w:t xml:space="preserve">, Antonio and </w:t>
      </w:r>
      <w:r w:rsidRPr="15DCE85B" w:rsidR="009C4033">
        <w:rPr>
          <w:rFonts w:ascii="Times New Roman" w:hAnsi="Times New Roman" w:eastAsia="Times New Roman" w:cs="Times New Roman"/>
          <w:sz w:val="24"/>
          <w:szCs w:val="24"/>
        </w:rPr>
        <w:t>Peláez</w:t>
      </w:r>
      <w:r w:rsidRPr="15DCE85B" w:rsidR="009C4033">
        <w:rPr>
          <w:rFonts w:ascii="Times New Roman" w:hAnsi="Times New Roman" w:eastAsia="Times New Roman" w:cs="Times New Roman"/>
          <w:sz w:val="24"/>
          <w:szCs w:val="24"/>
        </w:rPr>
        <w:t xml:space="preserve">, </w:t>
      </w:r>
      <w:r w:rsidRPr="15DCE85B" w:rsidR="009C4033">
        <w:rPr>
          <w:rFonts w:ascii="Times New Roman" w:hAnsi="Times New Roman" w:eastAsia="Times New Roman" w:cs="Times New Roman"/>
          <w:sz w:val="24"/>
          <w:szCs w:val="24"/>
        </w:rPr>
        <w:t>Jesús</w:t>
      </w:r>
      <w:r w:rsidRPr="15DCE85B" w:rsidR="009C4033">
        <w:rPr>
          <w:rFonts w:ascii="Times New Roman" w:hAnsi="Times New Roman" w:eastAsia="Times New Roman" w:cs="Times New Roman"/>
          <w:sz w:val="24"/>
          <w:szCs w:val="24"/>
        </w:rPr>
        <w:t xml:space="preserve">, </w:t>
      </w:r>
      <w:r w:rsidRPr="15DCE85B" w:rsidR="009C4033">
        <w:rPr>
          <w:rFonts w:ascii="Times New Roman" w:hAnsi="Times New Roman" w:eastAsia="Times New Roman" w:cs="Times New Roman"/>
          <w:i w:val="1"/>
          <w:iCs w:val="1"/>
          <w:sz w:val="24"/>
          <w:szCs w:val="24"/>
        </w:rPr>
        <w:t xml:space="preserve">The Study of the New </w:t>
      </w:r>
      <w:r w:rsidRPr="15DCE85B" w:rsidR="558F46CD">
        <w:rPr>
          <w:rFonts w:ascii="Times New Roman" w:hAnsi="Times New Roman" w:eastAsia="Times New Roman" w:cs="Times New Roman"/>
          <w:i w:val="1"/>
          <w:iCs w:val="1"/>
          <w:sz w:val="24"/>
          <w:szCs w:val="24"/>
        </w:rPr>
        <w:t>Testament:</w:t>
      </w:r>
      <w:r w:rsidRPr="15DCE85B" w:rsidR="009C4033">
        <w:rPr>
          <w:rFonts w:ascii="Times New Roman" w:hAnsi="Times New Roman" w:eastAsia="Times New Roman" w:cs="Times New Roman"/>
          <w:i w:val="1"/>
          <w:iCs w:val="1"/>
          <w:sz w:val="24"/>
          <w:szCs w:val="24"/>
        </w:rPr>
        <w:t xml:space="preserve"> A Comprehensive Introduction</w:t>
      </w:r>
      <w:r w:rsidRPr="15DCE85B" w:rsidR="009C4033">
        <w:rPr>
          <w:rFonts w:ascii="Times New Roman" w:hAnsi="Times New Roman" w:eastAsia="Times New Roman" w:cs="Times New Roman"/>
          <w:sz w:val="24"/>
          <w:szCs w:val="24"/>
        </w:rPr>
        <w:t xml:space="preserve">, 1st </w:t>
      </w:r>
      <w:r w:rsidRPr="15DCE85B" w:rsidR="009C4033">
        <w:rPr>
          <w:rFonts w:ascii="Times New Roman" w:hAnsi="Times New Roman" w:eastAsia="Times New Roman" w:cs="Times New Roman"/>
          <w:sz w:val="24"/>
          <w:szCs w:val="24"/>
        </w:rPr>
        <w:t>edn</w:t>
      </w:r>
      <w:r w:rsidRPr="15DCE85B" w:rsidR="009C4033">
        <w:rPr>
          <w:rFonts w:ascii="Times New Roman" w:hAnsi="Times New Roman" w:eastAsia="Times New Roman" w:cs="Times New Roman"/>
          <w:sz w:val="24"/>
          <w:szCs w:val="24"/>
        </w:rPr>
        <w:t>. (Leiderdorp: Deo Publishing, 2003)</w:t>
      </w:r>
    </w:p>
    <w:p w:rsidR="000D23C6" w:rsidRDefault="000D23C6" w14:paraId="00000036" w14:textId="77777777">
      <w:pPr>
        <w:spacing w:line="480" w:lineRule="auto"/>
        <w:rPr>
          <w:rFonts w:ascii="Times New Roman" w:hAnsi="Times New Roman" w:eastAsia="Times New Roman" w:cs="Times New Roman"/>
          <w:sz w:val="24"/>
          <w:szCs w:val="24"/>
          <w:highlight w:val="white"/>
        </w:rPr>
      </w:pPr>
    </w:p>
    <w:p w:rsidR="000D23C6" w:rsidP="31555CEC" w:rsidRDefault="009C4033" w14:paraId="00000037" w14:textId="77777777">
      <w:pPr>
        <w:spacing w:line="480" w:lineRule="auto"/>
        <w:ind w:left="720" w:hanging="720"/>
        <w:rPr>
          <w:rFonts w:ascii="Times New Roman" w:hAnsi="Times New Roman" w:eastAsia="Times New Roman" w:cs="Times New Roman"/>
          <w:sz w:val="24"/>
          <w:szCs w:val="24"/>
          <w:highlight w:val="white"/>
          <w:lang w:val="en-US"/>
        </w:rPr>
      </w:pPr>
      <w:r w:rsidRPr="15DCE85B" w:rsidR="009C4033">
        <w:rPr>
          <w:rFonts w:ascii="Times New Roman" w:hAnsi="Times New Roman" w:eastAsia="Times New Roman" w:cs="Times New Roman"/>
          <w:sz w:val="24"/>
          <w:szCs w:val="24"/>
          <w:highlight w:val="white"/>
        </w:rPr>
        <w:t>Roberts, Jonathan, ‘Introduction</w:t>
      </w:r>
      <w:r w:rsidRPr="15DCE85B" w:rsidR="009C4033">
        <w:rPr>
          <w:rFonts w:ascii="Times New Roman" w:hAnsi="Times New Roman" w:eastAsia="Times New Roman" w:cs="Times New Roman"/>
          <w:sz w:val="24"/>
          <w:szCs w:val="24"/>
          <w:highlight w:val="white"/>
        </w:rPr>
        <w:t>’,</w:t>
      </w:r>
      <w:r w:rsidRPr="15DCE85B" w:rsidR="009C4033">
        <w:rPr>
          <w:rFonts w:ascii="Times New Roman" w:hAnsi="Times New Roman" w:eastAsia="Times New Roman" w:cs="Times New Roman"/>
          <w:sz w:val="24"/>
          <w:szCs w:val="24"/>
          <w:highlight w:val="white"/>
        </w:rPr>
        <w:t xml:space="preserve"> in </w:t>
      </w:r>
      <w:r w:rsidRPr="15DCE85B" w:rsidR="009C4033">
        <w:rPr>
          <w:rFonts w:ascii="Times New Roman" w:hAnsi="Times New Roman" w:eastAsia="Times New Roman" w:cs="Times New Roman"/>
          <w:i w:val="1"/>
          <w:iCs w:val="1"/>
          <w:sz w:val="24"/>
          <w:szCs w:val="24"/>
        </w:rPr>
        <w:t>The Oxford Handbook of the Reception History of the Bible</w:t>
      </w:r>
      <w:r w:rsidRPr="15DCE85B" w:rsidR="009C4033">
        <w:rPr>
          <w:rFonts w:ascii="Times New Roman" w:hAnsi="Times New Roman" w:eastAsia="Times New Roman" w:cs="Times New Roman"/>
          <w:sz w:val="24"/>
          <w:szCs w:val="24"/>
        </w:rPr>
        <w:t xml:space="preserve">, ed. by Micheal Lieb, Emma Mason, and Jonathan Roberts, 1st </w:t>
      </w:r>
      <w:r w:rsidRPr="15DCE85B" w:rsidR="009C4033">
        <w:rPr>
          <w:rFonts w:ascii="Times New Roman" w:hAnsi="Times New Roman" w:eastAsia="Times New Roman" w:cs="Times New Roman"/>
          <w:sz w:val="24"/>
          <w:szCs w:val="24"/>
        </w:rPr>
        <w:t>edn</w:t>
      </w:r>
      <w:r w:rsidRPr="15DCE85B" w:rsidR="009C4033">
        <w:rPr>
          <w:rFonts w:ascii="Times New Roman" w:hAnsi="Times New Roman" w:eastAsia="Times New Roman" w:cs="Times New Roman"/>
          <w:sz w:val="24"/>
          <w:szCs w:val="24"/>
        </w:rPr>
        <w:t>. (Oxford: Oxford University Press, 2011), pp. 1-8</w:t>
      </w:r>
    </w:p>
    <w:p w:rsidR="000D23C6" w:rsidRDefault="000D23C6" w14:paraId="00000038" w14:textId="77777777">
      <w:pPr>
        <w:spacing w:line="480" w:lineRule="auto"/>
        <w:rPr>
          <w:rFonts w:ascii="Times New Roman" w:hAnsi="Times New Roman" w:eastAsia="Times New Roman" w:cs="Times New Roman"/>
          <w:sz w:val="24"/>
          <w:szCs w:val="24"/>
          <w:highlight w:val="white"/>
        </w:rPr>
      </w:pPr>
    </w:p>
    <w:p w:rsidR="000D23C6" w:rsidP="31555CEC" w:rsidRDefault="009C4033" w14:paraId="00000039" w14:textId="77777777">
      <w:pPr>
        <w:spacing w:line="480" w:lineRule="auto"/>
        <w:rPr>
          <w:rFonts w:ascii="Times New Roman" w:hAnsi="Times New Roman" w:eastAsia="Times New Roman" w:cs="Times New Roman"/>
          <w:sz w:val="24"/>
          <w:szCs w:val="24"/>
          <w:highlight w:val="white"/>
          <w:lang w:val="en-US"/>
        </w:rPr>
      </w:pPr>
      <w:r w:rsidRPr="15DCE85B" w:rsidR="009C4033">
        <w:rPr>
          <w:rFonts w:ascii="Times New Roman" w:hAnsi="Times New Roman" w:eastAsia="Times New Roman" w:cs="Times New Roman"/>
          <w:sz w:val="24"/>
          <w:szCs w:val="24"/>
        </w:rPr>
        <w:t>Ruzer</w:t>
      </w:r>
      <w:r w:rsidRPr="15DCE85B" w:rsidR="009C4033">
        <w:rPr>
          <w:rFonts w:ascii="Times New Roman" w:hAnsi="Times New Roman" w:eastAsia="Times New Roman" w:cs="Times New Roman"/>
          <w:sz w:val="24"/>
          <w:szCs w:val="24"/>
        </w:rPr>
        <w:t xml:space="preserve">, Serge, </w:t>
      </w:r>
      <w:r w:rsidRPr="15DCE85B" w:rsidR="009C4033">
        <w:rPr>
          <w:rFonts w:ascii="Times New Roman" w:hAnsi="Times New Roman" w:eastAsia="Times New Roman" w:cs="Times New Roman"/>
          <w:i w:val="1"/>
          <w:iCs w:val="1"/>
          <w:sz w:val="24"/>
          <w:szCs w:val="24"/>
        </w:rPr>
        <w:t>Early Jewish Messianism in the New Testament</w:t>
      </w:r>
      <w:r w:rsidRPr="15DCE85B" w:rsidR="009C4033">
        <w:rPr>
          <w:rFonts w:ascii="Times New Roman" w:hAnsi="Times New Roman" w:eastAsia="Times New Roman" w:cs="Times New Roman"/>
          <w:sz w:val="24"/>
          <w:szCs w:val="24"/>
        </w:rPr>
        <w:t xml:space="preserve"> (Leiden: Brill, 2020)</w:t>
      </w:r>
    </w:p>
    <w:p w:rsidR="000D23C6" w:rsidRDefault="000D23C6" w14:paraId="0000003A" w14:textId="77777777">
      <w:pPr>
        <w:spacing w:line="480" w:lineRule="auto"/>
        <w:rPr>
          <w:rFonts w:ascii="Times New Roman" w:hAnsi="Times New Roman" w:eastAsia="Times New Roman" w:cs="Times New Roman"/>
          <w:sz w:val="24"/>
          <w:szCs w:val="24"/>
          <w:highlight w:val="white"/>
        </w:rPr>
      </w:pPr>
    </w:p>
    <w:p w:rsidR="000D23C6" w:rsidP="31555CEC" w:rsidRDefault="009C4033" w14:paraId="0000003B" w14:textId="77777777">
      <w:pPr>
        <w:spacing w:line="480" w:lineRule="auto"/>
        <w:ind w:left="720" w:hanging="720"/>
        <w:rPr>
          <w:rFonts w:ascii="Times New Roman" w:hAnsi="Times New Roman" w:eastAsia="Times New Roman" w:cs="Times New Roman"/>
          <w:sz w:val="24"/>
          <w:szCs w:val="24"/>
          <w:highlight w:val="white"/>
          <w:lang w:val="en-US"/>
        </w:rPr>
      </w:pPr>
      <w:r w:rsidRPr="15DCE85B" w:rsidR="009C4033">
        <w:rPr>
          <w:rFonts w:ascii="Times New Roman" w:hAnsi="Times New Roman" w:eastAsia="Times New Roman" w:cs="Times New Roman"/>
          <w:sz w:val="24"/>
          <w:szCs w:val="24"/>
          <w:highlight w:val="white"/>
        </w:rPr>
        <w:t>Wright, David E., ‘Do Words Have Inherent Meaning?</w:t>
      </w:r>
      <w:r w:rsidRPr="15DCE85B" w:rsidR="009C4033">
        <w:rPr>
          <w:rFonts w:ascii="Times New Roman" w:hAnsi="Times New Roman" w:eastAsia="Times New Roman" w:cs="Times New Roman"/>
          <w:sz w:val="24"/>
          <w:szCs w:val="24"/>
          <w:highlight w:val="white"/>
        </w:rPr>
        <w:t>’,</w:t>
      </w:r>
      <w:r w:rsidRPr="15DCE85B" w:rsidR="009C4033">
        <w:rPr>
          <w:rFonts w:ascii="Times New Roman" w:hAnsi="Times New Roman" w:eastAsia="Times New Roman" w:cs="Times New Roman"/>
          <w:sz w:val="24"/>
          <w:szCs w:val="24"/>
          <w:highlight w:val="white"/>
        </w:rPr>
        <w:t xml:space="preserve"> </w:t>
      </w:r>
      <w:r w:rsidRPr="15DCE85B" w:rsidR="009C4033">
        <w:rPr>
          <w:rFonts w:ascii="Times New Roman" w:hAnsi="Times New Roman" w:eastAsia="Times New Roman" w:cs="Times New Roman"/>
          <w:i w:val="1"/>
          <w:iCs w:val="1"/>
          <w:sz w:val="24"/>
          <w:szCs w:val="24"/>
          <w:highlight w:val="white"/>
        </w:rPr>
        <w:t>et Cetera</w:t>
      </w:r>
      <w:r w:rsidRPr="15DCE85B" w:rsidR="009C4033">
        <w:rPr>
          <w:rFonts w:ascii="Times New Roman" w:hAnsi="Times New Roman" w:eastAsia="Times New Roman" w:cs="Times New Roman"/>
          <w:sz w:val="24"/>
          <w:szCs w:val="24"/>
          <w:highlight w:val="white"/>
        </w:rPr>
        <w:t xml:space="preserve">, 65.2 (2008), 177-190 &lt;URL: </w:t>
      </w:r>
      <w:hyperlink r:id="Rb03cf39f2dd24ee6">
        <w:r w:rsidRPr="15DCE85B" w:rsidR="009C4033">
          <w:rPr>
            <w:rFonts w:ascii="Times New Roman" w:hAnsi="Times New Roman" w:eastAsia="Times New Roman" w:cs="Times New Roman"/>
            <w:color w:val="1155CC"/>
            <w:sz w:val="24"/>
            <w:szCs w:val="24"/>
            <w:highlight w:val="white"/>
            <w:u w:val="single"/>
          </w:rPr>
          <w:t>https://www-proquest-com.ezproxy.uwtsd.ac.uk/scholarly-journals/do-words-have-inherent-meaning/docview/204106691/se-2?accountid=130472</w:t>
        </w:r>
      </w:hyperlink>
      <w:r w:rsidRPr="15DCE85B" w:rsidR="009C4033">
        <w:rPr>
          <w:rFonts w:ascii="Times New Roman" w:hAnsi="Times New Roman" w:eastAsia="Times New Roman" w:cs="Times New Roman"/>
          <w:sz w:val="24"/>
          <w:szCs w:val="24"/>
          <w:highlight w:val="white"/>
        </w:rPr>
        <w:t>&gt;</w:t>
      </w:r>
    </w:p>
    <w:p w:rsidR="000D23C6" w:rsidRDefault="000D23C6" w14:paraId="0000003C" w14:textId="77777777">
      <w:pPr>
        <w:spacing w:line="480" w:lineRule="auto"/>
        <w:rPr>
          <w:rFonts w:ascii="Times New Roman" w:hAnsi="Times New Roman" w:eastAsia="Times New Roman" w:cs="Times New Roman"/>
          <w:color w:val="2A2A2A"/>
          <w:sz w:val="24"/>
          <w:szCs w:val="24"/>
          <w:highlight w:val="white"/>
        </w:rPr>
      </w:pPr>
    </w:p>
    <w:p w:rsidR="000D23C6" w:rsidRDefault="000D23C6" w14:paraId="0000003D" w14:textId="77777777">
      <w:pPr>
        <w:spacing w:line="480" w:lineRule="auto"/>
        <w:rPr>
          <w:color w:val="3A3A3A"/>
          <w:sz w:val="23"/>
          <w:szCs w:val="23"/>
          <w:highlight w:val="white"/>
        </w:rPr>
      </w:pPr>
    </w:p>
    <w:sectPr w:rsidR="000D23C6">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C4033" w:rsidRDefault="009C4033" w14:paraId="3F1C60D2" w14:textId="77777777">
      <w:pPr>
        <w:spacing w:line="240" w:lineRule="auto"/>
      </w:pPr>
      <w:r>
        <w:separator/>
      </w:r>
    </w:p>
  </w:endnote>
  <w:endnote w:type="continuationSeparator" w:id="0">
    <w:p w:rsidR="009C4033" w:rsidRDefault="009C4033" w14:paraId="5FE1CA56"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embedRegular w:fontKey="{073614DC-C20F-4573-8D06-218414E465A5}" r:id="rId1"/>
    <w:embedBold w:fontKey="{5C9F7A7C-0348-4B07-A2BB-3D3C1512E7BC}" r:id="rId2"/>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embedRegular w:fontKey="{C27D6C0B-ECB9-4F2E-A7DA-D72FFD7676FD}" r:id="rId3"/>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w:fontKey="{A60370E4-F576-4472-B936-1C84612F82E3}" r:id="rId4"/>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C4033" w:rsidRDefault="009C4033" w14:paraId="796D4DF8" w14:textId="77777777">
      <w:pPr>
        <w:spacing w:line="240" w:lineRule="auto"/>
      </w:pPr>
      <w:r>
        <w:separator/>
      </w:r>
    </w:p>
  </w:footnote>
  <w:footnote w:type="continuationSeparator" w:id="0">
    <w:p w:rsidR="009C4033" w:rsidRDefault="009C4033" w14:paraId="65F832EE" w14:textId="77777777">
      <w:pPr>
        <w:spacing w:line="240" w:lineRule="auto"/>
      </w:pPr>
      <w:r>
        <w:continuationSeparator/>
      </w:r>
    </w:p>
  </w:footnote>
  <w:footnote w:id="1">
    <w:p w:rsidR="000D23C6" w:rsidRDefault="009C4033" w14:paraId="00000044"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 xml:space="preserve">Jonathan Roberts, ‘Introduction’, in </w:t>
      </w:r>
      <w:r>
        <w:rPr>
          <w:rFonts w:ascii="Times New Roman" w:hAnsi="Times New Roman" w:eastAsia="Times New Roman" w:cs="Times New Roman"/>
          <w:i/>
        </w:rPr>
        <w:t>The Oxford Handbook of the Reception History of the Bible</w:t>
      </w:r>
      <w:r>
        <w:rPr>
          <w:rFonts w:ascii="Times New Roman" w:hAnsi="Times New Roman" w:eastAsia="Times New Roman" w:cs="Times New Roman"/>
        </w:rPr>
        <w:t>, ed. by Micheal Lieb, Emma Mason, and Jonathan Roberts, 1st edn. (Oxford: Oxford University Press, 2011), pp. 1-8 (p. 1).</w:t>
      </w:r>
    </w:p>
  </w:footnote>
  <w:footnote w:id="2">
    <w:p w:rsidR="000D23C6" w:rsidRDefault="009C4033" w14:paraId="00000042"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 xml:space="preserve">Dan Batovici and Kristin de Troyer, </w:t>
      </w:r>
      <w:r>
        <w:rPr>
          <w:rFonts w:ascii="Times New Roman" w:hAnsi="Times New Roman" w:eastAsia="Times New Roman" w:cs="Times New Roman"/>
          <w:i/>
        </w:rPr>
        <w:t xml:space="preserve">Authoritative Texts and Reception History: Aspects and Approaches, </w:t>
      </w:r>
      <w:r>
        <w:rPr>
          <w:rFonts w:ascii="Times New Roman" w:hAnsi="Times New Roman" w:eastAsia="Times New Roman" w:cs="Times New Roman"/>
        </w:rPr>
        <w:t>1st edn. (Boston: Brill, 2017) p.1.</w:t>
      </w:r>
    </w:p>
  </w:footnote>
  <w:footnote w:id="3">
    <w:p w:rsidR="000D23C6" w:rsidRDefault="009C4033" w14:paraId="00000045"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 xml:space="preserve">David E. Wright, ‘Do Words Have Inherent Meaning?’, </w:t>
      </w:r>
      <w:r>
        <w:rPr>
          <w:rFonts w:ascii="Times New Roman" w:hAnsi="Times New Roman" w:eastAsia="Times New Roman" w:cs="Times New Roman"/>
          <w:i/>
        </w:rPr>
        <w:t>et Cetera</w:t>
      </w:r>
      <w:r>
        <w:rPr>
          <w:rFonts w:ascii="Times New Roman" w:hAnsi="Times New Roman" w:eastAsia="Times New Roman" w:cs="Times New Roman"/>
        </w:rPr>
        <w:t>, 65.2 (2008), 177-190 (p. 178) &lt;URL: https://www-proquest-com.ezproxy.uwtsd.ac.uk/scholarly-journals/do-words-have-inherent-meaning/docview/204106691/se-2?accountid=130472&gt;.</w:t>
      </w:r>
    </w:p>
  </w:footnote>
  <w:footnote w:id="4">
    <w:p w:rsidR="000D23C6" w:rsidRDefault="009C4033" w14:paraId="00000043"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Wright, ‘Do Words Have Inherent Meaning?’, p. 178.</w:t>
      </w:r>
    </w:p>
  </w:footnote>
  <w:footnote w:id="5">
    <w:p w:rsidR="000D23C6" w:rsidRDefault="009C4033" w14:paraId="0000003E" w14:textId="77777777">
      <w:pPr>
        <w:spacing w:line="240" w:lineRule="auto"/>
        <w:rPr>
          <w:rFonts w:ascii="Times New Roman" w:hAnsi="Times New Roman" w:eastAsia="Times New Roman" w:cs="Times New Roman"/>
          <w:sz w:val="20"/>
          <w:szCs w:val="20"/>
        </w:rPr>
      </w:pPr>
      <w:r>
        <w:rPr>
          <w:vertAlign w:val="superscript"/>
        </w:rPr>
        <w:footnoteRef/>
      </w:r>
      <w:r>
        <w:rPr>
          <w:sz w:val="20"/>
          <w:szCs w:val="20"/>
        </w:rPr>
        <w:t xml:space="preserve"> </w:t>
      </w:r>
      <w:r>
        <w:rPr>
          <w:rFonts w:ascii="Times New Roman" w:hAnsi="Times New Roman" w:eastAsia="Times New Roman" w:cs="Times New Roman"/>
        </w:rPr>
        <w:t xml:space="preserve">Serge Ruzer, </w:t>
      </w:r>
      <w:r>
        <w:rPr>
          <w:rFonts w:ascii="Times New Roman" w:hAnsi="Times New Roman" w:eastAsia="Times New Roman" w:cs="Times New Roman"/>
          <w:i/>
        </w:rPr>
        <w:t>Early Jewish Messianism in the New Testament</w:t>
      </w:r>
      <w:r>
        <w:rPr>
          <w:rFonts w:ascii="Times New Roman" w:hAnsi="Times New Roman" w:eastAsia="Times New Roman" w:cs="Times New Roman"/>
        </w:rPr>
        <w:t>, (Leiden: Brill, 2020), p.157.</w:t>
      </w:r>
    </w:p>
  </w:footnote>
  <w:footnote w:id="6">
    <w:p w:rsidR="000D23C6" w:rsidRDefault="009C4033" w14:paraId="0000003F"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 xml:space="preserve">Ruzer, </w:t>
      </w:r>
      <w:r>
        <w:rPr>
          <w:rFonts w:ascii="Times New Roman" w:hAnsi="Times New Roman" w:eastAsia="Times New Roman" w:cs="Times New Roman"/>
          <w:i/>
        </w:rPr>
        <w:t>Early Jewish Messianism</w:t>
      </w:r>
      <w:r>
        <w:rPr>
          <w:rFonts w:ascii="Times New Roman" w:hAnsi="Times New Roman" w:eastAsia="Times New Roman" w:cs="Times New Roman"/>
        </w:rPr>
        <w:t>, p. 156.</w:t>
      </w:r>
    </w:p>
  </w:footnote>
  <w:footnote w:id="7">
    <w:p w:rsidR="000D23C6" w:rsidRDefault="009C4033" w14:paraId="00000040" w14:textId="77777777">
      <w:pPr>
        <w:spacing w:line="240" w:lineRule="auto"/>
        <w:rPr>
          <w:rFonts w:ascii="Times New Roman" w:hAnsi="Times New Roman" w:eastAsia="Times New Roman" w:cs="Times New Roman"/>
          <w:color w:val="3A3A3A"/>
          <w:sz w:val="23"/>
          <w:szCs w:val="23"/>
          <w:highlight w:val="white"/>
        </w:rPr>
      </w:pPr>
      <w:r>
        <w:rPr>
          <w:vertAlign w:val="superscript"/>
        </w:rPr>
        <w:footnoteRef/>
      </w:r>
      <w:r>
        <w:rPr>
          <w:sz w:val="20"/>
          <w:szCs w:val="20"/>
        </w:rPr>
        <w:t xml:space="preserve"> </w:t>
      </w:r>
      <w:r>
        <w:rPr>
          <w:rFonts w:ascii="Times New Roman" w:hAnsi="Times New Roman" w:eastAsia="Times New Roman" w:cs="Times New Roman"/>
          <w:highlight w:val="white"/>
        </w:rPr>
        <w:t xml:space="preserve">Antonio Piñero and Jesús Peláez, </w:t>
      </w:r>
      <w:r>
        <w:rPr>
          <w:rFonts w:ascii="Times New Roman" w:hAnsi="Times New Roman" w:eastAsia="Times New Roman" w:cs="Times New Roman"/>
          <w:i/>
          <w:highlight w:val="white"/>
        </w:rPr>
        <w:t>The Study of the New Testament : A Comprehensive Introduction</w:t>
      </w:r>
      <w:r>
        <w:rPr>
          <w:rFonts w:ascii="Times New Roman" w:hAnsi="Times New Roman" w:eastAsia="Times New Roman" w:cs="Times New Roman"/>
          <w:highlight w:val="white"/>
        </w:rPr>
        <w:t>, 1st edn. (Leiderdorp: Deo Publishing, 2003), p. 222.</w:t>
      </w:r>
    </w:p>
  </w:footnote>
  <w:footnote w:id="8">
    <w:p w:rsidR="000D23C6" w:rsidRDefault="009C4033" w14:paraId="00000041" w14:textId="77777777">
      <w:pPr>
        <w:spacing w:line="240" w:lineRule="auto"/>
        <w:rPr>
          <w:rFonts w:ascii="Times New Roman" w:hAnsi="Times New Roman" w:eastAsia="Times New Roman" w:cs="Times New Roman"/>
          <w:color w:val="3A3A3A"/>
          <w:highlight w:val="white"/>
        </w:rPr>
      </w:pPr>
      <w:r>
        <w:rPr>
          <w:vertAlign w:val="superscript"/>
        </w:rPr>
        <w:footnoteRef/>
      </w:r>
      <w:r>
        <w:rPr>
          <w:sz w:val="20"/>
          <w:szCs w:val="20"/>
        </w:rPr>
        <w:t xml:space="preserve"> </w:t>
      </w:r>
      <w:r>
        <w:rPr>
          <w:rFonts w:ascii="Times New Roman" w:hAnsi="Times New Roman" w:eastAsia="Times New Roman" w:cs="Times New Roman"/>
          <w:highlight w:val="white"/>
        </w:rPr>
        <w:t xml:space="preserve">Piñero and Peláez, </w:t>
      </w:r>
      <w:r>
        <w:rPr>
          <w:rFonts w:ascii="Times New Roman" w:hAnsi="Times New Roman" w:eastAsia="Times New Roman" w:cs="Times New Roman"/>
          <w:i/>
          <w:highlight w:val="white"/>
        </w:rPr>
        <w:t xml:space="preserve">The Study of the New Testament, </w:t>
      </w:r>
      <w:r>
        <w:rPr>
          <w:rFonts w:ascii="Times New Roman" w:hAnsi="Times New Roman" w:eastAsia="Times New Roman" w:cs="Times New Roman"/>
          <w:highlight w:val="white"/>
        </w:rPr>
        <w:t>p. 222-223.</w:t>
      </w:r>
    </w:p>
  </w:footnote>
  <w:footnote w:id="9">
    <w:p w:rsidR="000D23C6" w:rsidRDefault="009C4033" w14:paraId="00000046"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 xml:space="preserve">Ismo Dundenberg, ‘Gnostic Interpretations of Genesis’, in </w:t>
      </w:r>
      <w:r>
        <w:rPr>
          <w:rFonts w:ascii="Times New Roman" w:hAnsi="Times New Roman" w:eastAsia="Times New Roman" w:cs="Times New Roman"/>
          <w:i/>
        </w:rPr>
        <w:t>The Oxford Handbook of the Reception History of the Bible</w:t>
      </w:r>
      <w:r>
        <w:rPr>
          <w:rFonts w:ascii="Times New Roman" w:hAnsi="Times New Roman" w:eastAsia="Times New Roman" w:cs="Times New Roman"/>
        </w:rPr>
        <w:t>, ed. by Micheal Lieb, Emma Mason, and Jonathan Roberts (Oxford: Oxford University Press, 2011), pp. 383-396 (p. 383).</w:t>
      </w:r>
    </w:p>
  </w:footnote>
  <w:footnote w:id="10">
    <w:p w:rsidR="000D23C6" w:rsidRDefault="009C4033" w14:paraId="00000047"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Dundenberg, p. 384.</w:t>
      </w:r>
    </w:p>
  </w:footnote>
  <w:footnote w:id="11">
    <w:p w:rsidR="000D23C6" w:rsidRDefault="009C4033" w14:paraId="00000048"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Dundenberg, p. 384.</w:t>
      </w:r>
    </w:p>
  </w:footnote>
  <w:footnote w:id="12">
    <w:p w:rsidR="000D23C6" w:rsidRDefault="009C4033" w14:paraId="00000049"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Dundenberg, p. 393.</w:t>
      </w:r>
    </w:p>
  </w:footnote>
</w:footnotes>
</file>

<file path=word/intelligence2.xml><?xml version="1.0" encoding="utf-8"?>
<int2:intelligence xmlns:int2="http://schemas.microsoft.com/office/intelligence/2020/intelligence">
  <int2:observations>
    <int2:textHash int2:hashCode="abz+APKBEBXHuV" int2:id="uch3Aw0T">
      <int2:state int2:type="AugLoop_Text_Critique" int2:value="Rejected"/>
    </int2:textHash>
    <int2:textHash int2:hashCode="P8JK7k2QmD404i" int2:id="nPVBKqys">
      <int2:state int2:type="AugLoop_Text_Critique" int2:value="Rejected"/>
    </int2:textHash>
    <int2:textHash int2:hashCode="8xOig6/9wkfxYZ" int2:id="lpYlDtyo">
      <int2:state int2:type="AugLoop_Text_Critique" int2:value="Rejected"/>
    </int2:textHash>
    <int2:textHash int2:hashCode="VjguQ8i/t1+Rq3" int2:id="N2VFEWWb">
      <int2:state int2:type="AugLoop_Text_Critique" int2:value="Rejected"/>
    </int2:textHash>
    <int2:textHash int2:hashCode="Y7rxyEYEGk+h8X" int2:id="FFxXlaJX">
      <int2:state int2:type="AugLoop_Text_Critique" int2:value="Rejected"/>
    </int2:textHash>
    <int2:textHash int2:hashCode="bpsCbxNITM0ArD" int2:id="qh7d7Ssq">
      <int2:state int2:type="AugLoop_Text_Critique" int2:value="Rejected"/>
    </int2:textHash>
    <int2:textHash int2:hashCode="mbF1kW7LlSqBnv" int2:id="8hvMVjrv">
      <int2:state int2:type="AugLoop_Text_Critique" int2:value="Rejected"/>
    </int2:textHash>
    <int2:textHash int2:hashCode="NDk0XbHON9hizZ" int2:id="dpeAGIwT">
      <int2:state int2:type="AugLoop_Text_Critique" int2:value="Rejected"/>
    </int2:textHash>
    <int2:bookmark int2:bookmarkName="_Int_21NQY7HT" int2:invalidationBookmarkName="" int2:hashCode="SyDlj8g609TV2I" int2:id="OwZgX1yq">
      <int2:state int2:type="AugLoop_Text_Critique" int2:value="Rejected"/>
    </int2:bookmark>
    <int2:bookmark int2:bookmarkName="_Int_XUV0SZ31" int2:invalidationBookmarkName="" int2:hashCode="uuYwZyMkmWT2fX" int2:id="rNBhD8F0">
      <int2:state int2:type="AugLoop_Text_Critique" int2:value="Rejected"/>
    </int2:bookmark>
    <int2:bookmark int2:bookmarkName="_Int_97LXEoZi" int2:invalidationBookmarkName="" int2:hashCode="XCo0TUoIofafy1" int2:id="tJAXc19n">
      <int2:state int2:type="AugLoop_Text_Critique" int2:value="Rejected"/>
    </int2:bookmark>
    <int2:bookmark int2:bookmarkName="_Int_I5HXeFue" int2:invalidationBookmarkName="" int2:hashCode="zaetK1g9mYbtDh" int2:id="IuSb4QXQ">
      <int2:state int2:type="AugLoop_Text_Critique" int2:value="Rejected"/>
    </int2:bookmark>
    <int2:bookmark int2:bookmarkName="_Int_gPDxMnin" int2:invalidationBookmarkName="" int2:hashCode="WP78EBUf2PXvfI" int2:id="oUwEj7Y7">
      <int2:state int2:type="AugLoop_Text_Critique" int2:value="Rejected"/>
    </int2:bookmark>
    <int2:bookmark int2:bookmarkName="_Int_8pOxzfRb" int2:invalidationBookmarkName="" int2:hashCode="WU3xRyMpfAaA8D" int2:id="K5HN1BtQ">
      <int2:state int2:type="AugLoop_Text_Critique" int2:value="Rejected"/>
    </int2:bookmark>
    <int2:bookmark int2:bookmarkName="_Int_OjxsB0jg" int2:invalidationBookmarkName="" int2:hashCode="jCmKMEh2RM9O54" int2:id="a7DCMBV5">
      <int2:state int2:type="AugLoop_Text_Critique" int2:value="Rejected"/>
    </int2:bookmark>
    <int2:bookmark int2:bookmarkName="_Int_mA8XnXFB" int2:invalidationBookmarkName="" int2:hashCode="aR8rL7QjeARCJp" int2:id="TqbHGwOo">
      <int2:state int2:type="AugLoop_Text_Critique" int2:value="Rejected"/>
    </int2:bookmark>
    <int2:bookmark int2:bookmarkName="_Int_SoFCaeeD" int2:invalidationBookmarkName="" int2:hashCode="bIcFV/0DrrDvvp" int2:id="g8Bgd2x2">
      <int2:state int2:type="AugLoop_Text_Critique" int2:value="Rejected"/>
    </int2:bookmark>
    <int2:bookmark int2:bookmarkName="_Int_xSypyuTe" int2:invalidationBookmarkName="" int2:hashCode="ZvedimMnyCyQM+" int2:id="tbrJWQgn">
      <int2:state int2:type="AugLoop_Text_Critique" int2:value="Rejected"/>
    </int2:bookmark>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embedTrueTypeFont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23C6"/>
    <w:rsid w:val="000D23C6"/>
    <w:rsid w:val="0018448E"/>
    <w:rsid w:val="009C4033"/>
    <w:rsid w:val="07A8FB2A"/>
    <w:rsid w:val="09706946"/>
    <w:rsid w:val="0E6D998F"/>
    <w:rsid w:val="122FDD79"/>
    <w:rsid w:val="15DCE85B"/>
    <w:rsid w:val="18ACD593"/>
    <w:rsid w:val="1AF73976"/>
    <w:rsid w:val="20D45BBF"/>
    <w:rsid w:val="282F4E46"/>
    <w:rsid w:val="2A837064"/>
    <w:rsid w:val="2A837064"/>
    <w:rsid w:val="31555CEC"/>
    <w:rsid w:val="32733C1D"/>
    <w:rsid w:val="36A0CE0E"/>
    <w:rsid w:val="38AC949E"/>
    <w:rsid w:val="395C4037"/>
    <w:rsid w:val="3A86E033"/>
    <w:rsid w:val="3CA51160"/>
    <w:rsid w:val="3D1B5A89"/>
    <w:rsid w:val="3D63E7AE"/>
    <w:rsid w:val="41D150D2"/>
    <w:rsid w:val="43C031B4"/>
    <w:rsid w:val="45043CBE"/>
    <w:rsid w:val="452F7636"/>
    <w:rsid w:val="4C907CA6"/>
    <w:rsid w:val="4F9722AB"/>
    <w:rsid w:val="54F84DEB"/>
    <w:rsid w:val="5525203C"/>
    <w:rsid w:val="558F46CD"/>
    <w:rsid w:val="57D46F94"/>
    <w:rsid w:val="60C6E7B8"/>
    <w:rsid w:val="65FC7088"/>
    <w:rsid w:val="6800791B"/>
    <w:rsid w:val="6B0955D5"/>
    <w:rsid w:val="7E12AA1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88143D8"/>
  <w15:docId w15:val="{C644B9FB-A157-474C-A38A-16A8000227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Arial" w:hAnsi="Arial" w:eastAsia="Arial" w:cs="Arial"/>
        <w:sz w:val="22"/>
        <w:szCs w:val="22"/>
        <w:lang w:val="en"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15DCE85B"/>
    <w:rPr>
      <w:noProof w:val="0"/>
      <w:lang w:val="en-GB"/>
    </w:rPr>
  </w:style>
  <w:style w:type="paragraph" w:styleId="Heading1">
    <w:uiPriority w:val="9"/>
    <w:name w:val="heading 1"/>
    <w:basedOn w:val="Normal"/>
    <w:next w:val="Normal"/>
    <w:qFormat/>
    <w:rsid w:val="15DCE85B"/>
    <w:rPr>
      <w:sz w:val="40"/>
      <w:szCs w:val="40"/>
    </w:rPr>
    <w:pPr>
      <w:keepNext w:val="1"/>
      <w:keepLines w:val="1"/>
      <w:spacing w:before="400" w:after="120"/>
      <w:outlineLvl w:val="0"/>
    </w:pPr>
  </w:style>
  <w:style w:type="paragraph" w:styleId="Heading2">
    <w:uiPriority w:val="9"/>
    <w:name w:val="heading 2"/>
    <w:basedOn w:val="Normal"/>
    <w:next w:val="Normal"/>
    <w:semiHidden/>
    <w:unhideWhenUsed/>
    <w:qFormat/>
    <w:rsid w:val="15DCE85B"/>
    <w:rPr>
      <w:sz w:val="32"/>
      <w:szCs w:val="32"/>
    </w:rPr>
    <w:pPr>
      <w:keepNext w:val="1"/>
      <w:keepLines w:val="1"/>
      <w:spacing w:before="360" w:after="120"/>
      <w:outlineLvl w:val="1"/>
    </w:pPr>
  </w:style>
  <w:style w:type="paragraph" w:styleId="Heading3">
    <w:uiPriority w:val="9"/>
    <w:name w:val="heading 3"/>
    <w:basedOn w:val="Normal"/>
    <w:next w:val="Normal"/>
    <w:semiHidden/>
    <w:unhideWhenUsed/>
    <w:qFormat/>
    <w:rsid w:val="15DCE85B"/>
    <w:rPr>
      <w:color w:val="434343"/>
      <w:sz w:val="28"/>
      <w:szCs w:val="28"/>
    </w:rPr>
    <w:pPr>
      <w:keepNext w:val="1"/>
      <w:keepLines w:val="1"/>
      <w:spacing w:before="320" w:after="80"/>
      <w:outlineLvl w:val="2"/>
    </w:pPr>
  </w:style>
  <w:style w:type="paragraph" w:styleId="Heading4">
    <w:uiPriority w:val="9"/>
    <w:name w:val="heading 4"/>
    <w:basedOn w:val="Normal"/>
    <w:next w:val="Normal"/>
    <w:semiHidden/>
    <w:unhideWhenUsed/>
    <w:qFormat/>
    <w:rsid w:val="15DCE85B"/>
    <w:rPr>
      <w:color w:val="666666"/>
      <w:sz w:val="24"/>
      <w:szCs w:val="24"/>
    </w:rPr>
    <w:pPr>
      <w:keepNext w:val="1"/>
      <w:keepLines w:val="1"/>
      <w:spacing w:before="280" w:after="80"/>
      <w:outlineLvl w:val="3"/>
    </w:pPr>
  </w:style>
  <w:style w:type="paragraph" w:styleId="Heading5">
    <w:uiPriority w:val="9"/>
    <w:name w:val="heading 5"/>
    <w:basedOn w:val="Normal"/>
    <w:next w:val="Normal"/>
    <w:semiHidden/>
    <w:unhideWhenUsed/>
    <w:qFormat/>
    <w:rsid w:val="15DCE85B"/>
    <w:rPr>
      <w:color w:val="666666"/>
    </w:rPr>
    <w:pPr>
      <w:keepNext w:val="1"/>
      <w:keepLines w:val="1"/>
      <w:spacing w:before="240" w:after="80"/>
      <w:outlineLvl w:val="4"/>
    </w:pPr>
  </w:style>
  <w:style w:type="paragraph" w:styleId="Heading6">
    <w:uiPriority w:val="9"/>
    <w:name w:val="heading 6"/>
    <w:basedOn w:val="Normal"/>
    <w:next w:val="Normal"/>
    <w:semiHidden/>
    <w:unhideWhenUsed/>
    <w:qFormat/>
    <w:rsid w:val="15DCE85B"/>
    <w:rPr>
      <w:i w:val="1"/>
      <w:iCs w:val="1"/>
      <w:color w:val="666666"/>
    </w:rPr>
    <w:pPr>
      <w:keepNext w:val="1"/>
      <w:keepLines w:val="1"/>
      <w:spacing w:before="240" w:after="80"/>
      <w:outlineLvl w:val="5"/>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15DCE85B"/>
    <w:rPr>
      <w:sz w:val="52"/>
      <w:szCs w:val="52"/>
    </w:rPr>
    <w:pPr>
      <w:keepNext w:val="1"/>
      <w:keepLines w:val="1"/>
      <w:spacing w:after="60"/>
    </w:pPr>
  </w:style>
  <w:style w:type="paragraph" w:styleId="Subtitle">
    <w:uiPriority w:val="11"/>
    <w:name w:val="Subtitle"/>
    <w:basedOn w:val="Normal"/>
    <w:next w:val="Normal"/>
    <w:qFormat/>
    <w:rsid w:val="15DCE85B"/>
    <w:rPr>
      <w:color w:val="666666"/>
      <w:sz w:val="30"/>
      <w:szCs w:val="30"/>
    </w:rPr>
    <w:pPr>
      <w:keepNext w:val="1"/>
      <w:keepLines w:val="1"/>
      <w:spacing w:after="320"/>
    </w:pPr>
  </w:style>
  <w:style w:type="paragraph" w:styleId="Heading7">
    <w:uiPriority w:val="9"/>
    <w:name w:val="heading 7"/>
    <w:basedOn w:val="Normal"/>
    <w:next w:val="Normal"/>
    <w:unhideWhenUsed/>
    <w:link w:val="Heading7Char"/>
    <w:qFormat/>
    <w:rsid w:val="15DCE85B"/>
    <w:rPr>
      <w:rFonts w:ascii="Calibri" w:hAnsi="Calibri" w:eastAsia="ＭＳ ゴシック" w:cs="Times New Roman" w:asciiTheme="majorAscii" w:hAnsiTheme="majorAscii" w:eastAsiaTheme="majorEastAsia" w:cstheme="majorBidi"/>
      <w:i w:val="1"/>
      <w:iCs w:val="1"/>
      <w:color w:val="243F60"/>
    </w:rPr>
    <w:pPr>
      <w:keepNext w:val="1"/>
      <w:keepLines w:val="1"/>
      <w:spacing w:before="40" w:after="0"/>
      <w:outlineLvl w:val="6"/>
    </w:pPr>
  </w:style>
  <w:style w:type="paragraph" w:styleId="Heading8">
    <w:uiPriority w:val="9"/>
    <w:name w:val="heading 8"/>
    <w:basedOn w:val="Normal"/>
    <w:next w:val="Normal"/>
    <w:unhideWhenUsed/>
    <w:link w:val="Heading8Char"/>
    <w:qFormat/>
    <w:rsid w:val="15DCE85B"/>
    <w:rPr>
      <w:rFonts w:ascii="Calibri" w:hAnsi="Calibri" w:eastAsia="ＭＳ ゴシック" w:cs="Times New Roman"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15DCE85B"/>
    <w:rPr>
      <w:rFonts w:ascii="Calibri" w:hAnsi="Calibri" w:eastAsia="ＭＳ ゴシック" w:cs="Times New Roman"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Quote">
    <w:uiPriority w:val="29"/>
    <w:name w:val="Quote"/>
    <w:basedOn w:val="Normal"/>
    <w:next w:val="Normal"/>
    <w:link w:val="QuoteChar"/>
    <w:qFormat/>
    <w:rsid w:val="15DCE85B"/>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15DCE85B"/>
    <w:rPr>
      <w:i w:val="1"/>
      <w:iCs w:val="1"/>
      <w:color w:val="4F81BD" w:themeColor="accent1" w:themeTint="FF" w:themeShade="FF"/>
    </w:rPr>
    <w:pPr>
      <w:spacing w:before="360" w:after="360"/>
      <w:ind w:left="864" w:right="864"/>
      <w:jc w:val="center"/>
    </w:pPr>
  </w:style>
  <w:style w:type="paragraph" w:styleId="ListParagraph">
    <w:uiPriority w:val="34"/>
    <w:name w:val="List Paragraph"/>
    <w:basedOn w:val="Normal"/>
    <w:qFormat/>
    <w:rsid w:val="15DCE85B"/>
    <w:pPr>
      <w:spacing/>
      <w:ind w:left="720"/>
      <w:contextualSpacing/>
    </w:pPr>
  </w:style>
  <w:style w:type="paragraph" w:styleId="TOC1">
    <w:uiPriority w:val="39"/>
    <w:name w:val="toc 1"/>
    <w:basedOn w:val="Normal"/>
    <w:next w:val="Normal"/>
    <w:unhideWhenUsed/>
    <w:rsid w:val="15DCE85B"/>
    <w:pPr>
      <w:spacing w:after="100"/>
    </w:pPr>
  </w:style>
  <w:style w:type="paragraph" w:styleId="TOC2">
    <w:uiPriority w:val="39"/>
    <w:name w:val="toc 2"/>
    <w:basedOn w:val="Normal"/>
    <w:next w:val="Normal"/>
    <w:unhideWhenUsed/>
    <w:rsid w:val="15DCE85B"/>
    <w:pPr>
      <w:spacing w:after="100"/>
      <w:ind w:left="220"/>
    </w:pPr>
  </w:style>
  <w:style w:type="paragraph" w:styleId="TOC3">
    <w:uiPriority w:val="39"/>
    <w:name w:val="toc 3"/>
    <w:basedOn w:val="Normal"/>
    <w:next w:val="Normal"/>
    <w:unhideWhenUsed/>
    <w:rsid w:val="15DCE85B"/>
    <w:pPr>
      <w:spacing w:after="100"/>
      <w:ind w:left="440"/>
    </w:pPr>
  </w:style>
  <w:style w:type="paragraph" w:styleId="TOC4">
    <w:uiPriority w:val="39"/>
    <w:name w:val="toc 4"/>
    <w:basedOn w:val="Normal"/>
    <w:next w:val="Normal"/>
    <w:unhideWhenUsed/>
    <w:rsid w:val="15DCE85B"/>
    <w:pPr>
      <w:spacing w:after="100"/>
      <w:ind w:left="660"/>
    </w:pPr>
  </w:style>
  <w:style w:type="paragraph" w:styleId="TOC5">
    <w:uiPriority w:val="39"/>
    <w:name w:val="toc 5"/>
    <w:basedOn w:val="Normal"/>
    <w:next w:val="Normal"/>
    <w:unhideWhenUsed/>
    <w:rsid w:val="15DCE85B"/>
    <w:pPr>
      <w:spacing w:after="100"/>
      <w:ind w:left="880"/>
    </w:pPr>
  </w:style>
  <w:style w:type="paragraph" w:styleId="TOC6">
    <w:uiPriority w:val="39"/>
    <w:name w:val="toc 6"/>
    <w:basedOn w:val="Normal"/>
    <w:next w:val="Normal"/>
    <w:unhideWhenUsed/>
    <w:rsid w:val="15DCE85B"/>
    <w:pPr>
      <w:spacing w:after="100"/>
      <w:ind w:left="1100"/>
    </w:pPr>
  </w:style>
  <w:style w:type="paragraph" w:styleId="TOC7">
    <w:uiPriority w:val="39"/>
    <w:name w:val="toc 7"/>
    <w:basedOn w:val="Normal"/>
    <w:next w:val="Normal"/>
    <w:unhideWhenUsed/>
    <w:rsid w:val="15DCE85B"/>
    <w:pPr>
      <w:spacing w:after="100"/>
      <w:ind w:left="1320"/>
    </w:pPr>
  </w:style>
  <w:style w:type="paragraph" w:styleId="TOC8">
    <w:uiPriority w:val="39"/>
    <w:name w:val="toc 8"/>
    <w:basedOn w:val="Normal"/>
    <w:next w:val="Normal"/>
    <w:unhideWhenUsed/>
    <w:rsid w:val="15DCE85B"/>
    <w:pPr>
      <w:spacing w:after="100"/>
      <w:ind w:left="1540"/>
    </w:pPr>
  </w:style>
  <w:style w:type="paragraph" w:styleId="TOC9">
    <w:uiPriority w:val="39"/>
    <w:name w:val="toc 9"/>
    <w:basedOn w:val="Normal"/>
    <w:next w:val="Normal"/>
    <w:unhideWhenUsed/>
    <w:rsid w:val="15DCE85B"/>
    <w:pPr>
      <w:spacing w:after="100"/>
      <w:ind w:left="1760"/>
    </w:pPr>
  </w:style>
  <w:style w:type="paragraph" w:styleId="EndnoteText">
    <w:uiPriority w:val="99"/>
    <w:name w:val="endnote text"/>
    <w:basedOn w:val="Normal"/>
    <w:semiHidden/>
    <w:unhideWhenUsed/>
    <w:link w:val="EndnoteTextChar"/>
    <w:rsid w:val="15DCE85B"/>
    <w:rPr>
      <w:sz w:val="20"/>
      <w:szCs w:val="20"/>
    </w:rPr>
    <w:pPr>
      <w:spacing w:after="0" w:line="240" w:lineRule="auto"/>
    </w:pPr>
  </w:style>
  <w:style w:type="paragraph" w:styleId="Footer">
    <w:uiPriority w:val="99"/>
    <w:name w:val="footer"/>
    <w:basedOn w:val="Normal"/>
    <w:unhideWhenUsed/>
    <w:link w:val="FooterChar"/>
    <w:rsid w:val="15DCE85B"/>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15DCE85B"/>
    <w:rPr>
      <w:sz w:val="20"/>
      <w:szCs w:val="20"/>
    </w:rPr>
    <w:pPr>
      <w:spacing w:after="0" w:line="240" w:lineRule="auto"/>
    </w:pPr>
  </w:style>
  <w:style w:type="paragraph" w:styleId="Header">
    <w:uiPriority w:val="99"/>
    <w:name w:val="header"/>
    <w:basedOn w:val="Normal"/>
    <w:unhideWhenUsed/>
    <w:link w:val="HeaderChar"/>
    <w:rsid w:val="15DCE85B"/>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hyperlink" Target="https://www-proquest-com.ezproxy.uwtsd.ac.uk/scholarly-journals/do-words-have-inherent-meaning/docview/204106691/se-2?accountid=130472" TargetMode="External" Id="Rb03cf39f2dd24ee6" /><Relationship Type="http://schemas.microsoft.com/office/2020/10/relationships/intelligence" Target="intelligence2.xml" Id="R52448d02b4574b7d"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Brandon Taschuk (2322606)</lastModifiedBy>
  <revision>5</revision>
  <dcterms:created xsi:type="dcterms:W3CDTF">2024-06-22T20:50:00.0000000Z</dcterms:created>
  <dcterms:modified xsi:type="dcterms:W3CDTF">2024-06-22T21:32:27.9588105Z</dcterms:modified>
</coreProperties>
</file>