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546B8" w14:textId="77777777" w:rsidR="007A15BC" w:rsidRPr="00C32BD2" w:rsidRDefault="007A15BC">
      <w:pPr>
        <w:spacing w:line="360" w:lineRule="auto"/>
        <w:jc w:val="center"/>
        <w:rPr>
          <w:b/>
          <w:bCs/>
          <w:noProof/>
          <w:sz w:val="32"/>
          <w:szCs w:val="32"/>
        </w:rPr>
      </w:pPr>
    </w:p>
    <w:p w14:paraId="13F6AE8E" w14:textId="77777777" w:rsidR="007A15BC" w:rsidRPr="00C32BD2" w:rsidRDefault="007A15BC">
      <w:pPr>
        <w:spacing w:line="360" w:lineRule="auto"/>
        <w:jc w:val="center"/>
        <w:rPr>
          <w:b/>
          <w:bCs/>
          <w:noProof/>
          <w:sz w:val="32"/>
          <w:szCs w:val="32"/>
        </w:rPr>
      </w:pPr>
    </w:p>
    <w:p w14:paraId="7993296B" w14:textId="77777777" w:rsidR="007A15BC" w:rsidRPr="00C32BD2" w:rsidRDefault="007A15BC">
      <w:pPr>
        <w:spacing w:line="360" w:lineRule="auto"/>
        <w:jc w:val="center"/>
        <w:rPr>
          <w:b/>
          <w:bCs/>
          <w:noProof/>
          <w:sz w:val="32"/>
          <w:szCs w:val="32"/>
        </w:rPr>
      </w:pPr>
    </w:p>
    <w:p w14:paraId="1DA8DD2E" w14:textId="77777777" w:rsidR="007A15BC" w:rsidRPr="00C32BD2" w:rsidRDefault="007A15BC">
      <w:pPr>
        <w:spacing w:line="360" w:lineRule="auto"/>
        <w:jc w:val="center"/>
        <w:rPr>
          <w:b/>
          <w:bCs/>
          <w:noProof/>
          <w:sz w:val="32"/>
          <w:szCs w:val="32"/>
        </w:rPr>
      </w:pPr>
    </w:p>
    <w:p w14:paraId="7239EDC6" w14:textId="77777777" w:rsidR="007A15BC" w:rsidRPr="00C32BD2" w:rsidRDefault="007A15BC">
      <w:pPr>
        <w:spacing w:line="360" w:lineRule="auto"/>
        <w:jc w:val="center"/>
        <w:rPr>
          <w:b/>
          <w:bCs/>
          <w:noProof/>
          <w:sz w:val="32"/>
          <w:szCs w:val="32"/>
        </w:rPr>
      </w:pPr>
    </w:p>
    <w:p w14:paraId="3363AA62" w14:textId="77777777" w:rsidR="007A15BC" w:rsidRPr="00C32BD2" w:rsidRDefault="007A15BC">
      <w:pPr>
        <w:spacing w:line="360" w:lineRule="auto"/>
        <w:jc w:val="center"/>
        <w:rPr>
          <w:b/>
          <w:bCs/>
          <w:noProof/>
          <w:sz w:val="32"/>
          <w:szCs w:val="32"/>
        </w:rPr>
      </w:pPr>
    </w:p>
    <w:p w14:paraId="118C4959" w14:textId="77777777" w:rsidR="007A15BC" w:rsidRPr="00C32BD2" w:rsidRDefault="007A15BC">
      <w:pPr>
        <w:spacing w:line="360" w:lineRule="auto"/>
        <w:jc w:val="center"/>
        <w:rPr>
          <w:b/>
          <w:bCs/>
          <w:noProof/>
          <w:sz w:val="32"/>
          <w:szCs w:val="32"/>
        </w:rPr>
      </w:pPr>
    </w:p>
    <w:p w14:paraId="4DE68358" w14:textId="77777777" w:rsidR="007A15BC" w:rsidRPr="00C32BD2" w:rsidRDefault="00260D4B">
      <w:pPr>
        <w:spacing w:line="360" w:lineRule="auto"/>
        <w:jc w:val="center"/>
        <w:rPr>
          <w:b/>
          <w:bCs/>
          <w:noProof/>
          <w:sz w:val="32"/>
          <w:szCs w:val="32"/>
        </w:rPr>
      </w:pPr>
      <w:r w:rsidRPr="00C32BD2">
        <w:rPr>
          <w:b/>
          <w:bCs/>
          <w:noProof/>
          <w:sz w:val="32"/>
          <w:szCs w:val="32"/>
        </w:rPr>
        <w:t>Module Title: Problem Solving and Innovation</w:t>
      </w:r>
    </w:p>
    <w:p w14:paraId="1F49A0A9" w14:textId="77777777" w:rsidR="007A15BC" w:rsidRPr="00C32BD2" w:rsidRDefault="00260D4B">
      <w:pPr>
        <w:spacing w:line="360" w:lineRule="auto"/>
        <w:jc w:val="center"/>
        <w:rPr>
          <w:b/>
          <w:bCs/>
          <w:noProof/>
          <w:sz w:val="32"/>
          <w:szCs w:val="32"/>
        </w:rPr>
      </w:pPr>
      <w:r w:rsidRPr="00C32BD2">
        <w:rPr>
          <w:b/>
          <w:bCs/>
          <w:noProof/>
          <w:sz w:val="32"/>
          <w:szCs w:val="32"/>
        </w:rPr>
        <w:t>Module Code: BMSW4014</w:t>
      </w:r>
    </w:p>
    <w:p w14:paraId="66A53721" w14:textId="77777777" w:rsidR="00246A63" w:rsidRDefault="00246A63">
      <w:pPr>
        <w:spacing w:line="360" w:lineRule="auto"/>
        <w:jc w:val="center"/>
        <w:rPr>
          <w:b/>
          <w:bCs/>
          <w:noProof/>
          <w:sz w:val="32"/>
          <w:szCs w:val="32"/>
        </w:rPr>
      </w:pPr>
    </w:p>
    <w:p w14:paraId="6B40CE9E" w14:textId="77777777" w:rsidR="007A15BC" w:rsidRPr="00246A63" w:rsidRDefault="00260D4B">
      <w:pPr>
        <w:spacing w:line="360" w:lineRule="auto"/>
        <w:jc w:val="center"/>
        <w:rPr>
          <w:b/>
          <w:bCs/>
          <w:noProof/>
          <w:sz w:val="28"/>
          <w:szCs w:val="32"/>
        </w:rPr>
      </w:pPr>
      <w:r w:rsidRPr="00246A63">
        <w:rPr>
          <w:b/>
          <w:bCs/>
          <w:noProof/>
          <w:sz w:val="28"/>
          <w:szCs w:val="32"/>
        </w:rPr>
        <w:t>Title: Understanding the Business Environment of the UK EV Industry</w:t>
      </w:r>
    </w:p>
    <w:p w14:paraId="3043773D" w14:textId="77777777" w:rsidR="007A15BC" w:rsidRPr="00246A63" w:rsidRDefault="007A15BC">
      <w:pPr>
        <w:spacing w:line="360" w:lineRule="auto"/>
        <w:jc w:val="center"/>
        <w:rPr>
          <w:b/>
          <w:bCs/>
          <w:noProof/>
          <w:sz w:val="28"/>
          <w:szCs w:val="32"/>
        </w:rPr>
      </w:pPr>
    </w:p>
    <w:p w14:paraId="2742321C" w14:textId="77777777" w:rsidR="007A15BC" w:rsidRPr="00246A63" w:rsidRDefault="007A15BC">
      <w:pPr>
        <w:spacing w:line="360" w:lineRule="auto"/>
        <w:jc w:val="center"/>
        <w:rPr>
          <w:b/>
          <w:bCs/>
          <w:noProof/>
          <w:sz w:val="24"/>
          <w:szCs w:val="32"/>
        </w:rPr>
      </w:pPr>
    </w:p>
    <w:p w14:paraId="31891292" w14:textId="7DEA79BA" w:rsidR="007A15BC" w:rsidRPr="00246A63" w:rsidRDefault="00260D4B">
      <w:pPr>
        <w:spacing w:line="360" w:lineRule="auto"/>
        <w:jc w:val="center"/>
        <w:rPr>
          <w:b/>
          <w:bCs/>
          <w:noProof/>
          <w:sz w:val="24"/>
          <w:szCs w:val="32"/>
        </w:rPr>
      </w:pPr>
      <w:r w:rsidRPr="00246A63">
        <w:rPr>
          <w:b/>
          <w:bCs/>
          <w:noProof/>
          <w:sz w:val="24"/>
          <w:szCs w:val="32"/>
        </w:rPr>
        <w:t>Student Name:</w:t>
      </w:r>
      <w:r w:rsidR="006C4C9E">
        <w:rPr>
          <w:b/>
          <w:bCs/>
          <w:noProof/>
          <w:sz w:val="24"/>
          <w:szCs w:val="32"/>
        </w:rPr>
        <w:t xml:space="preserve"> Daniela Lazarean</w:t>
      </w:r>
    </w:p>
    <w:p w14:paraId="44BD9DE7" w14:textId="77777777" w:rsidR="006C4C9E" w:rsidRDefault="00260D4B">
      <w:pPr>
        <w:spacing w:line="360" w:lineRule="auto"/>
        <w:jc w:val="center"/>
        <w:rPr>
          <w:b/>
          <w:bCs/>
          <w:noProof/>
          <w:sz w:val="24"/>
          <w:szCs w:val="32"/>
        </w:rPr>
      </w:pPr>
      <w:r w:rsidRPr="00246A63">
        <w:rPr>
          <w:b/>
          <w:bCs/>
          <w:noProof/>
          <w:sz w:val="24"/>
          <w:szCs w:val="32"/>
        </w:rPr>
        <w:t>Student ID:</w:t>
      </w:r>
      <w:r w:rsidR="006C4C9E">
        <w:rPr>
          <w:b/>
          <w:bCs/>
          <w:noProof/>
          <w:sz w:val="24"/>
          <w:szCs w:val="32"/>
        </w:rPr>
        <w:t xml:space="preserve"> 2433179</w:t>
      </w:r>
    </w:p>
    <w:p w14:paraId="1FCFE4AB" w14:textId="77777777" w:rsidR="006C4C9E" w:rsidRDefault="006C4C9E">
      <w:pPr>
        <w:spacing w:line="360" w:lineRule="auto"/>
        <w:jc w:val="center"/>
        <w:rPr>
          <w:b/>
          <w:bCs/>
          <w:noProof/>
          <w:sz w:val="24"/>
          <w:szCs w:val="32"/>
        </w:rPr>
      </w:pPr>
    </w:p>
    <w:p w14:paraId="3C570E94" w14:textId="77777777" w:rsidR="006C4C9E" w:rsidRDefault="006C4C9E">
      <w:pPr>
        <w:spacing w:line="360" w:lineRule="auto"/>
        <w:jc w:val="center"/>
        <w:rPr>
          <w:b/>
          <w:bCs/>
          <w:noProof/>
          <w:sz w:val="24"/>
          <w:szCs w:val="32"/>
        </w:rPr>
      </w:pPr>
    </w:p>
    <w:p w14:paraId="5F9D9656" w14:textId="77777777" w:rsidR="006C4C9E" w:rsidRDefault="006C4C9E">
      <w:pPr>
        <w:spacing w:line="360" w:lineRule="auto"/>
        <w:jc w:val="center"/>
        <w:rPr>
          <w:b/>
          <w:bCs/>
          <w:noProof/>
          <w:sz w:val="24"/>
          <w:szCs w:val="32"/>
        </w:rPr>
      </w:pPr>
    </w:p>
    <w:p w14:paraId="729A3FEE" w14:textId="7A385EE6" w:rsidR="007A15BC" w:rsidRPr="00C32BD2" w:rsidRDefault="00260D4B">
      <w:pPr>
        <w:spacing w:line="360" w:lineRule="auto"/>
        <w:jc w:val="center"/>
        <w:rPr>
          <w:b/>
          <w:bCs/>
          <w:noProof/>
          <w:sz w:val="24"/>
          <w:szCs w:val="24"/>
        </w:rPr>
      </w:pPr>
      <w:r w:rsidRPr="00C32BD2">
        <w:rPr>
          <w:noProof/>
        </w:rPr>
        <w:br w:type="page"/>
      </w:r>
    </w:p>
    <w:bookmarkStart w:id="0" w:name="_a2tbwgmyqgmt" w:colFirst="0" w:colLast="0" w:displacedByCustomXml="next"/>
    <w:bookmarkEnd w:id="0" w:displacedByCustomXml="next"/>
    <w:sdt>
      <w:sdtPr>
        <w:rPr>
          <w:rFonts w:ascii="Arial" w:eastAsia="Arial" w:hAnsi="Arial" w:cs="Arial"/>
          <w:noProof/>
          <w:color w:val="auto"/>
          <w:sz w:val="22"/>
          <w:szCs w:val="22"/>
          <w:lang w:val="en-GB" w:eastAsia="en-GB"/>
        </w:rPr>
        <w:id w:val="-648676003"/>
        <w:docPartObj>
          <w:docPartGallery w:val="Table of Contents"/>
          <w:docPartUnique/>
        </w:docPartObj>
      </w:sdtPr>
      <w:sdtEndPr>
        <w:rPr>
          <w:b/>
          <w:bCs/>
        </w:rPr>
      </w:sdtEndPr>
      <w:sdtContent>
        <w:p w14:paraId="229385F3" w14:textId="77777777" w:rsidR="0013142B" w:rsidRPr="00C32BD2" w:rsidRDefault="0013142B" w:rsidP="0013142B">
          <w:pPr>
            <w:pStyle w:val="TOCHeading"/>
            <w:spacing w:line="360" w:lineRule="auto"/>
            <w:jc w:val="center"/>
            <w:rPr>
              <w:rFonts w:ascii="Arial" w:hAnsi="Arial" w:cs="Arial"/>
              <w:b/>
              <w:noProof/>
              <w:color w:val="000000" w:themeColor="text1"/>
              <w:sz w:val="24"/>
              <w:szCs w:val="24"/>
              <w:lang w:val="en-GB"/>
            </w:rPr>
          </w:pPr>
          <w:r w:rsidRPr="00C32BD2">
            <w:rPr>
              <w:rFonts w:ascii="Arial" w:hAnsi="Arial" w:cs="Arial"/>
              <w:b/>
              <w:noProof/>
              <w:color w:val="000000" w:themeColor="text1"/>
              <w:sz w:val="24"/>
              <w:szCs w:val="24"/>
              <w:lang w:val="en-GB"/>
            </w:rPr>
            <w:t>Table of Contents</w:t>
          </w:r>
        </w:p>
        <w:p w14:paraId="108671C1" w14:textId="77777777" w:rsidR="0013142B" w:rsidRPr="00C32BD2" w:rsidRDefault="0013142B" w:rsidP="0013142B">
          <w:pPr>
            <w:pStyle w:val="TOC1"/>
            <w:tabs>
              <w:tab w:val="right" w:leader="dot" w:pos="9019"/>
            </w:tabs>
            <w:spacing w:line="360" w:lineRule="auto"/>
            <w:rPr>
              <w:noProof/>
              <w:sz w:val="24"/>
              <w:szCs w:val="24"/>
            </w:rPr>
          </w:pPr>
          <w:r w:rsidRPr="00C32BD2">
            <w:rPr>
              <w:b/>
              <w:bCs/>
              <w:noProof/>
              <w:sz w:val="24"/>
              <w:szCs w:val="24"/>
            </w:rPr>
            <w:fldChar w:fldCharType="begin"/>
          </w:r>
          <w:r w:rsidRPr="00C32BD2">
            <w:rPr>
              <w:b/>
              <w:bCs/>
              <w:noProof/>
              <w:sz w:val="24"/>
              <w:szCs w:val="24"/>
            </w:rPr>
            <w:instrText xml:space="preserve"> TOC \o "1-3" \h \z \u </w:instrText>
          </w:r>
          <w:r w:rsidRPr="00C32BD2">
            <w:rPr>
              <w:b/>
              <w:bCs/>
              <w:noProof/>
              <w:sz w:val="24"/>
              <w:szCs w:val="24"/>
            </w:rPr>
            <w:fldChar w:fldCharType="separate"/>
          </w:r>
          <w:hyperlink w:anchor="_Toc214633289" w:history="1">
            <w:r w:rsidRPr="00C32BD2">
              <w:rPr>
                <w:rStyle w:val="Hyperlink"/>
                <w:noProof/>
                <w:sz w:val="24"/>
                <w:szCs w:val="24"/>
              </w:rPr>
              <w:t>1. Introduction</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_Toc214633289 \h </w:instrText>
            </w:r>
            <w:r w:rsidRPr="00C32BD2">
              <w:rPr>
                <w:noProof/>
                <w:webHidden/>
                <w:sz w:val="24"/>
                <w:szCs w:val="24"/>
              </w:rPr>
            </w:r>
            <w:r w:rsidRPr="00C32BD2">
              <w:rPr>
                <w:noProof/>
                <w:webHidden/>
                <w:sz w:val="24"/>
                <w:szCs w:val="24"/>
              </w:rPr>
              <w:fldChar w:fldCharType="separate"/>
            </w:r>
            <w:r w:rsidRPr="00C32BD2">
              <w:rPr>
                <w:noProof/>
                <w:webHidden/>
                <w:sz w:val="24"/>
                <w:szCs w:val="24"/>
              </w:rPr>
              <w:t>3</w:t>
            </w:r>
            <w:r w:rsidRPr="00C32BD2">
              <w:rPr>
                <w:noProof/>
                <w:webHidden/>
                <w:sz w:val="24"/>
                <w:szCs w:val="24"/>
              </w:rPr>
              <w:fldChar w:fldCharType="end"/>
            </w:r>
          </w:hyperlink>
        </w:p>
        <w:p w14:paraId="10C6AE9E" w14:textId="77777777" w:rsidR="0013142B" w:rsidRPr="00C32BD2" w:rsidRDefault="0013142B" w:rsidP="0013142B">
          <w:pPr>
            <w:pStyle w:val="TOC1"/>
            <w:tabs>
              <w:tab w:val="right" w:leader="dot" w:pos="9019"/>
            </w:tabs>
            <w:spacing w:line="360" w:lineRule="auto"/>
            <w:rPr>
              <w:noProof/>
              <w:sz w:val="24"/>
              <w:szCs w:val="24"/>
            </w:rPr>
          </w:pPr>
          <w:hyperlink w:anchor="_Toc214633290" w:history="1">
            <w:r w:rsidRPr="00C32BD2">
              <w:rPr>
                <w:rStyle w:val="Hyperlink"/>
                <w:noProof/>
                <w:sz w:val="24"/>
                <w:szCs w:val="24"/>
              </w:rPr>
              <w:t>2. External factors shaping the UK EV industry</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_Toc214633290 \h </w:instrText>
            </w:r>
            <w:r w:rsidRPr="00C32BD2">
              <w:rPr>
                <w:noProof/>
                <w:webHidden/>
                <w:sz w:val="24"/>
                <w:szCs w:val="24"/>
              </w:rPr>
            </w:r>
            <w:r w:rsidRPr="00C32BD2">
              <w:rPr>
                <w:noProof/>
                <w:webHidden/>
                <w:sz w:val="24"/>
                <w:szCs w:val="24"/>
              </w:rPr>
              <w:fldChar w:fldCharType="separate"/>
            </w:r>
            <w:r w:rsidRPr="00C32BD2">
              <w:rPr>
                <w:noProof/>
                <w:webHidden/>
                <w:sz w:val="24"/>
                <w:szCs w:val="24"/>
              </w:rPr>
              <w:t>4</w:t>
            </w:r>
            <w:r w:rsidRPr="00C32BD2">
              <w:rPr>
                <w:noProof/>
                <w:webHidden/>
                <w:sz w:val="24"/>
                <w:szCs w:val="24"/>
              </w:rPr>
              <w:fldChar w:fldCharType="end"/>
            </w:r>
          </w:hyperlink>
        </w:p>
        <w:p w14:paraId="31258B09" w14:textId="77777777" w:rsidR="0013142B" w:rsidRPr="00C32BD2" w:rsidRDefault="0013142B" w:rsidP="0013142B">
          <w:pPr>
            <w:pStyle w:val="TOC2"/>
            <w:tabs>
              <w:tab w:val="right" w:leader="dot" w:pos="9019"/>
            </w:tabs>
            <w:spacing w:line="360" w:lineRule="auto"/>
            <w:rPr>
              <w:noProof/>
              <w:sz w:val="24"/>
              <w:szCs w:val="24"/>
            </w:rPr>
          </w:pPr>
          <w:hyperlink w:anchor="_Toc214633291" w:history="1">
            <w:r w:rsidRPr="00C32BD2">
              <w:rPr>
                <w:rStyle w:val="Hyperlink"/>
                <w:noProof/>
                <w:sz w:val="24"/>
                <w:szCs w:val="24"/>
              </w:rPr>
              <w:t>2.1 PESTLE</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_Toc214633291 \h </w:instrText>
            </w:r>
            <w:r w:rsidRPr="00C32BD2">
              <w:rPr>
                <w:noProof/>
                <w:webHidden/>
                <w:sz w:val="24"/>
                <w:szCs w:val="24"/>
              </w:rPr>
            </w:r>
            <w:r w:rsidRPr="00C32BD2">
              <w:rPr>
                <w:noProof/>
                <w:webHidden/>
                <w:sz w:val="24"/>
                <w:szCs w:val="24"/>
              </w:rPr>
              <w:fldChar w:fldCharType="separate"/>
            </w:r>
            <w:r w:rsidRPr="00C32BD2">
              <w:rPr>
                <w:noProof/>
                <w:webHidden/>
                <w:sz w:val="24"/>
                <w:szCs w:val="24"/>
              </w:rPr>
              <w:t>4</w:t>
            </w:r>
            <w:r w:rsidRPr="00C32BD2">
              <w:rPr>
                <w:noProof/>
                <w:webHidden/>
                <w:sz w:val="24"/>
                <w:szCs w:val="24"/>
              </w:rPr>
              <w:fldChar w:fldCharType="end"/>
            </w:r>
          </w:hyperlink>
        </w:p>
        <w:p w14:paraId="0853B57C" w14:textId="77777777" w:rsidR="0013142B" w:rsidRPr="00C32BD2" w:rsidRDefault="0013142B" w:rsidP="0013142B">
          <w:pPr>
            <w:pStyle w:val="TOC2"/>
            <w:tabs>
              <w:tab w:val="right" w:leader="dot" w:pos="9019"/>
            </w:tabs>
            <w:spacing w:line="360" w:lineRule="auto"/>
            <w:rPr>
              <w:noProof/>
              <w:sz w:val="24"/>
              <w:szCs w:val="24"/>
            </w:rPr>
          </w:pPr>
          <w:hyperlink w:anchor="_Toc214633292" w:history="1">
            <w:r w:rsidRPr="00C32BD2">
              <w:rPr>
                <w:rStyle w:val="Hyperlink"/>
                <w:noProof/>
                <w:sz w:val="24"/>
                <w:szCs w:val="24"/>
              </w:rPr>
              <w:t>2.2 SWOT</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_Toc214633292 \h </w:instrText>
            </w:r>
            <w:r w:rsidRPr="00C32BD2">
              <w:rPr>
                <w:noProof/>
                <w:webHidden/>
                <w:sz w:val="24"/>
                <w:szCs w:val="24"/>
              </w:rPr>
            </w:r>
            <w:r w:rsidRPr="00C32BD2">
              <w:rPr>
                <w:noProof/>
                <w:webHidden/>
                <w:sz w:val="24"/>
                <w:szCs w:val="24"/>
              </w:rPr>
              <w:fldChar w:fldCharType="separate"/>
            </w:r>
            <w:r w:rsidRPr="00C32BD2">
              <w:rPr>
                <w:noProof/>
                <w:webHidden/>
                <w:sz w:val="24"/>
                <w:szCs w:val="24"/>
              </w:rPr>
              <w:t>6</w:t>
            </w:r>
            <w:r w:rsidRPr="00C32BD2">
              <w:rPr>
                <w:noProof/>
                <w:webHidden/>
                <w:sz w:val="24"/>
                <w:szCs w:val="24"/>
              </w:rPr>
              <w:fldChar w:fldCharType="end"/>
            </w:r>
          </w:hyperlink>
        </w:p>
        <w:p w14:paraId="0E660807" w14:textId="77777777" w:rsidR="0013142B" w:rsidRPr="00C32BD2" w:rsidRDefault="0013142B" w:rsidP="0013142B">
          <w:pPr>
            <w:pStyle w:val="TOC1"/>
            <w:tabs>
              <w:tab w:val="right" w:leader="dot" w:pos="9019"/>
            </w:tabs>
            <w:spacing w:line="360" w:lineRule="auto"/>
            <w:rPr>
              <w:noProof/>
              <w:sz w:val="24"/>
              <w:szCs w:val="24"/>
            </w:rPr>
          </w:pPr>
          <w:hyperlink w:anchor="_Toc214633293" w:history="1">
            <w:r w:rsidRPr="00C32BD2">
              <w:rPr>
                <w:rStyle w:val="Hyperlink"/>
                <w:noProof/>
                <w:sz w:val="24"/>
                <w:szCs w:val="24"/>
              </w:rPr>
              <w:t>3. Innovation influencing technology infrastructure in EV sector</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_Toc214633293 \h </w:instrText>
            </w:r>
            <w:r w:rsidRPr="00C32BD2">
              <w:rPr>
                <w:noProof/>
                <w:webHidden/>
                <w:sz w:val="24"/>
                <w:szCs w:val="24"/>
              </w:rPr>
            </w:r>
            <w:r w:rsidRPr="00C32BD2">
              <w:rPr>
                <w:noProof/>
                <w:webHidden/>
                <w:sz w:val="24"/>
                <w:szCs w:val="24"/>
              </w:rPr>
              <w:fldChar w:fldCharType="separate"/>
            </w:r>
            <w:r w:rsidRPr="00C32BD2">
              <w:rPr>
                <w:noProof/>
                <w:webHidden/>
                <w:sz w:val="24"/>
                <w:szCs w:val="24"/>
              </w:rPr>
              <w:t>8</w:t>
            </w:r>
            <w:r w:rsidRPr="00C32BD2">
              <w:rPr>
                <w:noProof/>
                <w:webHidden/>
                <w:sz w:val="24"/>
                <w:szCs w:val="24"/>
              </w:rPr>
              <w:fldChar w:fldCharType="end"/>
            </w:r>
          </w:hyperlink>
        </w:p>
        <w:p w14:paraId="7B4EADEF" w14:textId="77777777" w:rsidR="0013142B" w:rsidRPr="00C32BD2" w:rsidRDefault="0013142B" w:rsidP="0013142B">
          <w:pPr>
            <w:pStyle w:val="TOC1"/>
            <w:tabs>
              <w:tab w:val="right" w:leader="dot" w:pos="9019"/>
            </w:tabs>
            <w:spacing w:line="360" w:lineRule="auto"/>
            <w:rPr>
              <w:noProof/>
              <w:sz w:val="24"/>
              <w:szCs w:val="24"/>
            </w:rPr>
          </w:pPr>
          <w:hyperlink w:anchor="_Toc214633294" w:history="1">
            <w:r w:rsidRPr="00C32BD2">
              <w:rPr>
                <w:rStyle w:val="Hyperlink"/>
                <w:noProof/>
                <w:sz w:val="24"/>
                <w:szCs w:val="24"/>
              </w:rPr>
              <w:t>4. Conclusion</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_Toc214633294 \h </w:instrText>
            </w:r>
            <w:r w:rsidRPr="00C32BD2">
              <w:rPr>
                <w:noProof/>
                <w:webHidden/>
                <w:sz w:val="24"/>
                <w:szCs w:val="24"/>
              </w:rPr>
            </w:r>
            <w:r w:rsidRPr="00C32BD2">
              <w:rPr>
                <w:noProof/>
                <w:webHidden/>
                <w:sz w:val="24"/>
                <w:szCs w:val="24"/>
              </w:rPr>
              <w:fldChar w:fldCharType="separate"/>
            </w:r>
            <w:r w:rsidRPr="00C32BD2">
              <w:rPr>
                <w:noProof/>
                <w:webHidden/>
                <w:sz w:val="24"/>
                <w:szCs w:val="24"/>
              </w:rPr>
              <w:t>9</w:t>
            </w:r>
            <w:r w:rsidRPr="00C32BD2">
              <w:rPr>
                <w:noProof/>
                <w:webHidden/>
                <w:sz w:val="24"/>
                <w:szCs w:val="24"/>
              </w:rPr>
              <w:fldChar w:fldCharType="end"/>
            </w:r>
          </w:hyperlink>
        </w:p>
        <w:p w14:paraId="1473AF46" w14:textId="77777777" w:rsidR="0013142B" w:rsidRPr="00C32BD2" w:rsidRDefault="0013142B" w:rsidP="0013142B">
          <w:pPr>
            <w:pStyle w:val="TOC1"/>
            <w:tabs>
              <w:tab w:val="right" w:leader="dot" w:pos="9019"/>
            </w:tabs>
            <w:spacing w:line="360" w:lineRule="auto"/>
            <w:rPr>
              <w:noProof/>
              <w:sz w:val="24"/>
              <w:szCs w:val="24"/>
            </w:rPr>
          </w:pPr>
          <w:hyperlink w:anchor="_Toc214633295" w:history="1">
            <w:r w:rsidRPr="00C32BD2">
              <w:rPr>
                <w:rStyle w:val="Hyperlink"/>
                <w:noProof/>
                <w:sz w:val="24"/>
                <w:szCs w:val="24"/>
              </w:rPr>
              <w:t>5. Recommendations in alignment with conclusion</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_Toc214633295 \h </w:instrText>
            </w:r>
            <w:r w:rsidRPr="00C32BD2">
              <w:rPr>
                <w:noProof/>
                <w:webHidden/>
                <w:sz w:val="24"/>
                <w:szCs w:val="24"/>
              </w:rPr>
            </w:r>
            <w:r w:rsidRPr="00C32BD2">
              <w:rPr>
                <w:noProof/>
                <w:webHidden/>
                <w:sz w:val="24"/>
                <w:szCs w:val="24"/>
              </w:rPr>
              <w:fldChar w:fldCharType="separate"/>
            </w:r>
            <w:r w:rsidRPr="00C32BD2">
              <w:rPr>
                <w:noProof/>
                <w:webHidden/>
                <w:sz w:val="24"/>
                <w:szCs w:val="24"/>
              </w:rPr>
              <w:t>10</w:t>
            </w:r>
            <w:r w:rsidRPr="00C32BD2">
              <w:rPr>
                <w:noProof/>
                <w:webHidden/>
                <w:sz w:val="24"/>
                <w:szCs w:val="24"/>
              </w:rPr>
              <w:fldChar w:fldCharType="end"/>
            </w:r>
          </w:hyperlink>
        </w:p>
        <w:p w14:paraId="3517D73D" w14:textId="77777777" w:rsidR="0013142B" w:rsidRPr="00C32BD2" w:rsidRDefault="0013142B" w:rsidP="0013142B">
          <w:pPr>
            <w:pStyle w:val="TOC1"/>
            <w:tabs>
              <w:tab w:val="right" w:leader="dot" w:pos="9019"/>
            </w:tabs>
            <w:spacing w:line="360" w:lineRule="auto"/>
            <w:rPr>
              <w:noProof/>
              <w:sz w:val="24"/>
              <w:szCs w:val="24"/>
            </w:rPr>
          </w:pPr>
          <w:hyperlink w:anchor="_Toc214633296" w:history="1">
            <w:r w:rsidRPr="00C32BD2">
              <w:rPr>
                <w:rStyle w:val="Hyperlink"/>
                <w:noProof/>
                <w:sz w:val="24"/>
                <w:szCs w:val="24"/>
              </w:rPr>
              <w:t>Reference List</w:t>
            </w:r>
            <w:r w:rsidRPr="00C32BD2">
              <w:rPr>
                <w:noProof/>
                <w:webHidden/>
                <w:sz w:val="24"/>
                <w:szCs w:val="24"/>
              </w:rPr>
              <w:tab/>
            </w:r>
            <w:r w:rsidRPr="00C32BD2">
              <w:rPr>
                <w:noProof/>
                <w:webHidden/>
                <w:sz w:val="24"/>
                <w:szCs w:val="24"/>
              </w:rPr>
              <w:fldChar w:fldCharType="begin"/>
            </w:r>
            <w:r w:rsidRPr="00C32BD2">
              <w:rPr>
                <w:noProof/>
                <w:webHidden/>
                <w:sz w:val="24"/>
                <w:szCs w:val="24"/>
              </w:rPr>
              <w:instrText xml:space="preserve"> PAGEREF _Toc214633296 \h </w:instrText>
            </w:r>
            <w:r w:rsidRPr="00C32BD2">
              <w:rPr>
                <w:noProof/>
                <w:webHidden/>
                <w:sz w:val="24"/>
                <w:szCs w:val="24"/>
              </w:rPr>
            </w:r>
            <w:r w:rsidRPr="00C32BD2">
              <w:rPr>
                <w:noProof/>
                <w:webHidden/>
                <w:sz w:val="24"/>
                <w:szCs w:val="24"/>
              </w:rPr>
              <w:fldChar w:fldCharType="separate"/>
            </w:r>
            <w:r w:rsidRPr="00C32BD2">
              <w:rPr>
                <w:noProof/>
                <w:webHidden/>
                <w:sz w:val="24"/>
                <w:szCs w:val="24"/>
              </w:rPr>
              <w:t>11</w:t>
            </w:r>
            <w:r w:rsidRPr="00C32BD2">
              <w:rPr>
                <w:noProof/>
                <w:webHidden/>
                <w:sz w:val="24"/>
                <w:szCs w:val="24"/>
              </w:rPr>
              <w:fldChar w:fldCharType="end"/>
            </w:r>
          </w:hyperlink>
        </w:p>
        <w:p w14:paraId="6EA90B96" w14:textId="77777777" w:rsidR="0013142B" w:rsidRPr="00C32BD2" w:rsidRDefault="0013142B" w:rsidP="0013142B">
          <w:pPr>
            <w:spacing w:line="360" w:lineRule="auto"/>
            <w:rPr>
              <w:noProof/>
            </w:rPr>
          </w:pPr>
          <w:r w:rsidRPr="00C32BD2">
            <w:rPr>
              <w:b/>
              <w:bCs/>
              <w:noProof/>
              <w:sz w:val="24"/>
              <w:szCs w:val="24"/>
            </w:rPr>
            <w:fldChar w:fldCharType="end"/>
          </w:r>
        </w:p>
      </w:sdtContent>
    </w:sdt>
    <w:p w14:paraId="662E5DD2" w14:textId="77777777" w:rsidR="0013142B" w:rsidRPr="00C32BD2" w:rsidRDefault="0013142B">
      <w:pPr>
        <w:rPr>
          <w:b/>
          <w:bCs/>
          <w:noProof/>
          <w:sz w:val="24"/>
          <w:szCs w:val="24"/>
        </w:rPr>
      </w:pPr>
      <w:r w:rsidRPr="00C32BD2">
        <w:rPr>
          <w:noProof/>
        </w:rPr>
        <w:br w:type="page"/>
      </w:r>
    </w:p>
    <w:p w14:paraId="1BD22386" w14:textId="77777777" w:rsidR="007A15BC" w:rsidRPr="00C32BD2" w:rsidRDefault="00260D4B">
      <w:pPr>
        <w:pStyle w:val="Heading1"/>
        <w:rPr>
          <w:noProof/>
        </w:rPr>
      </w:pPr>
      <w:bookmarkStart w:id="1" w:name="_Toc214633289"/>
      <w:r w:rsidRPr="00C32BD2">
        <w:rPr>
          <w:noProof/>
        </w:rPr>
        <w:lastRenderedPageBreak/>
        <w:t>1. Introduction</w:t>
      </w:r>
      <w:bookmarkEnd w:id="1"/>
      <w:r w:rsidRPr="00C32BD2">
        <w:rPr>
          <w:noProof/>
        </w:rPr>
        <w:t xml:space="preserve"> </w:t>
      </w:r>
    </w:p>
    <w:p w14:paraId="67A9842C" w14:textId="77777777" w:rsidR="007A15BC" w:rsidRPr="00C32BD2" w:rsidRDefault="00260D4B">
      <w:pPr>
        <w:spacing w:line="360" w:lineRule="auto"/>
        <w:jc w:val="both"/>
        <w:rPr>
          <w:noProof/>
          <w:sz w:val="24"/>
          <w:szCs w:val="24"/>
        </w:rPr>
      </w:pPr>
      <w:r w:rsidRPr="00C32BD2">
        <w:rPr>
          <w:noProof/>
          <w:sz w:val="24"/>
          <w:szCs w:val="24"/>
        </w:rPr>
        <w:t>The UK EV industry is growing at a significant scale risen by higher demand for sustainable travel and government mandates. The current situation of the UK EV sector is profitable as it is growing significantly amidst higher demand. As of 2025, over 1,949 total new EV vehicles were registered in the UK and sales projections show 21.4% increase in market demand rates (Ev Boosters, 2025). The growth opportunity of EV vehicles in the UK industry is supported by the Zero Emission vehicle mandate by the local government urging transition to green cars.</w:t>
      </w:r>
    </w:p>
    <w:p w14:paraId="6D408A89" w14:textId="77777777" w:rsidR="007A15BC" w:rsidRPr="00C32BD2" w:rsidRDefault="00260D4B">
      <w:pPr>
        <w:spacing w:line="360" w:lineRule="auto"/>
        <w:jc w:val="center"/>
        <w:rPr>
          <w:noProof/>
          <w:sz w:val="24"/>
          <w:szCs w:val="24"/>
        </w:rPr>
      </w:pPr>
      <w:r w:rsidRPr="00C32BD2">
        <w:rPr>
          <w:noProof/>
          <w:sz w:val="24"/>
          <w:szCs w:val="24"/>
          <w:lang w:val="en-IN" w:eastAsia="en-IN"/>
        </w:rPr>
        <w:drawing>
          <wp:inline distT="114300" distB="114300" distL="114300" distR="114300" wp14:anchorId="5902E9C0" wp14:editId="5FCE51B3">
            <wp:extent cx="4885251" cy="2929124"/>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885251" cy="2929124"/>
                    </a:xfrm>
                    <a:prstGeom prst="rect">
                      <a:avLst/>
                    </a:prstGeom>
                    <a:ln w="12700">
                      <a:solidFill>
                        <a:srgbClr val="000000"/>
                      </a:solidFill>
                      <a:prstDash val="solid"/>
                    </a:ln>
                  </pic:spPr>
                </pic:pic>
              </a:graphicData>
            </a:graphic>
          </wp:inline>
        </w:drawing>
      </w:r>
    </w:p>
    <w:p w14:paraId="600FA1F4" w14:textId="77777777" w:rsidR="007A15BC" w:rsidRPr="00C32BD2" w:rsidRDefault="00260D4B">
      <w:pPr>
        <w:spacing w:line="360" w:lineRule="auto"/>
        <w:jc w:val="center"/>
        <w:rPr>
          <w:b/>
          <w:bCs/>
          <w:noProof/>
          <w:sz w:val="24"/>
          <w:szCs w:val="24"/>
        </w:rPr>
      </w:pPr>
      <w:r w:rsidRPr="00C32BD2">
        <w:rPr>
          <w:b/>
          <w:bCs/>
          <w:noProof/>
          <w:sz w:val="24"/>
          <w:szCs w:val="24"/>
        </w:rPr>
        <w:t>Figure 1: EV sales forecast UK</w:t>
      </w:r>
    </w:p>
    <w:p w14:paraId="52C4F4F7" w14:textId="7E2089D2" w:rsidR="007A15BC" w:rsidRPr="00C32BD2" w:rsidRDefault="007A15BC" w:rsidP="006C4C9E">
      <w:pPr>
        <w:spacing w:line="360" w:lineRule="auto"/>
        <w:rPr>
          <w:noProof/>
          <w:sz w:val="24"/>
          <w:szCs w:val="24"/>
        </w:rPr>
      </w:pPr>
    </w:p>
    <w:p w14:paraId="68F69413" w14:textId="77777777" w:rsidR="007A15BC" w:rsidRPr="00C32BD2" w:rsidRDefault="00260D4B">
      <w:pPr>
        <w:spacing w:line="360" w:lineRule="auto"/>
        <w:jc w:val="both"/>
        <w:rPr>
          <w:noProof/>
          <w:sz w:val="24"/>
          <w:szCs w:val="24"/>
        </w:rPr>
      </w:pPr>
      <w:r w:rsidRPr="00C32BD2">
        <w:rPr>
          <w:noProof/>
          <w:sz w:val="24"/>
          <w:szCs w:val="24"/>
        </w:rPr>
        <w:t xml:space="preserve">The key challenges faced by the UK EV industry includes poor charging infrastructure due to lack of charging stations, high electricity usage and higher prices affecting consumer purchase intent. The purpose of the report is to assess the key external factors posing as challenges to the UK EV sector and determining applicable recommendations to mitigate the challenges. The scope of discussion includes application of business environment theories such as PESTLE and SWOT along with analysis of innovation theories to assess current technology infrastructure in the automobile sector.  </w:t>
      </w:r>
    </w:p>
    <w:p w14:paraId="569B8FC4" w14:textId="77777777" w:rsidR="007A15BC" w:rsidRPr="00C32BD2" w:rsidRDefault="00260D4B">
      <w:pPr>
        <w:spacing w:line="360" w:lineRule="auto"/>
        <w:rPr>
          <w:b/>
          <w:bCs/>
          <w:noProof/>
          <w:sz w:val="24"/>
          <w:szCs w:val="24"/>
        </w:rPr>
      </w:pPr>
      <w:r w:rsidRPr="00C32BD2">
        <w:rPr>
          <w:noProof/>
        </w:rPr>
        <w:br w:type="page"/>
      </w:r>
    </w:p>
    <w:p w14:paraId="28E73D81" w14:textId="77777777" w:rsidR="007A15BC" w:rsidRPr="00C32BD2" w:rsidRDefault="00260D4B">
      <w:pPr>
        <w:pStyle w:val="Heading1"/>
        <w:rPr>
          <w:noProof/>
        </w:rPr>
      </w:pPr>
      <w:bookmarkStart w:id="2" w:name="_djngb29p1rom" w:colFirst="0" w:colLast="0"/>
      <w:bookmarkStart w:id="3" w:name="_Toc214633290"/>
      <w:bookmarkEnd w:id="2"/>
      <w:r w:rsidRPr="00C32BD2">
        <w:rPr>
          <w:noProof/>
        </w:rPr>
        <w:lastRenderedPageBreak/>
        <w:t>2. External factors shaping the UK EV industry</w:t>
      </w:r>
      <w:bookmarkEnd w:id="3"/>
    </w:p>
    <w:p w14:paraId="4A2F3589" w14:textId="77777777" w:rsidR="007A15BC" w:rsidRPr="00C32BD2" w:rsidRDefault="00260D4B">
      <w:pPr>
        <w:pStyle w:val="Heading2"/>
        <w:rPr>
          <w:noProof/>
        </w:rPr>
      </w:pPr>
      <w:bookmarkStart w:id="4" w:name="_6f8ziled0qy1" w:colFirst="0" w:colLast="0"/>
      <w:bookmarkStart w:id="5" w:name="_Toc214633291"/>
      <w:bookmarkEnd w:id="4"/>
      <w:r w:rsidRPr="00C32BD2">
        <w:rPr>
          <w:noProof/>
        </w:rPr>
        <w:t>2.1 PESTLE</w:t>
      </w:r>
      <w:bookmarkEnd w:id="5"/>
      <w:r w:rsidRPr="00C32BD2">
        <w:rPr>
          <w:noProof/>
        </w:rPr>
        <w:t xml:space="preserve">  </w:t>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5640"/>
        <w:gridCol w:w="1500"/>
      </w:tblGrid>
      <w:tr w:rsidR="007A15BC" w:rsidRPr="00C32BD2" w14:paraId="1F44B464" w14:textId="77777777">
        <w:tc>
          <w:tcPr>
            <w:tcW w:w="1860" w:type="dxa"/>
            <w:shd w:val="clear" w:color="auto" w:fill="EFEFEF"/>
            <w:tcMar>
              <w:top w:w="100" w:type="dxa"/>
              <w:left w:w="100" w:type="dxa"/>
              <w:bottom w:w="100" w:type="dxa"/>
              <w:right w:w="100" w:type="dxa"/>
            </w:tcMar>
          </w:tcPr>
          <w:p w14:paraId="1025A10A" w14:textId="77777777" w:rsidR="007A15BC" w:rsidRPr="00C32BD2" w:rsidRDefault="00260D4B">
            <w:pPr>
              <w:widowControl w:val="0"/>
              <w:pBdr>
                <w:top w:val="nil"/>
                <w:left w:val="nil"/>
                <w:bottom w:val="nil"/>
                <w:right w:val="nil"/>
                <w:between w:val="nil"/>
              </w:pBdr>
              <w:spacing w:line="360" w:lineRule="auto"/>
              <w:jc w:val="center"/>
              <w:rPr>
                <w:b/>
                <w:bCs/>
                <w:noProof/>
                <w:sz w:val="24"/>
                <w:szCs w:val="24"/>
              </w:rPr>
            </w:pPr>
            <w:r w:rsidRPr="00C32BD2">
              <w:rPr>
                <w:b/>
                <w:bCs/>
                <w:noProof/>
                <w:sz w:val="24"/>
                <w:szCs w:val="24"/>
              </w:rPr>
              <w:t>Factors</w:t>
            </w:r>
          </w:p>
        </w:tc>
        <w:tc>
          <w:tcPr>
            <w:tcW w:w="5640" w:type="dxa"/>
            <w:shd w:val="clear" w:color="auto" w:fill="EFEFEF"/>
            <w:tcMar>
              <w:top w:w="100" w:type="dxa"/>
              <w:left w:w="100" w:type="dxa"/>
              <w:bottom w:w="100" w:type="dxa"/>
              <w:right w:w="100" w:type="dxa"/>
            </w:tcMar>
          </w:tcPr>
          <w:p w14:paraId="0E9FAF10" w14:textId="77777777" w:rsidR="007A15BC" w:rsidRPr="00C32BD2" w:rsidRDefault="00260D4B">
            <w:pPr>
              <w:widowControl w:val="0"/>
              <w:pBdr>
                <w:top w:val="nil"/>
                <w:left w:val="nil"/>
                <w:bottom w:val="nil"/>
                <w:right w:val="nil"/>
                <w:between w:val="nil"/>
              </w:pBdr>
              <w:spacing w:line="360" w:lineRule="auto"/>
              <w:jc w:val="center"/>
              <w:rPr>
                <w:b/>
                <w:bCs/>
                <w:noProof/>
                <w:sz w:val="24"/>
                <w:szCs w:val="24"/>
              </w:rPr>
            </w:pPr>
            <w:r w:rsidRPr="00C32BD2">
              <w:rPr>
                <w:b/>
                <w:bCs/>
                <w:noProof/>
                <w:sz w:val="24"/>
                <w:szCs w:val="24"/>
              </w:rPr>
              <w:t>Description</w:t>
            </w:r>
          </w:p>
        </w:tc>
        <w:tc>
          <w:tcPr>
            <w:tcW w:w="1500" w:type="dxa"/>
            <w:shd w:val="clear" w:color="auto" w:fill="EFEFEF"/>
            <w:tcMar>
              <w:top w:w="100" w:type="dxa"/>
              <w:left w:w="100" w:type="dxa"/>
              <w:bottom w:w="100" w:type="dxa"/>
              <w:right w:w="100" w:type="dxa"/>
            </w:tcMar>
          </w:tcPr>
          <w:p w14:paraId="1F0BB5A8" w14:textId="77777777" w:rsidR="007A15BC" w:rsidRPr="00C32BD2" w:rsidRDefault="00260D4B">
            <w:pPr>
              <w:widowControl w:val="0"/>
              <w:pBdr>
                <w:top w:val="nil"/>
                <w:left w:val="nil"/>
                <w:bottom w:val="nil"/>
                <w:right w:val="nil"/>
                <w:between w:val="nil"/>
              </w:pBdr>
              <w:spacing w:line="360" w:lineRule="auto"/>
              <w:jc w:val="center"/>
              <w:rPr>
                <w:b/>
                <w:bCs/>
                <w:noProof/>
                <w:sz w:val="24"/>
                <w:szCs w:val="24"/>
              </w:rPr>
            </w:pPr>
            <w:r w:rsidRPr="00C32BD2">
              <w:rPr>
                <w:b/>
                <w:bCs/>
                <w:noProof/>
                <w:sz w:val="24"/>
                <w:szCs w:val="24"/>
              </w:rPr>
              <w:t>Impact</w:t>
            </w:r>
          </w:p>
        </w:tc>
      </w:tr>
      <w:tr w:rsidR="007A15BC" w:rsidRPr="00C32BD2" w14:paraId="6BEB78D1" w14:textId="77777777">
        <w:tc>
          <w:tcPr>
            <w:tcW w:w="1860" w:type="dxa"/>
            <w:shd w:val="clear" w:color="auto" w:fill="EFEFEF"/>
            <w:tcMar>
              <w:top w:w="100" w:type="dxa"/>
              <w:left w:w="100" w:type="dxa"/>
              <w:bottom w:w="100" w:type="dxa"/>
              <w:right w:w="100" w:type="dxa"/>
            </w:tcMar>
          </w:tcPr>
          <w:p w14:paraId="29C9294F" w14:textId="77777777" w:rsidR="007A15BC" w:rsidRPr="00C32BD2" w:rsidRDefault="00260D4B">
            <w:pPr>
              <w:widowControl w:val="0"/>
              <w:pBdr>
                <w:top w:val="nil"/>
                <w:left w:val="nil"/>
                <w:bottom w:val="nil"/>
                <w:right w:val="nil"/>
                <w:between w:val="nil"/>
              </w:pBdr>
              <w:spacing w:line="360" w:lineRule="auto"/>
              <w:jc w:val="both"/>
              <w:rPr>
                <w:noProof/>
                <w:sz w:val="24"/>
                <w:szCs w:val="24"/>
              </w:rPr>
            </w:pPr>
            <w:r w:rsidRPr="00C32BD2">
              <w:rPr>
                <w:noProof/>
                <w:sz w:val="24"/>
                <w:szCs w:val="24"/>
              </w:rPr>
              <w:t>Political</w:t>
            </w:r>
          </w:p>
        </w:tc>
        <w:tc>
          <w:tcPr>
            <w:tcW w:w="5640" w:type="dxa"/>
            <w:shd w:val="clear" w:color="auto" w:fill="EFEFEF"/>
            <w:tcMar>
              <w:top w:w="100" w:type="dxa"/>
              <w:left w:w="100" w:type="dxa"/>
              <w:bottom w:w="100" w:type="dxa"/>
              <w:right w:w="100" w:type="dxa"/>
            </w:tcMar>
          </w:tcPr>
          <w:p w14:paraId="25429265" w14:textId="77777777" w:rsidR="007A15BC" w:rsidRPr="00C32BD2" w:rsidRDefault="00260D4B">
            <w:pPr>
              <w:widowControl w:val="0"/>
              <w:numPr>
                <w:ilvl w:val="0"/>
                <w:numId w:val="3"/>
              </w:numPr>
              <w:pBdr>
                <w:top w:val="nil"/>
                <w:left w:val="nil"/>
                <w:bottom w:val="nil"/>
                <w:right w:val="nil"/>
                <w:between w:val="nil"/>
              </w:pBdr>
              <w:spacing w:line="360" w:lineRule="auto"/>
              <w:jc w:val="both"/>
              <w:rPr>
                <w:noProof/>
                <w:sz w:val="24"/>
                <w:szCs w:val="24"/>
              </w:rPr>
            </w:pPr>
            <w:r w:rsidRPr="00C32BD2">
              <w:rPr>
                <w:noProof/>
                <w:sz w:val="24"/>
                <w:szCs w:val="24"/>
              </w:rPr>
              <w:t>UK government’s ZEV mandate has set the annual target of 33% EV sales by 2026 (EVA England, 2025)</w:t>
            </w:r>
          </w:p>
        </w:tc>
        <w:tc>
          <w:tcPr>
            <w:tcW w:w="1500" w:type="dxa"/>
            <w:shd w:val="clear" w:color="auto" w:fill="00FF00"/>
            <w:tcMar>
              <w:top w:w="100" w:type="dxa"/>
              <w:left w:w="100" w:type="dxa"/>
              <w:bottom w:w="100" w:type="dxa"/>
              <w:right w:w="100" w:type="dxa"/>
            </w:tcMar>
          </w:tcPr>
          <w:p w14:paraId="05F6E63D" w14:textId="77777777" w:rsidR="007A15BC" w:rsidRPr="00C32BD2" w:rsidRDefault="00260D4B">
            <w:pPr>
              <w:widowControl w:val="0"/>
              <w:pBdr>
                <w:top w:val="nil"/>
                <w:left w:val="nil"/>
                <w:bottom w:val="nil"/>
                <w:right w:val="nil"/>
                <w:between w:val="nil"/>
              </w:pBdr>
              <w:spacing w:line="360" w:lineRule="auto"/>
              <w:jc w:val="both"/>
              <w:rPr>
                <w:b/>
                <w:bCs/>
                <w:noProof/>
                <w:sz w:val="24"/>
                <w:szCs w:val="24"/>
              </w:rPr>
            </w:pPr>
            <w:r w:rsidRPr="00C32BD2">
              <w:rPr>
                <w:b/>
                <w:bCs/>
                <w:noProof/>
                <w:sz w:val="24"/>
                <w:szCs w:val="24"/>
              </w:rPr>
              <w:t>Positive</w:t>
            </w:r>
          </w:p>
        </w:tc>
      </w:tr>
      <w:tr w:rsidR="007A15BC" w:rsidRPr="00C32BD2" w14:paraId="3CAB1004" w14:textId="77777777">
        <w:tc>
          <w:tcPr>
            <w:tcW w:w="1860" w:type="dxa"/>
            <w:shd w:val="clear" w:color="auto" w:fill="EFEFEF"/>
            <w:tcMar>
              <w:top w:w="100" w:type="dxa"/>
              <w:left w:w="100" w:type="dxa"/>
              <w:bottom w:w="100" w:type="dxa"/>
              <w:right w:w="100" w:type="dxa"/>
            </w:tcMar>
          </w:tcPr>
          <w:p w14:paraId="4386CEC8" w14:textId="77777777" w:rsidR="007A15BC" w:rsidRPr="00C32BD2" w:rsidRDefault="00260D4B">
            <w:pPr>
              <w:widowControl w:val="0"/>
              <w:pBdr>
                <w:top w:val="nil"/>
                <w:left w:val="nil"/>
                <w:bottom w:val="nil"/>
                <w:right w:val="nil"/>
                <w:between w:val="nil"/>
              </w:pBdr>
              <w:spacing w:line="360" w:lineRule="auto"/>
              <w:jc w:val="both"/>
              <w:rPr>
                <w:noProof/>
                <w:sz w:val="24"/>
                <w:szCs w:val="24"/>
              </w:rPr>
            </w:pPr>
            <w:r w:rsidRPr="00C32BD2">
              <w:rPr>
                <w:noProof/>
                <w:sz w:val="24"/>
                <w:szCs w:val="24"/>
              </w:rPr>
              <w:t>Economic</w:t>
            </w:r>
          </w:p>
        </w:tc>
        <w:tc>
          <w:tcPr>
            <w:tcW w:w="5640" w:type="dxa"/>
            <w:shd w:val="clear" w:color="auto" w:fill="EFEFEF"/>
            <w:tcMar>
              <w:top w:w="100" w:type="dxa"/>
              <w:left w:w="100" w:type="dxa"/>
              <w:bottom w:w="100" w:type="dxa"/>
              <w:right w:w="100" w:type="dxa"/>
            </w:tcMar>
          </w:tcPr>
          <w:p w14:paraId="25B79504" w14:textId="77777777" w:rsidR="007A15BC" w:rsidRPr="00C32BD2" w:rsidRDefault="00260D4B">
            <w:pPr>
              <w:widowControl w:val="0"/>
              <w:numPr>
                <w:ilvl w:val="0"/>
                <w:numId w:val="6"/>
              </w:numPr>
              <w:pBdr>
                <w:top w:val="nil"/>
                <w:left w:val="nil"/>
                <w:bottom w:val="nil"/>
                <w:right w:val="nil"/>
                <w:between w:val="nil"/>
              </w:pBdr>
              <w:spacing w:line="360" w:lineRule="auto"/>
              <w:jc w:val="both"/>
              <w:rPr>
                <w:noProof/>
                <w:sz w:val="24"/>
                <w:szCs w:val="24"/>
              </w:rPr>
            </w:pPr>
            <w:r w:rsidRPr="00C32BD2">
              <w:rPr>
                <w:noProof/>
                <w:sz w:val="24"/>
                <w:szCs w:val="24"/>
              </w:rPr>
              <w:t>Unstable inflation, currently at 3.8% risks commodity price increase (Hooker, 2025)</w:t>
            </w:r>
          </w:p>
        </w:tc>
        <w:tc>
          <w:tcPr>
            <w:tcW w:w="1500" w:type="dxa"/>
            <w:shd w:val="clear" w:color="auto" w:fill="FF0000"/>
            <w:tcMar>
              <w:top w:w="100" w:type="dxa"/>
              <w:left w:w="100" w:type="dxa"/>
              <w:bottom w:w="100" w:type="dxa"/>
              <w:right w:w="100" w:type="dxa"/>
            </w:tcMar>
          </w:tcPr>
          <w:p w14:paraId="0EDC8370" w14:textId="77777777" w:rsidR="007A15BC" w:rsidRPr="00C32BD2" w:rsidRDefault="00260D4B">
            <w:pPr>
              <w:widowControl w:val="0"/>
              <w:pBdr>
                <w:top w:val="nil"/>
                <w:left w:val="nil"/>
                <w:bottom w:val="nil"/>
                <w:right w:val="nil"/>
                <w:between w:val="nil"/>
              </w:pBdr>
              <w:spacing w:line="360" w:lineRule="auto"/>
              <w:jc w:val="both"/>
              <w:rPr>
                <w:b/>
                <w:bCs/>
                <w:noProof/>
                <w:sz w:val="24"/>
                <w:szCs w:val="24"/>
              </w:rPr>
            </w:pPr>
            <w:r w:rsidRPr="00C32BD2">
              <w:rPr>
                <w:b/>
                <w:bCs/>
                <w:noProof/>
                <w:sz w:val="24"/>
                <w:szCs w:val="24"/>
              </w:rPr>
              <w:t>Negative</w:t>
            </w:r>
          </w:p>
        </w:tc>
      </w:tr>
      <w:tr w:rsidR="007A15BC" w:rsidRPr="00C32BD2" w14:paraId="5091847D" w14:textId="77777777">
        <w:tc>
          <w:tcPr>
            <w:tcW w:w="1860" w:type="dxa"/>
            <w:shd w:val="clear" w:color="auto" w:fill="EFEFEF"/>
            <w:tcMar>
              <w:top w:w="100" w:type="dxa"/>
              <w:left w:w="100" w:type="dxa"/>
              <w:bottom w:w="100" w:type="dxa"/>
              <w:right w:w="100" w:type="dxa"/>
            </w:tcMar>
          </w:tcPr>
          <w:p w14:paraId="0992495D" w14:textId="77777777" w:rsidR="007A15BC" w:rsidRPr="00C32BD2" w:rsidRDefault="00260D4B">
            <w:pPr>
              <w:widowControl w:val="0"/>
              <w:pBdr>
                <w:top w:val="nil"/>
                <w:left w:val="nil"/>
                <w:bottom w:val="nil"/>
                <w:right w:val="nil"/>
                <w:between w:val="nil"/>
              </w:pBdr>
              <w:spacing w:line="360" w:lineRule="auto"/>
              <w:jc w:val="both"/>
              <w:rPr>
                <w:noProof/>
                <w:sz w:val="24"/>
                <w:szCs w:val="24"/>
              </w:rPr>
            </w:pPr>
            <w:r w:rsidRPr="00C32BD2">
              <w:rPr>
                <w:noProof/>
                <w:sz w:val="24"/>
                <w:szCs w:val="24"/>
              </w:rPr>
              <w:t>Social</w:t>
            </w:r>
          </w:p>
        </w:tc>
        <w:tc>
          <w:tcPr>
            <w:tcW w:w="5640" w:type="dxa"/>
            <w:shd w:val="clear" w:color="auto" w:fill="EFEFEF"/>
            <w:tcMar>
              <w:top w:w="100" w:type="dxa"/>
              <w:left w:w="100" w:type="dxa"/>
              <w:bottom w:w="100" w:type="dxa"/>
              <w:right w:w="100" w:type="dxa"/>
            </w:tcMar>
          </w:tcPr>
          <w:p w14:paraId="4C153B71" w14:textId="77777777" w:rsidR="007A15BC" w:rsidRPr="00C32BD2" w:rsidRDefault="00260D4B">
            <w:pPr>
              <w:widowControl w:val="0"/>
              <w:numPr>
                <w:ilvl w:val="0"/>
                <w:numId w:val="2"/>
              </w:numPr>
              <w:pBdr>
                <w:top w:val="nil"/>
                <w:left w:val="nil"/>
                <w:bottom w:val="nil"/>
                <w:right w:val="nil"/>
                <w:between w:val="nil"/>
              </w:pBdr>
              <w:spacing w:line="360" w:lineRule="auto"/>
              <w:jc w:val="both"/>
              <w:rPr>
                <w:noProof/>
                <w:sz w:val="24"/>
                <w:szCs w:val="24"/>
              </w:rPr>
            </w:pPr>
            <w:r w:rsidRPr="00C32BD2">
              <w:rPr>
                <w:noProof/>
                <w:sz w:val="24"/>
                <w:szCs w:val="24"/>
              </w:rPr>
              <w:t>UK current population as of November 2025 was 69,710,357 (Worldometers, 2025)</w:t>
            </w:r>
          </w:p>
        </w:tc>
        <w:tc>
          <w:tcPr>
            <w:tcW w:w="1500" w:type="dxa"/>
            <w:shd w:val="clear" w:color="auto" w:fill="00FF00"/>
            <w:tcMar>
              <w:top w:w="100" w:type="dxa"/>
              <w:left w:w="100" w:type="dxa"/>
              <w:bottom w:w="100" w:type="dxa"/>
              <w:right w:w="100" w:type="dxa"/>
            </w:tcMar>
          </w:tcPr>
          <w:p w14:paraId="659642E7" w14:textId="77777777" w:rsidR="007A15BC" w:rsidRPr="00C32BD2" w:rsidRDefault="00260D4B">
            <w:pPr>
              <w:widowControl w:val="0"/>
              <w:pBdr>
                <w:top w:val="nil"/>
                <w:left w:val="nil"/>
                <w:bottom w:val="nil"/>
                <w:right w:val="nil"/>
                <w:between w:val="nil"/>
              </w:pBdr>
              <w:spacing w:line="360" w:lineRule="auto"/>
              <w:jc w:val="both"/>
              <w:rPr>
                <w:b/>
                <w:bCs/>
                <w:noProof/>
                <w:sz w:val="24"/>
                <w:szCs w:val="24"/>
              </w:rPr>
            </w:pPr>
            <w:r w:rsidRPr="00C32BD2">
              <w:rPr>
                <w:b/>
                <w:bCs/>
                <w:noProof/>
                <w:sz w:val="24"/>
                <w:szCs w:val="24"/>
              </w:rPr>
              <w:t>Positive</w:t>
            </w:r>
          </w:p>
        </w:tc>
      </w:tr>
      <w:tr w:rsidR="007A15BC" w:rsidRPr="00C32BD2" w14:paraId="2E2C6E34" w14:textId="77777777">
        <w:tc>
          <w:tcPr>
            <w:tcW w:w="1860" w:type="dxa"/>
            <w:shd w:val="clear" w:color="auto" w:fill="EFEFEF"/>
            <w:tcMar>
              <w:top w:w="100" w:type="dxa"/>
              <w:left w:w="100" w:type="dxa"/>
              <w:bottom w:w="100" w:type="dxa"/>
              <w:right w:w="100" w:type="dxa"/>
            </w:tcMar>
          </w:tcPr>
          <w:p w14:paraId="799490D0" w14:textId="77777777" w:rsidR="007A15BC" w:rsidRPr="00C32BD2" w:rsidRDefault="00260D4B">
            <w:pPr>
              <w:widowControl w:val="0"/>
              <w:pBdr>
                <w:top w:val="nil"/>
                <w:left w:val="nil"/>
                <w:bottom w:val="nil"/>
                <w:right w:val="nil"/>
                <w:between w:val="nil"/>
              </w:pBdr>
              <w:spacing w:line="360" w:lineRule="auto"/>
              <w:jc w:val="both"/>
              <w:rPr>
                <w:noProof/>
                <w:sz w:val="24"/>
                <w:szCs w:val="24"/>
              </w:rPr>
            </w:pPr>
            <w:r w:rsidRPr="00C32BD2">
              <w:rPr>
                <w:noProof/>
                <w:sz w:val="24"/>
                <w:szCs w:val="24"/>
              </w:rPr>
              <w:t>Technological</w:t>
            </w:r>
          </w:p>
        </w:tc>
        <w:tc>
          <w:tcPr>
            <w:tcW w:w="5640" w:type="dxa"/>
            <w:shd w:val="clear" w:color="auto" w:fill="EFEFEF"/>
            <w:tcMar>
              <w:top w:w="100" w:type="dxa"/>
              <w:left w:w="100" w:type="dxa"/>
              <w:bottom w:w="100" w:type="dxa"/>
              <w:right w:w="100" w:type="dxa"/>
            </w:tcMar>
          </w:tcPr>
          <w:p w14:paraId="538480DC" w14:textId="77777777" w:rsidR="007A15BC" w:rsidRPr="00C32BD2" w:rsidRDefault="00260D4B">
            <w:pPr>
              <w:widowControl w:val="0"/>
              <w:numPr>
                <w:ilvl w:val="0"/>
                <w:numId w:val="7"/>
              </w:numPr>
              <w:pBdr>
                <w:top w:val="nil"/>
                <w:left w:val="nil"/>
                <w:bottom w:val="nil"/>
                <w:right w:val="nil"/>
                <w:between w:val="nil"/>
              </w:pBdr>
              <w:spacing w:line="360" w:lineRule="auto"/>
              <w:jc w:val="both"/>
              <w:rPr>
                <w:noProof/>
                <w:sz w:val="24"/>
                <w:szCs w:val="24"/>
              </w:rPr>
            </w:pPr>
            <w:r w:rsidRPr="00C32BD2">
              <w:rPr>
                <w:noProof/>
                <w:sz w:val="24"/>
                <w:szCs w:val="24"/>
              </w:rPr>
              <w:t>Gross domestic R&amp;D expenditure by the UK government was approx 70.7 billion pounds as of 2022 (ONS, 2022)</w:t>
            </w:r>
          </w:p>
        </w:tc>
        <w:tc>
          <w:tcPr>
            <w:tcW w:w="1500" w:type="dxa"/>
            <w:shd w:val="clear" w:color="auto" w:fill="00FF00"/>
            <w:tcMar>
              <w:top w:w="100" w:type="dxa"/>
              <w:left w:w="100" w:type="dxa"/>
              <w:bottom w:w="100" w:type="dxa"/>
              <w:right w:w="100" w:type="dxa"/>
            </w:tcMar>
          </w:tcPr>
          <w:p w14:paraId="1D505728" w14:textId="77777777" w:rsidR="007A15BC" w:rsidRPr="00C32BD2" w:rsidRDefault="00260D4B">
            <w:pPr>
              <w:widowControl w:val="0"/>
              <w:pBdr>
                <w:top w:val="nil"/>
                <w:left w:val="nil"/>
                <w:bottom w:val="nil"/>
                <w:right w:val="nil"/>
                <w:between w:val="nil"/>
              </w:pBdr>
              <w:spacing w:line="360" w:lineRule="auto"/>
              <w:jc w:val="both"/>
              <w:rPr>
                <w:b/>
                <w:bCs/>
                <w:noProof/>
                <w:sz w:val="24"/>
                <w:szCs w:val="24"/>
              </w:rPr>
            </w:pPr>
            <w:r w:rsidRPr="00C32BD2">
              <w:rPr>
                <w:b/>
                <w:bCs/>
                <w:noProof/>
                <w:sz w:val="24"/>
                <w:szCs w:val="24"/>
              </w:rPr>
              <w:t>Positive</w:t>
            </w:r>
          </w:p>
        </w:tc>
      </w:tr>
      <w:tr w:rsidR="007A15BC" w:rsidRPr="00C32BD2" w14:paraId="6F0FABCB" w14:textId="77777777">
        <w:tc>
          <w:tcPr>
            <w:tcW w:w="1860" w:type="dxa"/>
            <w:shd w:val="clear" w:color="auto" w:fill="EFEFEF"/>
            <w:tcMar>
              <w:top w:w="100" w:type="dxa"/>
              <w:left w:w="100" w:type="dxa"/>
              <w:bottom w:w="100" w:type="dxa"/>
              <w:right w:w="100" w:type="dxa"/>
            </w:tcMar>
          </w:tcPr>
          <w:p w14:paraId="798C7E1B" w14:textId="77777777" w:rsidR="007A15BC" w:rsidRPr="00C32BD2" w:rsidRDefault="00260D4B">
            <w:pPr>
              <w:widowControl w:val="0"/>
              <w:pBdr>
                <w:top w:val="nil"/>
                <w:left w:val="nil"/>
                <w:bottom w:val="nil"/>
                <w:right w:val="nil"/>
                <w:between w:val="nil"/>
              </w:pBdr>
              <w:spacing w:line="360" w:lineRule="auto"/>
              <w:jc w:val="both"/>
              <w:rPr>
                <w:noProof/>
                <w:sz w:val="24"/>
                <w:szCs w:val="24"/>
              </w:rPr>
            </w:pPr>
            <w:r w:rsidRPr="00C32BD2">
              <w:rPr>
                <w:noProof/>
                <w:sz w:val="24"/>
                <w:szCs w:val="24"/>
              </w:rPr>
              <w:t>Legal</w:t>
            </w:r>
          </w:p>
        </w:tc>
        <w:tc>
          <w:tcPr>
            <w:tcW w:w="5640" w:type="dxa"/>
            <w:shd w:val="clear" w:color="auto" w:fill="EFEFEF"/>
            <w:tcMar>
              <w:top w:w="100" w:type="dxa"/>
              <w:left w:w="100" w:type="dxa"/>
              <w:bottom w:w="100" w:type="dxa"/>
              <w:right w:w="100" w:type="dxa"/>
            </w:tcMar>
          </w:tcPr>
          <w:p w14:paraId="1DCEBB03" w14:textId="71B26B5C" w:rsidR="007A15BC" w:rsidRPr="00C32BD2" w:rsidRDefault="00FE70CD">
            <w:pPr>
              <w:widowControl w:val="0"/>
              <w:numPr>
                <w:ilvl w:val="0"/>
                <w:numId w:val="11"/>
              </w:numPr>
              <w:pBdr>
                <w:top w:val="nil"/>
                <w:left w:val="nil"/>
                <w:bottom w:val="nil"/>
                <w:right w:val="nil"/>
                <w:between w:val="nil"/>
              </w:pBdr>
              <w:spacing w:line="360" w:lineRule="auto"/>
              <w:jc w:val="both"/>
              <w:rPr>
                <w:noProof/>
                <w:sz w:val="24"/>
                <w:szCs w:val="24"/>
              </w:rPr>
            </w:pPr>
            <w:r w:rsidRPr="00FE70CD">
              <w:rPr>
                <w:noProof/>
                <w:sz w:val="24"/>
                <w:szCs w:val="24"/>
              </w:rPr>
              <w:t>Standard EV drivers are imposed £195 per 12 months as per vehicle excise duty laws stated as road tax (Allan, 2025)</w:t>
            </w:r>
          </w:p>
        </w:tc>
        <w:tc>
          <w:tcPr>
            <w:tcW w:w="1500" w:type="dxa"/>
            <w:shd w:val="clear" w:color="auto" w:fill="FF0000"/>
            <w:tcMar>
              <w:top w:w="100" w:type="dxa"/>
              <w:left w:w="100" w:type="dxa"/>
              <w:bottom w:w="100" w:type="dxa"/>
              <w:right w:w="100" w:type="dxa"/>
            </w:tcMar>
          </w:tcPr>
          <w:p w14:paraId="1EE91678" w14:textId="77777777" w:rsidR="007A15BC" w:rsidRPr="00C32BD2" w:rsidRDefault="00260D4B">
            <w:pPr>
              <w:widowControl w:val="0"/>
              <w:pBdr>
                <w:top w:val="nil"/>
                <w:left w:val="nil"/>
                <w:bottom w:val="nil"/>
                <w:right w:val="nil"/>
                <w:between w:val="nil"/>
              </w:pBdr>
              <w:spacing w:line="360" w:lineRule="auto"/>
              <w:jc w:val="both"/>
              <w:rPr>
                <w:b/>
                <w:bCs/>
                <w:noProof/>
                <w:sz w:val="24"/>
                <w:szCs w:val="24"/>
              </w:rPr>
            </w:pPr>
            <w:r w:rsidRPr="00C32BD2">
              <w:rPr>
                <w:b/>
                <w:bCs/>
                <w:noProof/>
                <w:sz w:val="24"/>
                <w:szCs w:val="24"/>
              </w:rPr>
              <w:t>Negative</w:t>
            </w:r>
          </w:p>
        </w:tc>
      </w:tr>
      <w:tr w:rsidR="007A15BC" w:rsidRPr="00C32BD2" w14:paraId="739AF502" w14:textId="77777777">
        <w:tc>
          <w:tcPr>
            <w:tcW w:w="1860" w:type="dxa"/>
            <w:shd w:val="clear" w:color="auto" w:fill="EFEFEF"/>
            <w:tcMar>
              <w:top w:w="100" w:type="dxa"/>
              <w:left w:w="100" w:type="dxa"/>
              <w:bottom w:w="100" w:type="dxa"/>
              <w:right w:w="100" w:type="dxa"/>
            </w:tcMar>
          </w:tcPr>
          <w:p w14:paraId="473E7F69" w14:textId="77777777" w:rsidR="007A15BC" w:rsidRPr="00C32BD2" w:rsidRDefault="00260D4B">
            <w:pPr>
              <w:widowControl w:val="0"/>
              <w:pBdr>
                <w:top w:val="nil"/>
                <w:left w:val="nil"/>
                <w:bottom w:val="nil"/>
                <w:right w:val="nil"/>
                <w:between w:val="nil"/>
              </w:pBdr>
              <w:spacing w:line="360" w:lineRule="auto"/>
              <w:jc w:val="both"/>
              <w:rPr>
                <w:noProof/>
                <w:sz w:val="24"/>
                <w:szCs w:val="24"/>
              </w:rPr>
            </w:pPr>
            <w:r w:rsidRPr="00C32BD2">
              <w:rPr>
                <w:noProof/>
                <w:sz w:val="24"/>
                <w:szCs w:val="24"/>
              </w:rPr>
              <w:t>Environmental</w:t>
            </w:r>
          </w:p>
        </w:tc>
        <w:tc>
          <w:tcPr>
            <w:tcW w:w="5640" w:type="dxa"/>
            <w:shd w:val="clear" w:color="auto" w:fill="EFEFEF"/>
            <w:tcMar>
              <w:top w:w="100" w:type="dxa"/>
              <w:left w:w="100" w:type="dxa"/>
              <w:bottom w:w="100" w:type="dxa"/>
              <w:right w:w="100" w:type="dxa"/>
            </w:tcMar>
          </w:tcPr>
          <w:p w14:paraId="43AAB1F1" w14:textId="77777777" w:rsidR="007A15BC" w:rsidRPr="00C32BD2" w:rsidRDefault="00260D4B">
            <w:pPr>
              <w:widowControl w:val="0"/>
              <w:numPr>
                <w:ilvl w:val="0"/>
                <w:numId w:val="1"/>
              </w:numPr>
              <w:pBdr>
                <w:top w:val="nil"/>
                <w:left w:val="nil"/>
                <w:bottom w:val="nil"/>
                <w:right w:val="nil"/>
                <w:between w:val="nil"/>
              </w:pBdr>
              <w:spacing w:line="360" w:lineRule="auto"/>
              <w:jc w:val="both"/>
              <w:rPr>
                <w:noProof/>
                <w:sz w:val="24"/>
                <w:szCs w:val="24"/>
              </w:rPr>
            </w:pPr>
            <w:r w:rsidRPr="00C32BD2">
              <w:rPr>
                <w:noProof/>
                <w:sz w:val="24"/>
                <w:szCs w:val="24"/>
              </w:rPr>
              <w:t>The Environment Act 2021 identifies reporting duties of emissions decrease for registered firms (GOV UK, 2021).</w:t>
            </w:r>
          </w:p>
        </w:tc>
        <w:tc>
          <w:tcPr>
            <w:tcW w:w="1500" w:type="dxa"/>
            <w:shd w:val="clear" w:color="auto" w:fill="00FF00"/>
            <w:tcMar>
              <w:top w:w="100" w:type="dxa"/>
              <w:left w:w="100" w:type="dxa"/>
              <w:bottom w:w="100" w:type="dxa"/>
              <w:right w:w="100" w:type="dxa"/>
            </w:tcMar>
          </w:tcPr>
          <w:p w14:paraId="06793961" w14:textId="77777777" w:rsidR="007A15BC" w:rsidRPr="00C32BD2" w:rsidRDefault="00260D4B">
            <w:pPr>
              <w:widowControl w:val="0"/>
              <w:pBdr>
                <w:top w:val="nil"/>
                <w:left w:val="nil"/>
                <w:bottom w:val="nil"/>
                <w:right w:val="nil"/>
                <w:between w:val="nil"/>
              </w:pBdr>
              <w:spacing w:line="360" w:lineRule="auto"/>
              <w:jc w:val="both"/>
              <w:rPr>
                <w:b/>
                <w:bCs/>
                <w:noProof/>
                <w:sz w:val="24"/>
                <w:szCs w:val="24"/>
              </w:rPr>
            </w:pPr>
            <w:r w:rsidRPr="00C32BD2">
              <w:rPr>
                <w:b/>
                <w:bCs/>
                <w:noProof/>
                <w:sz w:val="24"/>
                <w:szCs w:val="24"/>
              </w:rPr>
              <w:t>Positive</w:t>
            </w:r>
          </w:p>
        </w:tc>
      </w:tr>
    </w:tbl>
    <w:p w14:paraId="1AB64577" w14:textId="77777777" w:rsidR="007A15BC" w:rsidRPr="00C32BD2" w:rsidRDefault="00260D4B">
      <w:pPr>
        <w:spacing w:line="360" w:lineRule="auto"/>
        <w:jc w:val="center"/>
        <w:rPr>
          <w:b/>
          <w:bCs/>
          <w:noProof/>
          <w:sz w:val="24"/>
          <w:szCs w:val="24"/>
        </w:rPr>
      </w:pPr>
      <w:r w:rsidRPr="00C32BD2">
        <w:rPr>
          <w:b/>
          <w:bCs/>
          <w:noProof/>
          <w:sz w:val="24"/>
          <w:szCs w:val="24"/>
        </w:rPr>
        <w:t>Table 1: PESTLE</w:t>
      </w:r>
    </w:p>
    <w:p w14:paraId="5D93A3E5" w14:textId="77777777" w:rsidR="007A15BC" w:rsidRPr="00C32BD2" w:rsidRDefault="00260D4B">
      <w:pPr>
        <w:spacing w:line="360" w:lineRule="auto"/>
        <w:rPr>
          <w:b/>
          <w:bCs/>
          <w:noProof/>
          <w:sz w:val="24"/>
          <w:szCs w:val="24"/>
        </w:rPr>
      </w:pPr>
      <w:r w:rsidRPr="00C32BD2">
        <w:rPr>
          <w:b/>
          <w:bCs/>
          <w:noProof/>
          <w:sz w:val="24"/>
          <w:szCs w:val="24"/>
        </w:rPr>
        <w:t>Analysis</w:t>
      </w:r>
    </w:p>
    <w:p w14:paraId="040374D7" w14:textId="77777777" w:rsidR="007A15BC" w:rsidRPr="00C32BD2" w:rsidRDefault="00260D4B">
      <w:pPr>
        <w:spacing w:line="360" w:lineRule="auto"/>
        <w:jc w:val="both"/>
        <w:rPr>
          <w:noProof/>
          <w:sz w:val="24"/>
          <w:szCs w:val="24"/>
        </w:rPr>
      </w:pPr>
      <w:r w:rsidRPr="00C32BD2">
        <w:rPr>
          <w:noProof/>
          <w:sz w:val="24"/>
          <w:szCs w:val="24"/>
        </w:rPr>
        <w:t xml:space="preserve">The aforementioned table helps identify the key factors such as economic and legal challenges for the UK EV industry and ones highlighting its positive development. The political factor depicts positive impact as government drives such as ZEV mandate automotive firms in the UK to prioritise sales of EV vehicles. The challenge of high inflation is identified in the UK, being a probable factor for high associated costs with purchase of EV vehicles. The negative impact of high inflation is that purchasing power of </w:t>
      </w:r>
      <w:r w:rsidR="00B94816" w:rsidRPr="00C32BD2">
        <w:rPr>
          <w:noProof/>
          <w:sz w:val="24"/>
          <w:szCs w:val="24"/>
        </w:rPr>
        <w:t>consumer’s</w:t>
      </w:r>
      <w:r w:rsidRPr="00C32BD2">
        <w:rPr>
          <w:noProof/>
          <w:sz w:val="24"/>
          <w:szCs w:val="24"/>
        </w:rPr>
        <w:t xml:space="preserve"> decreases as a result of cost increments. On the other hand, the social factors show a growing UK population depicting a larger potential customer base for UK automobile brands for marketing purposes.</w:t>
      </w:r>
    </w:p>
    <w:p w14:paraId="13A61E1F" w14:textId="77777777" w:rsidR="007A15BC" w:rsidRPr="00C32BD2" w:rsidRDefault="00260D4B">
      <w:pPr>
        <w:spacing w:line="360" w:lineRule="auto"/>
        <w:jc w:val="both"/>
        <w:rPr>
          <w:noProof/>
          <w:sz w:val="24"/>
          <w:szCs w:val="24"/>
        </w:rPr>
      </w:pPr>
      <w:r w:rsidRPr="00C32BD2">
        <w:rPr>
          <w:noProof/>
          <w:sz w:val="24"/>
          <w:szCs w:val="24"/>
        </w:rPr>
        <w:lastRenderedPageBreak/>
        <w:t xml:space="preserve">The technological factor shows positive impact as it shows R&amp;D expenditure budget increases, improving the chances of gaining grants by new EV </w:t>
      </w:r>
      <w:r w:rsidR="00B94816" w:rsidRPr="00C32BD2">
        <w:rPr>
          <w:noProof/>
          <w:sz w:val="24"/>
          <w:szCs w:val="24"/>
        </w:rPr>
        <w:t>start-ups</w:t>
      </w:r>
      <w:r w:rsidRPr="00C32BD2">
        <w:rPr>
          <w:noProof/>
          <w:sz w:val="24"/>
          <w:szCs w:val="24"/>
        </w:rPr>
        <w:t xml:space="preserve">. The challenge of excessive vehicle excise duty is identified for EV vehicles at </w:t>
      </w:r>
      <w:r w:rsidRPr="00C32BD2">
        <w:rPr>
          <w:noProof/>
          <w:sz w:val="24"/>
          <w:szCs w:val="24"/>
          <w:highlight w:val="white"/>
        </w:rPr>
        <w:t>£</w:t>
      </w:r>
      <w:r w:rsidRPr="00C32BD2">
        <w:rPr>
          <w:noProof/>
          <w:sz w:val="24"/>
          <w:szCs w:val="24"/>
        </w:rPr>
        <w:t xml:space="preserve">195 yearly and </w:t>
      </w:r>
      <w:r w:rsidRPr="00C32BD2">
        <w:rPr>
          <w:noProof/>
          <w:sz w:val="24"/>
          <w:szCs w:val="24"/>
          <w:highlight w:val="white"/>
        </w:rPr>
        <w:t>£620 for luxury cars exceeding £40,000 pound value (Allan, 2025). Higher excise duty values can demotivate potential buyers from opting for EV vehicles respectively. Thus, the two key challenges identified from the PESTLE include high inflation driving up prices and high excise costs.</w:t>
      </w:r>
    </w:p>
    <w:p w14:paraId="66DE3FB6" w14:textId="77777777" w:rsidR="007A15BC" w:rsidRPr="00C32BD2" w:rsidRDefault="00260D4B">
      <w:pPr>
        <w:spacing w:line="360" w:lineRule="auto"/>
        <w:jc w:val="center"/>
        <w:rPr>
          <w:b/>
          <w:bCs/>
          <w:noProof/>
          <w:sz w:val="24"/>
          <w:szCs w:val="24"/>
        </w:rPr>
      </w:pPr>
      <w:r w:rsidRPr="00C32BD2">
        <w:rPr>
          <w:b/>
          <w:bCs/>
          <w:noProof/>
          <w:sz w:val="24"/>
          <w:szCs w:val="24"/>
          <w:lang w:val="en-IN" w:eastAsia="en-IN"/>
        </w:rPr>
        <w:drawing>
          <wp:inline distT="114300" distB="114300" distL="114300" distR="114300" wp14:anchorId="09212FE6" wp14:editId="5937454C">
            <wp:extent cx="5329013" cy="3195638"/>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29013" cy="3195638"/>
                    </a:xfrm>
                    <a:prstGeom prst="rect">
                      <a:avLst/>
                    </a:prstGeom>
                    <a:ln w="12700">
                      <a:solidFill>
                        <a:srgbClr val="000000"/>
                      </a:solidFill>
                      <a:prstDash val="solid"/>
                    </a:ln>
                  </pic:spPr>
                </pic:pic>
              </a:graphicData>
            </a:graphic>
          </wp:inline>
        </w:drawing>
      </w:r>
    </w:p>
    <w:p w14:paraId="773F08A6" w14:textId="77777777" w:rsidR="007A15BC" w:rsidRPr="00C32BD2" w:rsidRDefault="00260D4B">
      <w:pPr>
        <w:spacing w:line="360" w:lineRule="auto"/>
        <w:jc w:val="center"/>
        <w:rPr>
          <w:b/>
          <w:bCs/>
          <w:noProof/>
          <w:sz w:val="24"/>
          <w:szCs w:val="24"/>
        </w:rPr>
      </w:pPr>
      <w:r w:rsidRPr="00C32BD2">
        <w:rPr>
          <w:b/>
          <w:bCs/>
          <w:noProof/>
          <w:sz w:val="24"/>
          <w:szCs w:val="24"/>
        </w:rPr>
        <w:t>Figure 2: Inflation values</w:t>
      </w:r>
    </w:p>
    <w:p w14:paraId="483BB8D9" w14:textId="353731FA" w:rsidR="007A15BC" w:rsidRPr="00C32BD2" w:rsidRDefault="007A15BC">
      <w:pPr>
        <w:spacing w:line="360" w:lineRule="auto"/>
        <w:jc w:val="center"/>
        <w:rPr>
          <w:noProof/>
          <w:sz w:val="24"/>
          <w:szCs w:val="24"/>
        </w:rPr>
      </w:pPr>
    </w:p>
    <w:p w14:paraId="362F3014" w14:textId="77777777" w:rsidR="007A15BC" w:rsidRPr="00C32BD2" w:rsidRDefault="00260D4B">
      <w:pPr>
        <w:spacing w:line="360" w:lineRule="auto"/>
        <w:rPr>
          <w:b/>
          <w:bCs/>
          <w:i/>
          <w:iCs/>
          <w:noProof/>
          <w:sz w:val="24"/>
          <w:szCs w:val="24"/>
        </w:rPr>
      </w:pPr>
      <w:r w:rsidRPr="00C32BD2">
        <w:rPr>
          <w:noProof/>
        </w:rPr>
        <w:br w:type="page"/>
      </w:r>
    </w:p>
    <w:p w14:paraId="4B544189" w14:textId="77777777" w:rsidR="007A15BC" w:rsidRPr="00C32BD2" w:rsidRDefault="00260D4B">
      <w:pPr>
        <w:pStyle w:val="Heading2"/>
        <w:rPr>
          <w:noProof/>
        </w:rPr>
      </w:pPr>
      <w:bookmarkStart w:id="6" w:name="_3nc1fwhfqxrv" w:colFirst="0" w:colLast="0"/>
      <w:bookmarkStart w:id="7" w:name="_Toc214633292"/>
      <w:bookmarkEnd w:id="6"/>
      <w:r w:rsidRPr="00C32BD2">
        <w:rPr>
          <w:noProof/>
        </w:rPr>
        <w:lastRenderedPageBreak/>
        <w:t>2.2 SWOT</w:t>
      </w:r>
      <w:bookmarkEnd w:id="7"/>
      <w:r w:rsidRPr="00C32BD2">
        <w:rPr>
          <w:noProof/>
        </w:rPr>
        <w:t xml:space="preserve"> </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A15BC" w:rsidRPr="00C32BD2" w14:paraId="7E77DCE5" w14:textId="77777777">
        <w:tc>
          <w:tcPr>
            <w:tcW w:w="4514" w:type="dxa"/>
            <w:shd w:val="clear" w:color="auto" w:fill="FFF2CC"/>
            <w:tcMar>
              <w:top w:w="100" w:type="dxa"/>
              <w:left w:w="100" w:type="dxa"/>
              <w:bottom w:w="100" w:type="dxa"/>
              <w:right w:w="100" w:type="dxa"/>
            </w:tcMar>
          </w:tcPr>
          <w:p w14:paraId="7A630F8A" w14:textId="77777777" w:rsidR="007A15BC" w:rsidRPr="00C32BD2" w:rsidRDefault="00260D4B">
            <w:pPr>
              <w:widowControl w:val="0"/>
              <w:pBdr>
                <w:top w:val="nil"/>
                <w:left w:val="nil"/>
                <w:bottom w:val="nil"/>
                <w:right w:val="nil"/>
                <w:between w:val="nil"/>
              </w:pBdr>
              <w:spacing w:line="360" w:lineRule="auto"/>
              <w:jc w:val="center"/>
              <w:rPr>
                <w:b/>
                <w:bCs/>
                <w:noProof/>
                <w:sz w:val="24"/>
                <w:szCs w:val="24"/>
              </w:rPr>
            </w:pPr>
            <w:r w:rsidRPr="00C32BD2">
              <w:rPr>
                <w:b/>
                <w:bCs/>
                <w:noProof/>
                <w:sz w:val="24"/>
                <w:szCs w:val="24"/>
              </w:rPr>
              <w:t>Strengths</w:t>
            </w:r>
          </w:p>
          <w:p w14:paraId="45581B1E" w14:textId="77777777" w:rsidR="007A15BC" w:rsidRPr="00C32BD2" w:rsidRDefault="00260D4B">
            <w:pPr>
              <w:widowControl w:val="0"/>
              <w:numPr>
                <w:ilvl w:val="0"/>
                <w:numId w:val="8"/>
              </w:numPr>
              <w:pBdr>
                <w:top w:val="nil"/>
                <w:left w:val="nil"/>
                <w:bottom w:val="nil"/>
                <w:right w:val="nil"/>
                <w:between w:val="nil"/>
              </w:pBdr>
              <w:spacing w:line="360" w:lineRule="auto"/>
              <w:jc w:val="both"/>
              <w:rPr>
                <w:noProof/>
                <w:sz w:val="24"/>
                <w:szCs w:val="24"/>
              </w:rPr>
            </w:pPr>
            <w:r w:rsidRPr="00C32BD2">
              <w:rPr>
                <w:noProof/>
                <w:sz w:val="24"/>
                <w:szCs w:val="24"/>
              </w:rPr>
              <w:t>Growing demand estimated from registration of approx</w:t>
            </w:r>
            <w:r w:rsidR="00B94816" w:rsidRPr="00C32BD2">
              <w:rPr>
                <w:noProof/>
                <w:sz w:val="24"/>
                <w:szCs w:val="24"/>
              </w:rPr>
              <w:t>imately</w:t>
            </w:r>
            <w:r w:rsidRPr="00C32BD2">
              <w:rPr>
                <w:noProof/>
                <w:sz w:val="24"/>
                <w:szCs w:val="24"/>
              </w:rPr>
              <w:t xml:space="preserve"> 386,244 BEV units as of 2025 (SMMT, 2025)</w:t>
            </w:r>
          </w:p>
          <w:p w14:paraId="60151CA5" w14:textId="77777777" w:rsidR="007A15BC" w:rsidRPr="00C32BD2" w:rsidRDefault="00260D4B">
            <w:pPr>
              <w:widowControl w:val="0"/>
              <w:numPr>
                <w:ilvl w:val="0"/>
                <w:numId w:val="8"/>
              </w:numPr>
              <w:pBdr>
                <w:top w:val="nil"/>
                <w:left w:val="nil"/>
                <w:bottom w:val="nil"/>
                <w:right w:val="nil"/>
                <w:between w:val="nil"/>
              </w:pBdr>
              <w:spacing w:line="360" w:lineRule="auto"/>
              <w:jc w:val="both"/>
              <w:rPr>
                <w:noProof/>
                <w:sz w:val="24"/>
                <w:szCs w:val="24"/>
              </w:rPr>
            </w:pPr>
            <w:r w:rsidRPr="00C32BD2">
              <w:rPr>
                <w:noProof/>
                <w:sz w:val="24"/>
                <w:szCs w:val="24"/>
              </w:rPr>
              <w:t>Low costs associated with elimination of fuel purchase for customers</w:t>
            </w:r>
          </w:p>
        </w:tc>
        <w:tc>
          <w:tcPr>
            <w:tcW w:w="4514" w:type="dxa"/>
            <w:shd w:val="clear" w:color="auto" w:fill="E06666"/>
            <w:tcMar>
              <w:top w:w="100" w:type="dxa"/>
              <w:left w:w="100" w:type="dxa"/>
              <w:bottom w:w="100" w:type="dxa"/>
              <w:right w:w="100" w:type="dxa"/>
            </w:tcMar>
          </w:tcPr>
          <w:p w14:paraId="24F8E279" w14:textId="77777777" w:rsidR="007A15BC" w:rsidRPr="00C32BD2" w:rsidRDefault="00260D4B">
            <w:pPr>
              <w:widowControl w:val="0"/>
              <w:pBdr>
                <w:top w:val="nil"/>
                <w:left w:val="nil"/>
                <w:bottom w:val="nil"/>
                <w:right w:val="nil"/>
                <w:between w:val="nil"/>
              </w:pBdr>
              <w:spacing w:line="360" w:lineRule="auto"/>
              <w:jc w:val="center"/>
              <w:rPr>
                <w:b/>
                <w:bCs/>
                <w:noProof/>
                <w:sz w:val="24"/>
                <w:szCs w:val="24"/>
              </w:rPr>
            </w:pPr>
            <w:r w:rsidRPr="00C32BD2">
              <w:rPr>
                <w:b/>
                <w:bCs/>
                <w:noProof/>
                <w:sz w:val="24"/>
                <w:szCs w:val="24"/>
              </w:rPr>
              <w:t>Weaknesses</w:t>
            </w:r>
          </w:p>
          <w:p w14:paraId="7B151172" w14:textId="77777777" w:rsidR="007A15BC" w:rsidRPr="00C32BD2" w:rsidRDefault="00260D4B">
            <w:pPr>
              <w:widowControl w:val="0"/>
              <w:numPr>
                <w:ilvl w:val="0"/>
                <w:numId w:val="9"/>
              </w:numPr>
              <w:pBdr>
                <w:top w:val="nil"/>
                <w:left w:val="nil"/>
                <w:bottom w:val="nil"/>
                <w:right w:val="nil"/>
                <w:between w:val="nil"/>
              </w:pBdr>
              <w:spacing w:line="360" w:lineRule="auto"/>
              <w:jc w:val="both"/>
              <w:rPr>
                <w:noProof/>
                <w:sz w:val="24"/>
                <w:szCs w:val="24"/>
              </w:rPr>
            </w:pPr>
            <w:r w:rsidRPr="00C32BD2">
              <w:rPr>
                <w:noProof/>
                <w:sz w:val="24"/>
                <w:szCs w:val="24"/>
              </w:rPr>
              <w:t>High prices</w:t>
            </w:r>
          </w:p>
          <w:p w14:paraId="724B4C48" w14:textId="77777777" w:rsidR="007A15BC" w:rsidRPr="00C32BD2" w:rsidRDefault="00260D4B">
            <w:pPr>
              <w:widowControl w:val="0"/>
              <w:numPr>
                <w:ilvl w:val="0"/>
                <w:numId w:val="9"/>
              </w:numPr>
              <w:pBdr>
                <w:top w:val="nil"/>
                <w:left w:val="nil"/>
                <w:bottom w:val="nil"/>
                <w:right w:val="nil"/>
                <w:between w:val="nil"/>
              </w:pBdr>
              <w:spacing w:line="360" w:lineRule="auto"/>
              <w:jc w:val="both"/>
              <w:rPr>
                <w:noProof/>
                <w:sz w:val="24"/>
                <w:szCs w:val="24"/>
              </w:rPr>
            </w:pPr>
            <w:r w:rsidRPr="00C32BD2">
              <w:rPr>
                <w:noProof/>
                <w:sz w:val="24"/>
                <w:szCs w:val="24"/>
              </w:rPr>
              <w:t>As of October 2025, only 44,142 charging points were present in the UK (Zapmap, 2025)</w:t>
            </w:r>
          </w:p>
          <w:p w14:paraId="4DBA4863" w14:textId="77777777" w:rsidR="007A15BC" w:rsidRPr="00C32BD2" w:rsidRDefault="007A15BC">
            <w:pPr>
              <w:widowControl w:val="0"/>
              <w:pBdr>
                <w:top w:val="nil"/>
                <w:left w:val="nil"/>
                <w:bottom w:val="nil"/>
                <w:right w:val="nil"/>
                <w:between w:val="nil"/>
              </w:pBdr>
              <w:spacing w:line="360" w:lineRule="auto"/>
              <w:rPr>
                <w:b/>
                <w:bCs/>
                <w:noProof/>
                <w:sz w:val="24"/>
                <w:szCs w:val="24"/>
              </w:rPr>
            </w:pPr>
          </w:p>
        </w:tc>
      </w:tr>
      <w:tr w:rsidR="007A15BC" w:rsidRPr="00C32BD2" w14:paraId="21EC884C" w14:textId="77777777">
        <w:tc>
          <w:tcPr>
            <w:tcW w:w="4514" w:type="dxa"/>
            <w:shd w:val="clear" w:color="auto" w:fill="FFE599"/>
            <w:tcMar>
              <w:top w:w="100" w:type="dxa"/>
              <w:left w:w="100" w:type="dxa"/>
              <w:bottom w:w="100" w:type="dxa"/>
              <w:right w:w="100" w:type="dxa"/>
            </w:tcMar>
          </w:tcPr>
          <w:p w14:paraId="576242B6" w14:textId="77777777" w:rsidR="007A15BC" w:rsidRPr="00C32BD2" w:rsidRDefault="00260D4B">
            <w:pPr>
              <w:widowControl w:val="0"/>
              <w:pBdr>
                <w:top w:val="nil"/>
                <w:left w:val="nil"/>
                <w:bottom w:val="nil"/>
                <w:right w:val="nil"/>
                <w:between w:val="nil"/>
              </w:pBdr>
              <w:spacing w:line="360" w:lineRule="auto"/>
              <w:jc w:val="center"/>
              <w:rPr>
                <w:b/>
                <w:bCs/>
                <w:noProof/>
                <w:sz w:val="24"/>
                <w:szCs w:val="24"/>
              </w:rPr>
            </w:pPr>
            <w:r w:rsidRPr="00C32BD2">
              <w:rPr>
                <w:b/>
                <w:bCs/>
                <w:noProof/>
                <w:sz w:val="24"/>
                <w:szCs w:val="24"/>
              </w:rPr>
              <w:t>Opportunities</w:t>
            </w:r>
          </w:p>
          <w:p w14:paraId="6FA63454" w14:textId="77777777" w:rsidR="007A15BC" w:rsidRPr="00C32BD2" w:rsidRDefault="00260D4B">
            <w:pPr>
              <w:widowControl w:val="0"/>
              <w:numPr>
                <w:ilvl w:val="0"/>
                <w:numId w:val="4"/>
              </w:numPr>
              <w:pBdr>
                <w:top w:val="nil"/>
                <w:left w:val="nil"/>
                <w:bottom w:val="nil"/>
                <w:right w:val="nil"/>
                <w:between w:val="nil"/>
              </w:pBdr>
              <w:spacing w:line="360" w:lineRule="auto"/>
              <w:rPr>
                <w:noProof/>
                <w:sz w:val="24"/>
                <w:szCs w:val="24"/>
              </w:rPr>
            </w:pPr>
            <w:r w:rsidRPr="00C32BD2">
              <w:rPr>
                <w:noProof/>
                <w:sz w:val="24"/>
                <w:szCs w:val="24"/>
              </w:rPr>
              <w:t>Government ownership subsidies paid</w:t>
            </w:r>
          </w:p>
          <w:p w14:paraId="56327027" w14:textId="77777777" w:rsidR="007A15BC" w:rsidRPr="00C32BD2" w:rsidRDefault="00260D4B">
            <w:pPr>
              <w:widowControl w:val="0"/>
              <w:numPr>
                <w:ilvl w:val="0"/>
                <w:numId w:val="4"/>
              </w:numPr>
              <w:pBdr>
                <w:top w:val="nil"/>
                <w:left w:val="nil"/>
                <w:bottom w:val="nil"/>
                <w:right w:val="nil"/>
                <w:between w:val="nil"/>
              </w:pBdr>
              <w:spacing w:line="360" w:lineRule="auto"/>
              <w:rPr>
                <w:noProof/>
                <w:sz w:val="24"/>
                <w:szCs w:val="24"/>
              </w:rPr>
            </w:pPr>
            <w:r w:rsidRPr="00C32BD2">
              <w:rPr>
                <w:noProof/>
                <w:sz w:val="24"/>
                <w:szCs w:val="24"/>
              </w:rPr>
              <w:t>Opportunity of replacing internal combustion vehicles</w:t>
            </w:r>
          </w:p>
        </w:tc>
        <w:tc>
          <w:tcPr>
            <w:tcW w:w="4514" w:type="dxa"/>
            <w:shd w:val="clear" w:color="auto" w:fill="F4CCCC"/>
            <w:tcMar>
              <w:top w:w="100" w:type="dxa"/>
              <w:left w:w="100" w:type="dxa"/>
              <w:bottom w:w="100" w:type="dxa"/>
              <w:right w:w="100" w:type="dxa"/>
            </w:tcMar>
          </w:tcPr>
          <w:p w14:paraId="680568E6" w14:textId="77777777" w:rsidR="007A15BC" w:rsidRPr="00C32BD2" w:rsidRDefault="00260D4B">
            <w:pPr>
              <w:widowControl w:val="0"/>
              <w:pBdr>
                <w:top w:val="nil"/>
                <w:left w:val="nil"/>
                <w:bottom w:val="nil"/>
                <w:right w:val="nil"/>
                <w:between w:val="nil"/>
              </w:pBdr>
              <w:spacing w:line="360" w:lineRule="auto"/>
              <w:jc w:val="center"/>
              <w:rPr>
                <w:b/>
                <w:bCs/>
                <w:noProof/>
                <w:sz w:val="24"/>
                <w:szCs w:val="24"/>
              </w:rPr>
            </w:pPr>
            <w:r w:rsidRPr="00C32BD2">
              <w:rPr>
                <w:b/>
                <w:bCs/>
                <w:noProof/>
                <w:sz w:val="24"/>
                <w:szCs w:val="24"/>
              </w:rPr>
              <w:t>Threats</w:t>
            </w:r>
          </w:p>
          <w:p w14:paraId="32962C80" w14:textId="77777777" w:rsidR="007A15BC" w:rsidRPr="00C32BD2" w:rsidRDefault="00260D4B">
            <w:pPr>
              <w:widowControl w:val="0"/>
              <w:numPr>
                <w:ilvl w:val="0"/>
                <w:numId w:val="5"/>
              </w:numPr>
              <w:pBdr>
                <w:top w:val="nil"/>
                <w:left w:val="nil"/>
                <w:bottom w:val="nil"/>
                <w:right w:val="nil"/>
                <w:between w:val="nil"/>
              </w:pBdr>
              <w:spacing w:line="360" w:lineRule="auto"/>
              <w:rPr>
                <w:noProof/>
                <w:sz w:val="24"/>
                <w:szCs w:val="24"/>
              </w:rPr>
            </w:pPr>
            <w:r w:rsidRPr="00C32BD2">
              <w:rPr>
                <w:noProof/>
                <w:sz w:val="24"/>
                <w:szCs w:val="24"/>
              </w:rPr>
              <w:t>Excessive electricity usage</w:t>
            </w:r>
          </w:p>
          <w:p w14:paraId="46360863" w14:textId="77777777" w:rsidR="007A15BC" w:rsidRPr="00C32BD2" w:rsidRDefault="00260D4B">
            <w:pPr>
              <w:widowControl w:val="0"/>
              <w:numPr>
                <w:ilvl w:val="0"/>
                <w:numId w:val="5"/>
              </w:numPr>
              <w:pBdr>
                <w:top w:val="nil"/>
                <w:left w:val="nil"/>
                <w:bottom w:val="nil"/>
                <w:right w:val="nil"/>
                <w:between w:val="nil"/>
              </w:pBdr>
              <w:spacing w:line="360" w:lineRule="auto"/>
              <w:rPr>
                <w:noProof/>
                <w:sz w:val="24"/>
                <w:szCs w:val="24"/>
              </w:rPr>
            </w:pPr>
            <w:r w:rsidRPr="00C32BD2">
              <w:rPr>
                <w:noProof/>
                <w:sz w:val="24"/>
                <w:szCs w:val="24"/>
              </w:rPr>
              <w:t>Highly competitive market</w:t>
            </w:r>
          </w:p>
        </w:tc>
      </w:tr>
    </w:tbl>
    <w:p w14:paraId="0A358648" w14:textId="77777777" w:rsidR="007A15BC" w:rsidRPr="00C32BD2" w:rsidRDefault="00260D4B">
      <w:pPr>
        <w:spacing w:line="360" w:lineRule="auto"/>
        <w:jc w:val="center"/>
        <w:rPr>
          <w:b/>
          <w:bCs/>
          <w:noProof/>
          <w:sz w:val="24"/>
          <w:szCs w:val="24"/>
        </w:rPr>
      </w:pPr>
      <w:r w:rsidRPr="00C32BD2">
        <w:rPr>
          <w:b/>
          <w:bCs/>
          <w:noProof/>
          <w:sz w:val="24"/>
          <w:szCs w:val="24"/>
        </w:rPr>
        <w:t xml:space="preserve">Table 2: SWOT </w:t>
      </w:r>
    </w:p>
    <w:p w14:paraId="426D3440" w14:textId="77777777" w:rsidR="007A15BC" w:rsidRPr="00C32BD2" w:rsidRDefault="00260D4B">
      <w:pPr>
        <w:spacing w:line="360" w:lineRule="auto"/>
        <w:rPr>
          <w:b/>
          <w:bCs/>
          <w:noProof/>
          <w:sz w:val="24"/>
          <w:szCs w:val="24"/>
        </w:rPr>
      </w:pPr>
      <w:r w:rsidRPr="00C32BD2">
        <w:rPr>
          <w:b/>
          <w:bCs/>
          <w:noProof/>
          <w:sz w:val="24"/>
          <w:szCs w:val="24"/>
        </w:rPr>
        <w:t>Analysis</w:t>
      </w:r>
    </w:p>
    <w:p w14:paraId="727A48A6" w14:textId="77777777" w:rsidR="007A15BC" w:rsidRPr="00C32BD2" w:rsidRDefault="00260D4B">
      <w:pPr>
        <w:spacing w:line="360" w:lineRule="auto"/>
        <w:jc w:val="both"/>
        <w:rPr>
          <w:noProof/>
          <w:sz w:val="24"/>
          <w:szCs w:val="24"/>
        </w:rPr>
      </w:pPr>
      <w:r w:rsidRPr="00C32BD2">
        <w:rPr>
          <w:noProof/>
          <w:sz w:val="24"/>
          <w:szCs w:val="24"/>
        </w:rPr>
        <w:t>The key strengths identified for the UK EV sector includes growing demands from consumers and low costs associated with replacement of fuels. The total registration rate of BEV units in the UK is increasing due to government incentives and grants to facilitate purchases. Contrarily, the growing prices of EV vehicles of commercially successful brands as well as poor charging infrastructure present challenges for sustained adoption. Only 44,142 charging stations were identified in the UK currently and the low number of stations impedes customers from purchases (Zapmap, 2025). The limited amount of charging stations would present the potential risk of running out of charge for EV vehicles during longer drive periods.</w:t>
      </w:r>
    </w:p>
    <w:p w14:paraId="5841FA7F" w14:textId="77777777" w:rsidR="007A15BC" w:rsidRPr="00C32BD2" w:rsidRDefault="00260D4B">
      <w:pPr>
        <w:spacing w:line="360" w:lineRule="auto"/>
        <w:jc w:val="center"/>
        <w:rPr>
          <w:b/>
          <w:bCs/>
          <w:noProof/>
          <w:sz w:val="24"/>
          <w:szCs w:val="24"/>
        </w:rPr>
      </w:pPr>
      <w:r w:rsidRPr="00C32BD2">
        <w:rPr>
          <w:b/>
          <w:bCs/>
          <w:noProof/>
          <w:sz w:val="24"/>
          <w:szCs w:val="24"/>
          <w:lang w:val="en-IN" w:eastAsia="en-IN"/>
        </w:rPr>
        <w:lastRenderedPageBreak/>
        <w:drawing>
          <wp:inline distT="114300" distB="114300" distL="114300" distR="114300" wp14:anchorId="386A5E09" wp14:editId="63A6488C">
            <wp:extent cx="5731200" cy="34417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441700"/>
                    </a:xfrm>
                    <a:prstGeom prst="rect">
                      <a:avLst/>
                    </a:prstGeom>
                    <a:ln w="12700">
                      <a:solidFill>
                        <a:srgbClr val="000000"/>
                      </a:solidFill>
                      <a:prstDash val="solid"/>
                    </a:ln>
                  </pic:spPr>
                </pic:pic>
              </a:graphicData>
            </a:graphic>
          </wp:inline>
        </w:drawing>
      </w:r>
    </w:p>
    <w:p w14:paraId="7633AD14" w14:textId="77777777" w:rsidR="007A15BC" w:rsidRPr="00C32BD2" w:rsidRDefault="00260D4B">
      <w:pPr>
        <w:spacing w:line="360" w:lineRule="auto"/>
        <w:jc w:val="center"/>
        <w:rPr>
          <w:b/>
          <w:bCs/>
          <w:noProof/>
          <w:sz w:val="24"/>
          <w:szCs w:val="24"/>
        </w:rPr>
      </w:pPr>
      <w:r w:rsidRPr="00C32BD2">
        <w:rPr>
          <w:b/>
          <w:bCs/>
          <w:noProof/>
          <w:sz w:val="24"/>
          <w:szCs w:val="24"/>
        </w:rPr>
        <w:t>Figure 3: UK Public charge points</w:t>
      </w:r>
    </w:p>
    <w:p w14:paraId="3783DB64" w14:textId="5649F10C" w:rsidR="007A15BC" w:rsidRPr="00C32BD2" w:rsidRDefault="007A15BC">
      <w:pPr>
        <w:spacing w:line="360" w:lineRule="auto"/>
        <w:jc w:val="center"/>
        <w:rPr>
          <w:noProof/>
          <w:sz w:val="24"/>
          <w:szCs w:val="24"/>
        </w:rPr>
      </w:pPr>
    </w:p>
    <w:p w14:paraId="5884605F" w14:textId="77777777" w:rsidR="007A15BC" w:rsidRPr="00C32BD2" w:rsidRDefault="00260D4B">
      <w:pPr>
        <w:spacing w:line="360" w:lineRule="auto"/>
        <w:jc w:val="both"/>
        <w:rPr>
          <w:noProof/>
          <w:sz w:val="24"/>
          <w:szCs w:val="24"/>
        </w:rPr>
      </w:pPr>
      <w:r w:rsidRPr="00C32BD2">
        <w:rPr>
          <w:noProof/>
          <w:sz w:val="24"/>
          <w:szCs w:val="24"/>
        </w:rPr>
        <w:t xml:space="preserve">The opportunities promoting EV adoption include provision of government subsidies as well as replacement of internal combustion engines, significantly cutting down emission rates. As per Carey (2023) around 80% of cars sold include EV variants and have helped decrease PM 2.5 values by three quarters in recent times. On the contrary, the threat of growing competition is observed in the UK EV sector due to emergence of new brands amidst higher demand. Similarly, the risk of higher electricity usage driving up expenses of consumers and putting higher strain on the national eclectic grid is identified. Thus, the SWOT analysis identified the challenges of poor charging infrastructure, high prices and excessive electricity usage.   </w:t>
      </w:r>
    </w:p>
    <w:p w14:paraId="6971FC91" w14:textId="77777777" w:rsidR="007A15BC" w:rsidRPr="00C32BD2" w:rsidRDefault="00260D4B">
      <w:pPr>
        <w:pStyle w:val="Heading1"/>
        <w:rPr>
          <w:noProof/>
        </w:rPr>
      </w:pPr>
      <w:bookmarkStart w:id="8" w:name="_sji3z2i6p6me" w:colFirst="0" w:colLast="0"/>
      <w:bookmarkEnd w:id="8"/>
      <w:r w:rsidRPr="00C32BD2">
        <w:rPr>
          <w:noProof/>
        </w:rPr>
        <w:br w:type="page"/>
      </w:r>
    </w:p>
    <w:p w14:paraId="54F341A2" w14:textId="77777777" w:rsidR="007A15BC" w:rsidRPr="00C32BD2" w:rsidRDefault="00260D4B">
      <w:pPr>
        <w:pStyle w:val="Heading1"/>
        <w:rPr>
          <w:noProof/>
        </w:rPr>
      </w:pPr>
      <w:bookmarkStart w:id="9" w:name="_cdklm64nt4j5" w:colFirst="0" w:colLast="0"/>
      <w:bookmarkStart w:id="10" w:name="_Toc214633293"/>
      <w:bookmarkEnd w:id="9"/>
      <w:r w:rsidRPr="00C32BD2">
        <w:rPr>
          <w:noProof/>
        </w:rPr>
        <w:lastRenderedPageBreak/>
        <w:t>3. Innovation influencing technology infrastructure in EV sector</w:t>
      </w:r>
      <w:bookmarkEnd w:id="10"/>
      <w:r w:rsidRPr="00C32BD2">
        <w:rPr>
          <w:noProof/>
        </w:rPr>
        <w:t xml:space="preserve"> </w:t>
      </w:r>
    </w:p>
    <w:p w14:paraId="1329C077" w14:textId="77777777" w:rsidR="007A15BC" w:rsidRPr="00C32BD2" w:rsidRDefault="00260D4B">
      <w:pPr>
        <w:spacing w:line="360" w:lineRule="auto"/>
        <w:jc w:val="both"/>
        <w:rPr>
          <w:noProof/>
          <w:sz w:val="24"/>
          <w:szCs w:val="24"/>
        </w:rPr>
      </w:pPr>
      <w:r w:rsidRPr="00C32BD2">
        <w:rPr>
          <w:noProof/>
          <w:sz w:val="24"/>
          <w:szCs w:val="24"/>
        </w:rPr>
        <w:t xml:space="preserve">Innovative developments in areas of technology infrastructure in the UK EV sector have included V2G grid integration and implementation of </w:t>
      </w:r>
      <w:r w:rsidR="00B94816" w:rsidRPr="00C32BD2">
        <w:rPr>
          <w:noProof/>
          <w:sz w:val="24"/>
          <w:szCs w:val="24"/>
        </w:rPr>
        <w:t>solid-state</w:t>
      </w:r>
      <w:r w:rsidRPr="00C32BD2">
        <w:rPr>
          <w:noProof/>
          <w:sz w:val="24"/>
          <w:szCs w:val="24"/>
        </w:rPr>
        <w:t xml:space="preserve"> batteries to improve energy efficiency and retention. The policy supporting infrastructure development includes the UK EV grant policy offering government investments to support development of new EV innovations. The V2G grid innovation is best exemplified by the disruptive innovation theory as it states prioritisation of continuous improvement to emphasise creating new product categories. As per </w:t>
      </w:r>
      <w:r w:rsidRPr="00C32BD2">
        <w:rPr>
          <w:noProof/>
          <w:sz w:val="24"/>
          <w:szCs w:val="24"/>
          <w:highlight w:val="white"/>
        </w:rPr>
        <w:t xml:space="preserve">Mojumder </w:t>
      </w:r>
      <w:r w:rsidRPr="00C32BD2">
        <w:rPr>
          <w:i/>
          <w:iCs/>
          <w:noProof/>
          <w:sz w:val="24"/>
          <w:szCs w:val="24"/>
          <w:highlight w:val="white"/>
        </w:rPr>
        <w:t>et al.</w:t>
      </w:r>
      <w:r w:rsidRPr="00C32BD2">
        <w:rPr>
          <w:noProof/>
          <w:sz w:val="24"/>
          <w:szCs w:val="24"/>
          <w:highlight w:val="white"/>
        </w:rPr>
        <w:t xml:space="preserve"> </w:t>
      </w:r>
      <w:r w:rsidRPr="00C32BD2">
        <w:rPr>
          <w:noProof/>
          <w:sz w:val="24"/>
          <w:szCs w:val="24"/>
        </w:rPr>
        <w:t xml:space="preserve">(2022), V2G monitors power flow between grid and EV vehicle and supports bidirectional charging to revert excessive energy back to the grid. For example, Ford’s Charge Angels program helped facilitate repair for over 70,000 </w:t>
      </w:r>
      <w:r w:rsidR="00B94816" w:rsidRPr="00C32BD2">
        <w:rPr>
          <w:noProof/>
          <w:sz w:val="24"/>
          <w:szCs w:val="24"/>
        </w:rPr>
        <w:t>non-operational</w:t>
      </w:r>
      <w:r w:rsidRPr="00C32BD2">
        <w:rPr>
          <w:noProof/>
          <w:sz w:val="24"/>
          <w:szCs w:val="24"/>
        </w:rPr>
        <w:t xml:space="preserve"> stations and implemented V2G to maximise charge conservation (Powell and Johnson, p.8). Thus, the innovation is beneficial to support energy conservation and help market the low maintenance costs of EV vehicles.</w:t>
      </w:r>
    </w:p>
    <w:p w14:paraId="43C95C30" w14:textId="77777777" w:rsidR="007A15BC" w:rsidRPr="00C32BD2" w:rsidRDefault="00260D4B">
      <w:pPr>
        <w:spacing w:line="360" w:lineRule="auto"/>
        <w:jc w:val="both"/>
        <w:rPr>
          <w:noProof/>
          <w:sz w:val="24"/>
          <w:szCs w:val="24"/>
        </w:rPr>
      </w:pPr>
      <w:r w:rsidRPr="00C32BD2">
        <w:rPr>
          <w:noProof/>
          <w:sz w:val="24"/>
          <w:szCs w:val="24"/>
        </w:rPr>
        <w:t xml:space="preserve">The innovation of solid-state EV batteries have also influenced technology infrastructure in the UK and helped improve the quality of EV charging. The innovation is driven by the ZEV mandate policy of the UK that has set targets for sales of EV vehicles to propagate green transport. </w:t>
      </w:r>
      <w:r w:rsidR="00B94816" w:rsidRPr="00C32BD2">
        <w:rPr>
          <w:noProof/>
          <w:sz w:val="24"/>
          <w:szCs w:val="24"/>
        </w:rPr>
        <w:t>Solid-state</w:t>
      </w:r>
      <w:r w:rsidRPr="00C32BD2">
        <w:rPr>
          <w:noProof/>
          <w:sz w:val="24"/>
          <w:szCs w:val="24"/>
        </w:rPr>
        <w:t xml:space="preserve"> batteries use a solid electrolyte conductor rod, increasing energy density and cutting down charging times and preventing chances of short circuit due to separated cathode and anodes (Yu </w:t>
      </w:r>
      <w:r w:rsidRPr="00C32BD2">
        <w:rPr>
          <w:i/>
          <w:iCs/>
          <w:noProof/>
          <w:sz w:val="24"/>
          <w:szCs w:val="24"/>
        </w:rPr>
        <w:t xml:space="preserve">et al. </w:t>
      </w:r>
      <w:r w:rsidRPr="00C32BD2">
        <w:rPr>
          <w:noProof/>
          <w:sz w:val="24"/>
          <w:szCs w:val="24"/>
        </w:rPr>
        <w:t xml:space="preserve">2023). For example, a consortium of seven prominent British firms including the EV </w:t>
      </w:r>
      <w:r w:rsidR="00B94816" w:rsidRPr="00C32BD2">
        <w:rPr>
          <w:noProof/>
          <w:sz w:val="24"/>
          <w:szCs w:val="24"/>
        </w:rPr>
        <w:t>start up</w:t>
      </w:r>
      <w:r w:rsidRPr="00C32BD2">
        <w:rPr>
          <w:noProof/>
          <w:sz w:val="24"/>
          <w:szCs w:val="24"/>
        </w:rPr>
        <w:t xml:space="preserve"> Britishvolt has been formed to undertake a joint project of developing </w:t>
      </w:r>
      <w:r w:rsidR="00B94816" w:rsidRPr="00C32BD2">
        <w:rPr>
          <w:noProof/>
          <w:sz w:val="24"/>
          <w:szCs w:val="24"/>
        </w:rPr>
        <w:t>solid-state</w:t>
      </w:r>
      <w:r w:rsidRPr="00C32BD2">
        <w:rPr>
          <w:noProof/>
          <w:sz w:val="24"/>
          <w:szCs w:val="24"/>
        </w:rPr>
        <w:t xml:space="preserve"> batteries (Carey, 2021). The theory of open innovation is represented in the consortium as the companies utilise a joint resource pool to develop solid state batteries. The innovation shows infrastructure improvement as support for fast charging increases for </w:t>
      </w:r>
      <w:r w:rsidR="00B94816" w:rsidRPr="00C32BD2">
        <w:rPr>
          <w:noProof/>
          <w:sz w:val="24"/>
          <w:szCs w:val="24"/>
        </w:rPr>
        <w:t>solid-state</w:t>
      </w:r>
      <w:r w:rsidRPr="00C32BD2">
        <w:rPr>
          <w:noProof/>
          <w:sz w:val="24"/>
          <w:szCs w:val="24"/>
        </w:rPr>
        <w:t xml:space="preserve"> batteries due to significant reduction in latent heat generation.  </w:t>
      </w:r>
    </w:p>
    <w:p w14:paraId="1EE277CE" w14:textId="77777777" w:rsidR="007A15BC" w:rsidRPr="00C32BD2" w:rsidRDefault="00260D4B">
      <w:pPr>
        <w:pStyle w:val="Heading1"/>
        <w:rPr>
          <w:noProof/>
        </w:rPr>
      </w:pPr>
      <w:bookmarkStart w:id="11" w:name="_xv7kje7bu520" w:colFirst="0" w:colLast="0"/>
      <w:bookmarkEnd w:id="11"/>
      <w:r w:rsidRPr="00C32BD2">
        <w:rPr>
          <w:noProof/>
        </w:rPr>
        <w:br w:type="page"/>
      </w:r>
    </w:p>
    <w:p w14:paraId="711ACF8F" w14:textId="77777777" w:rsidR="007A15BC" w:rsidRPr="00C32BD2" w:rsidRDefault="00260D4B">
      <w:pPr>
        <w:pStyle w:val="Heading1"/>
        <w:rPr>
          <w:noProof/>
        </w:rPr>
      </w:pPr>
      <w:bookmarkStart w:id="12" w:name="_qowlgrot9yld" w:colFirst="0" w:colLast="0"/>
      <w:bookmarkStart w:id="13" w:name="_Toc214633294"/>
      <w:bookmarkEnd w:id="12"/>
      <w:r w:rsidRPr="00C32BD2">
        <w:rPr>
          <w:noProof/>
        </w:rPr>
        <w:lastRenderedPageBreak/>
        <w:t>4. Conclusion</w:t>
      </w:r>
      <w:bookmarkEnd w:id="13"/>
      <w:r w:rsidRPr="00C32BD2">
        <w:rPr>
          <w:noProof/>
        </w:rPr>
        <w:t xml:space="preserve"> </w:t>
      </w:r>
    </w:p>
    <w:p w14:paraId="2C9983DB" w14:textId="77777777" w:rsidR="007A15BC" w:rsidRPr="00C32BD2" w:rsidRDefault="00260D4B">
      <w:pPr>
        <w:spacing w:line="360" w:lineRule="auto"/>
        <w:jc w:val="both"/>
        <w:rPr>
          <w:noProof/>
          <w:sz w:val="24"/>
          <w:szCs w:val="24"/>
        </w:rPr>
      </w:pPr>
      <w:r w:rsidRPr="00C32BD2">
        <w:rPr>
          <w:noProof/>
          <w:sz w:val="24"/>
          <w:szCs w:val="24"/>
        </w:rPr>
        <w:t>It can be denoted that the EV industry in the UK is hindered by some nominal challenges yet is on an upward growth due to sustainable transportation adoption behaviours. The PESTLE analysis identified inflation and excise costs as the key challenges affecting consumer purchase intent for EV vehicles respectively. The SWOT analysis denoted that excessive electricity usage, poor charging infrastructure and a highly competitive environment impeded the growth of the EV industry in the UK. Thus, the recommendations aim to alleviate the challenges by urging public-private partnerships and EV purchase tax exemptions respectively.</w:t>
      </w:r>
    </w:p>
    <w:p w14:paraId="18643969" w14:textId="77777777" w:rsidR="007A15BC" w:rsidRPr="00C32BD2" w:rsidRDefault="00260D4B">
      <w:pPr>
        <w:pStyle w:val="Heading1"/>
        <w:rPr>
          <w:noProof/>
        </w:rPr>
      </w:pPr>
      <w:bookmarkStart w:id="14" w:name="_cwqvcv5vhzl4" w:colFirst="0" w:colLast="0"/>
      <w:bookmarkEnd w:id="14"/>
      <w:r w:rsidRPr="00C32BD2">
        <w:rPr>
          <w:noProof/>
        </w:rPr>
        <w:br w:type="page"/>
      </w:r>
    </w:p>
    <w:p w14:paraId="57FB243F" w14:textId="77777777" w:rsidR="007A15BC" w:rsidRPr="00C32BD2" w:rsidRDefault="00260D4B">
      <w:pPr>
        <w:pStyle w:val="Heading1"/>
        <w:rPr>
          <w:noProof/>
        </w:rPr>
      </w:pPr>
      <w:bookmarkStart w:id="15" w:name="_nqqk799ke8fa" w:colFirst="0" w:colLast="0"/>
      <w:bookmarkStart w:id="16" w:name="_Toc214633295"/>
      <w:bookmarkEnd w:id="15"/>
      <w:r w:rsidRPr="00C32BD2">
        <w:rPr>
          <w:noProof/>
        </w:rPr>
        <w:lastRenderedPageBreak/>
        <w:t>5. Recommendations in alignment with conclusion</w:t>
      </w:r>
      <w:bookmarkEnd w:id="16"/>
      <w:r w:rsidRPr="00C32BD2">
        <w:rPr>
          <w:noProof/>
        </w:rPr>
        <w:t xml:space="preserve"> </w:t>
      </w:r>
    </w:p>
    <w:p w14:paraId="58AA5A14" w14:textId="77777777" w:rsidR="007A15BC" w:rsidRPr="00C32BD2" w:rsidRDefault="00260D4B">
      <w:pPr>
        <w:numPr>
          <w:ilvl w:val="0"/>
          <w:numId w:val="10"/>
        </w:numPr>
        <w:spacing w:line="360" w:lineRule="auto"/>
        <w:rPr>
          <w:b/>
          <w:bCs/>
          <w:noProof/>
          <w:sz w:val="24"/>
          <w:szCs w:val="24"/>
        </w:rPr>
      </w:pPr>
      <w:r w:rsidRPr="00C32BD2">
        <w:rPr>
          <w:b/>
          <w:bCs/>
          <w:noProof/>
          <w:sz w:val="24"/>
          <w:szCs w:val="24"/>
        </w:rPr>
        <w:t>Public private partnerships to improve charging infrastructure</w:t>
      </w:r>
    </w:p>
    <w:p w14:paraId="1A4E9F43" w14:textId="77777777" w:rsidR="007A15BC" w:rsidRPr="00C32BD2" w:rsidRDefault="00260D4B">
      <w:pPr>
        <w:spacing w:line="360" w:lineRule="auto"/>
        <w:jc w:val="both"/>
        <w:rPr>
          <w:noProof/>
          <w:sz w:val="24"/>
          <w:szCs w:val="24"/>
        </w:rPr>
      </w:pPr>
      <w:r w:rsidRPr="00C32BD2">
        <w:rPr>
          <w:noProof/>
          <w:sz w:val="24"/>
          <w:szCs w:val="24"/>
        </w:rPr>
        <w:t>The challenge of poor grid infrastructure in the UK for EV vehicles can be improved by urging public-private partnerships. Public-private partnerships would be beneficial for both parties as private firms could offer capital resources and the government could help eliminate any bureaucratic hurdles identified. For example, public-private partnership has been used by Bolt to partner with the Indian government to implement over 36,000 plus charging stations across 1600 cities (Bolt, 2025). The example shows that public-private partnerships increase total resources for projects and helps improve the budget by utilising a shared capital pool. The recommendation supports sustainability and resilience by helping expand the existing grid and maximising sustainability via higher EV adoption. The strategy can be implemented by identifying UK firms that offer production and installation services for charging grids and providing government contracts for mass manufacturing. The newly manufactured units could be distributed to municipalities for localised construction to speed up infrastructure development.</w:t>
      </w:r>
    </w:p>
    <w:p w14:paraId="554099B1" w14:textId="77777777" w:rsidR="007A15BC" w:rsidRPr="00C32BD2" w:rsidRDefault="00260D4B">
      <w:pPr>
        <w:numPr>
          <w:ilvl w:val="0"/>
          <w:numId w:val="10"/>
        </w:numPr>
        <w:spacing w:line="360" w:lineRule="auto"/>
        <w:rPr>
          <w:b/>
          <w:bCs/>
          <w:noProof/>
          <w:sz w:val="24"/>
          <w:szCs w:val="24"/>
        </w:rPr>
      </w:pPr>
      <w:r w:rsidRPr="00C32BD2">
        <w:rPr>
          <w:b/>
          <w:bCs/>
          <w:noProof/>
          <w:sz w:val="24"/>
          <w:szCs w:val="24"/>
        </w:rPr>
        <w:t>Tax exemption to EV purchases</w:t>
      </w:r>
    </w:p>
    <w:p w14:paraId="2A54F8AA" w14:textId="77777777" w:rsidR="007A15BC" w:rsidRPr="00C32BD2" w:rsidRDefault="00260D4B">
      <w:pPr>
        <w:spacing w:line="360" w:lineRule="auto"/>
        <w:jc w:val="both"/>
        <w:rPr>
          <w:noProof/>
          <w:sz w:val="24"/>
          <w:szCs w:val="24"/>
        </w:rPr>
      </w:pPr>
      <w:r w:rsidRPr="00C32BD2">
        <w:rPr>
          <w:noProof/>
          <w:sz w:val="24"/>
          <w:szCs w:val="24"/>
        </w:rPr>
        <w:t>Tax exemption status could be provided to EV consumers in order to motivate higher purchase and mitigate the challenge of excessive EV costs in the UK. The recommendation supports competitiveness by offering incentives for automobile brands to increase production of EV units. Offering tax exemption to EV owners in the UK would help reduce personal financial liabilities, leading to increased rate of natural promotions of EV. Existing EV owners would be motivated by the tax exemption status to promote others into purchasing EV vehicles, acting as propagators of change.</w:t>
      </w:r>
    </w:p>
    <w:p w14:paraId="18D451AD" w14:textId="77777777" w:rsidR="007A15BC" w:rsidRDefault="00260D4B">
      <w:pPr>
        <w:spacing w:line="360" w:lineRule="auto"/>
        <w:jc w:val="both"/>
        <w:rPr>
          <w:noProof/>
          <w:sz w:val="24"/>
          <w:szCs w:val="24"/>
        </w:rPr>
      </w:pPr>
      <w:r w:rsidRPr="00C32BD2">
        <w:rPr>
          <w:noProof/>
          <w:sz w:val="24"/>
          <w:szCs w:val="24"/>
        </w:rPr>
        <w:t xml:space="preserve">For example, the Norwegian government has been a pioneer in facilitating tax exemption to attain its decarbonisation targets respectively. The VAT exemption amount for EV vehicles in Norway is currently applied for vehicles costing more than NOK 300,000 and is set to be completely eliminated by 2027 (Global Vat Compliance, 2025). The example shows that the UK government can also cut down VAT rates for EV vehicles, imploring consumers to opt for EV instead of internal combustion engine vehicles. Thus, the recommendation would require implementation of a fiscal change policy and require moderation on the total production units to prevent exploitation.  </w:t>
      </w:r>
    </w:p>
    <w:p w14:paraId="1E90B105" w14:textId="77777777" w:rsidR="006C4C9E" w:rsidRDefault="006C4C9E">
      <w:pPr>
        <w:spacing w:line="360" w:lineRule="auto"/>
        <w:jc w:val="both"/>
        <w:rPr>
          <w:noProof/>
          <w:sz w:val="24"/>
          <w:szCs w:val="24"/>
        </w:rPr>
      </w:pPr>
    </w:p>
    <w:p w14:paraId="5387DE8D" w14:textId="77777777" w:rsidR="006C4C9E" w:rsidRPr="00C32BD2" w:rsidRDefault="006C4C9E">
      <w:pPr>
        <w:spacing w:line="360" w:lineRule="auto"/>
        <w:jc w:val="both"/>
        <w:rPr>
          <w:b/>
          <w:bCs/>
          <w:noProof/>
          <w:sz w:val="24"/>
          <w:szCs w:val="24"/>
        </w:rPr>
      </w:pPr>
    </w:p>
    <w:p w14:paraId="244E0B01" w14:textId="77777777" w:rsidR="007A15BC" w:rsidRPr="00C32BD2" w:rsidRDefault="00260D4B">
      <w:pPr>
        <w:pStyle w:val="Heading1"/>
        <w:spacing w:before="200" w:after="200"/>
        <w:rPr>
          <w:noProof/>
        </w:rPr>
      </w:pPr>
      <w:bookmarkStart w:id="17" w:name="_yxjfgpx4m0t2" w:colFirst="0" w:colLast="0"/>
      <w:bookmarkStart w:id="18" w:name="_Toc214633296"/>
      <w:bookmarkEnd w:id="17"/>
      <w:r w:rsidRPr="00C32BD2">
        <w:rPr>
          <w:noProof/>
        </w:rPr>
        <w:lastRenderedPageBreak/>
        <w:t>Reference List</w:t>
      </w:r>
      <w:bookmarkEnd w:id="18"/>
    </w:p>
    <w:p w14:paraId="6108DED5"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Allan (2025) </w:t>
      </w:r>
      <w:r w:rsidRPr="00C32BD2">
        <w:rPr>
          <w:i/>
          <w:iCs/>
          <w:noProof/>
          <w:color w:val="000000" w:themeColor="text1"/>
          <w:sz w:val="24"/>
          <w:szCs w:val="24"/>
        </w:rPr>
        <w:t>EV road tax guide.</w:t>
      </w:r>
      <w:r w:rsidRPr="00C32BD2">
        <w:rPr>
          <w:noProof/>
          <w:color w:val="000000" w:themeColor="text1"/>
          <w:sz w:val="24"/>
          <w:szCs w:val="24"/>
        </w:rPr>
        <w:t xml:space="preserve"> Available at: </w:t>
      </w:r>
      <w:hyperlink r:id="rId11">
        <w:r w:rsidRPr="00C32BD2">
          <w:rPr>
            <w:noProof/>
            <w:color w:val="000000" w:themeColor="text1"/>
            <w:sz w:val="24"/>
            <w:szCs w:val="24"/>
            <w:u w:val="single"/>
          </w:rPr>
          <w:t>https://www.rac.co.uk/drive/electric-cars/running/electric-car-road-tax-guide-do-i-need-to-pay/</w:t>
        </w:r>
      </w:hyperlink>
      <w:r w:rsidRPr="00C32BD2">
        <w:rPr>
          <w:noProof/>
          <w:color w:val="000000" w:themeColor="text1"/>
          <w:sz w:val="24"/>
          <w:szCs w:val="24"/>
        </w:rPr>
        <w:t xml:space="preserve"> (Accessed: 21 November 2025).</w:t>
      </w:r>
    </w:p>
    <w:p w14:paraId="2C59776F" w14:textId="77777777" w:rsidR="00EE065E" w:rsidRPr="00C32BD2" w:rsidRDefault="00EE065E">
      <w:pPr>
        <w:spacing w:before="200" w:after="200" w:line="360" w:lineRule="auto"/>
        <w:jc w:val="both"/>
        <w:rPr>
          <w:b/>
          <w:bCs/>
          <w:noProof/>
          <w:color w:val="000000" w:themeColor="text1"/>
          <w:sz w:val="24"/>
          <w:szCs w:val="24"/>
        </w:rPr>
      </w:pPr>
      <w:r w:rsidRPr="00C32BD2">
        <w:rPr>
          <w:noProof/>
          <w:color w:val="000000" w:themeColor="text1"/>
          <w:sz w:val="24"/>
          <w:szCs w:val="24"/>
        </w:rPr>
        <w:t xml:space="preserve">Bolt (2025) </w:t>
      </w:r>
      <w:r w:rsidRPr="00C32BD2">
        <w:rPr>
          <w:i/>
          <w:iCs/>
          <w:noProof/>
          <w:color w:val="000000" w:themeColor="text1"/>
          <w:sz w:val="24"/>
          <w:szCs w:val="24"/>
        </w:rPr>
        <w:t>Our Story.</w:t>
      </w:r>
      <w:r w:rsidRPr="00C32BD2">
        <w:rPr>
          <w:noProof/>
          <w:color w:val="000000" w:themeColor="text1"/>
          <w:sz w:val="24"/>
          <w:szCs w:val="24"/>
        </w:rPr>
        <w:t xml:space="preserve"> Available at: </w:t>
      </w:r>
      <w:hyperlink r:id="rId12">
        <w:r w:rsidRPr="00C32BD2">
          <w:rPr>
            <w:noProof/>
            <w:color w:val="000000" w:themeColor="text1"/>
            <w:sz w:val="24"/>
            <w:szCs w:val="24"/>
            <w:u w:val="single"/>
          </w:rPr>
          <w:t>https://bolt.earth/our-story?srsltid=AfmBOopgbw_fCvcZfVWwbcQel7De9OiGCslDqUbm_gGTmJWTZ_eJJuiA</w:t>
        </w:r>
      </w:hyperlink>
      <w:r w:rsidRPr="00C32BD2">
        <w:rPr>
          <w:noProof/>
          <w:color w:val="000000" w:themeColor="text1"/>
          <w:sz w:val="24"/>
          <w:szCs w:val="24"/>
        </w:rPr>
        <w:t xml:space="preserve"> (Accessed: 21 November 2025).</w:t>
      </w:r>
    </w:p>
    <w:p w14:paraId="7F479FEF" w14:textId="77777777" w:rsidR="00EE065E" w:rsidRPr="00C32BD2" w:rsidRDefault="00EE065E">
      <w:pPr>
        <w:spacing w:before="200" w:after="200" w:line="360" w:lineRule="auto"/>
        <w:jc w:val="both"/>
        <w:rPr>
          <w:noProof/>
          <w:color w:val="000000" w:themeColor="text1"/>
          <w:sz w:val="24"/>
          <w:szCs w:val="24"/>
          <w:highlight w:val="white"/>
        </w:rPr>
      </w:pPr>
      <w:r w:rsidRPr="00C32BD2">
        <w:rPr>
          <w:noProof/>
          <w:color w:val="000000" w:themeColor="text1"/>
          <w:sz w:val="24"/>
          <w:szCs w:val="24"/>
          <w:highlight w:val="white"/>
        </w:rPr>
        <w:t xml:space="preserve">Carey (2021) </w:t>
      </w:r>
      <w:r w:rsidRPr="00C32BD2">
        <w:rPr>
          <w:i/>
          <w:iCs/>
          <w:noProof/>
          <w:color w:val="000000" w:themeColor="text1"/>
          <w:sz w:val="24"/>
          <w:szCs w:val="24"/>
          <w:highlight w:val="white"/>
        </w:rPr>
        <w:t xml:space="preserve">British Consortium formed to develop solid state EV batteries. </w:t>
      </w:r>
      <w:r w:rsidRPr="00C32BD2">
        <w:rPr>
          <w:noProof/>
          <w:color w:val="000000" w:themeColor="text1"/>
          <w:sz w:val="24"/>
          <w:szCs w:val="24"/>
          <w:highlight w:val="white"/>
        </w:rPr>
        <w:t xml:space="preserve">Available at: </w:t>
      </w:r>
      <w:hyperlink r:id="rId13">
        <w:r w:rsidRPr="00C32BD2">
          <w:rPr>
            <w:noProof/>
            <w:color w:val="000000" w:themeColor="text1"/>
            <w:sz w:val="24"/>
            <w:szCs w:val="24"/>
            <w:highlight w:val="white"/>
            <w:u w:val="single"/>
          </w:rPr>
          <w:t>https://www.reuters.com/technology/british-consortium-formed-develop-solid-state-ev-batteries-2021-08-18/</w:t>
        </w:r>
      </w:hyperlink>
      <w:r w:rsidRPr="00C32BD2">
        <w:rPr>
          <w:noProof/>
          <w:color w:val="000000" w:themeColor="text1"/>
          <w:sz w:val="24"/>
          <w:szCs w:val="24"/>
          <w:highlight w:val="white"/>
        </w:rPr>
        <w:t xml:space="preserve"> </w:t>
      </w:r>
      <w:r w:rsidRPr="00C32BD2">
        <w:rPr>
          <w:noProof/>
          <w:color w:val="000000" w:themeColor="text1"/>
          <w:sz w:val="24"/>
          <w:szCs w:val="24"/>
        </w:rPr>
        <w:t>(Accessed: 21 November 2025).</w:t>
      </w:r>
    </w:p>
    <w:p w14:paraId="79CF8004"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highlight w:val="white"/>
        </w:rPr>
        <w:t xml:space="preserve">Carey, J. (2023) ‘The other benefit of electric vehicles’. </w:t>
      </w:r>
      <w:r w:rsidRPr="00C32BD2">
        <w:rPr>
          <w:i/>
          <w:iCs/>
          <w:noProof/>
          <w:color w:val="000000" w:themeColor="text1"/>
          <w:sz w:val="24"/>
          <w:szCs w:val="24"/>
          <w:highlight w:val="white"/>
        </w:rPr>
        <w:t>Proceedings of the National Academy of Sciences</w:t>
      </w:r>
      <w:r w:rsidRPr="00C32BD2">
        <w:rPr>
          <w:noProof/>
          <w:color w:val="000000" w:themeColor="text1"/>
          <w:sz w:val="24"/>
          <w:szCs w:val="24"/>
          <w:highlight w:val="white"/>
        </w:rPr>
        <w:t xml:space="preserve">, </w:t>
      </w:r>
      <w:r w:rsidRPr="00C32BD2">
        <w:rPr>
          <w:i/>
          <w:iCs/>
          <w:noProof/>
          <w:color w:val="000000" w:themeColor="text1"/>
          <w:sz w:val="24"/>
          <w:szCs w:val="24"/>
          <w:highlight w:val="white"/>
        </w:rPr>
        <w:t>120</w:t>
      </w:r>
      <w:r w:rsidRPr="00C32BD2">
        <w:rPr>
          <w:noProof/>
          <w:color w:val="000000" w:themeColor="text1"/>
          <w:sz w:val="24"/>
          <w:szCs w:val="24"/>
          <w:highlight w:val="white"/>
        </w:rPr>
        <w:t xml:space="preserve">(3), p.e22. Available at: </w:t>
      </w:r>
      <w:hyperlink r:id="rId14">
        <w:r w:rsidRPr="00C32BD2">
          <w:rPr>
            <w:noProof/>
            <w:color w:val="000000" w:themeColor="text1"/>
            <w:sz w:val="24"/>
            <w:szCs w:val="24"/>
            <w:highlight w:val="white"/>
            <w:u w:val="single"/>
          </w:rPr>
          <w:t xml:space="preserve">https://doi.org/10.1073/pnas.2220923120 </w:t>
        </w:r>
      </w:hyperlink>
    </w:p>
    <w:p w14:paraId="286F24BF"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EV Boosters (2025) </w:t>
      </w:r>
      <w:r w:rsidRPr="00C32BD2">
        <w:rPr>
          <w:i/>
          <w:iCs/>
          <w:noProof/>
          <w:color w:val="000000" w:themeColor="text1"/>
          <w:sz w:val="24"/>
          <w:szCs w:val="24"/>
        </w:rPr>
        <w:t>Forecast EV Sales UK 2025 &amp; 2026, heading towards 28% BEV market share.</w:t>
      </w:r>
      <w:r w:rsidRPr="00C32BD2">
        <w:rPr>
          <w:noProof/>
          <w:color w:val="000000" w:themeColor="text1"/>
          <w:sz w:val="24"/>
          <w:szCs w:val="24"/>
        </w:rPr>
        <w:t xml:space="preserve"> Available at: </w:t>
      </w:r>
      <w:hyperlink r:id="rId15">
        <w:r w:rsidRPr="00C32BD2">
          <w:rPr>
            <w:noProof/>
            <w:color w:val="000000" w:themeColor="text1"/>
            <w:sz w:val="24"/>
            <w:szCs w:val="24"/>
            <w:u w:val="single"/>
          </w:rPr>
          <w:t>https://evboosters.com/ev-charging-news/forecast-ev-sales-uk-2025-2026-heading-towards-28-bev-marketshare/</w:t>
        </w:r>
      </w:hyperlink>
      <w:r w:rsidRPr="00C32BD2">
        <w:rPr>
          <w:noProof/>
          <w:color w:val="000000" w:themeColor="text1"/>
          <w:sz w:val="24"/>
          <w:szCs w:val="24"/>
        </w:rPr>
        <w:t xml:space="preserve"> (Accessed: 21 November 2025).</w:t>
      </w:r>
    </w:p>
    <w:p w14:paraId="4AE180A3"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EVA England (2025) </w:t>
      </w:r>
      <w:r w:rsidRPr="00C32BD2">
        <w:rPr>
          <w:i/>
          <w:iCs/>
          <w:noProof/>
          <w:color w:val="000000" w:themeColor="text1"/>
          <w:sz w:val="24"/>
          <w:szCs w:val="24"/>
        </w:rPr>
        <w:t>ZEV Mandate.</w:t>
      </w:r>
      <w:r w:rsidRPr="00C32BD2">
        <w:rPr>
          <w:noProof/>
          <w:color w:val="000000" w:themeColor="text1"/>
          <w:sz w:val="24"/>
          <w:szCs w:val="24"/>
        </w:rPr>
        <w:t xml:space="preserve"> Available at: </w:t>
      </w:r>
      <w:hyperlink r:id="rId16">
        <w:r w:rsidRPr="00C32BD2">
          <w:rPr>
            <w:noProof/>
            <w:color w:val="000000" w:themeColor="text1"/>
            <w:sz w:val="24"/>
            <w:szCs w:val="24"/>
            <w:u w:val="single"/>
          </w:rPr>
          <w:t>https://www.evaengland.org.uk/our-work/zev-mandate/</w:t>
        </w:r>
      </w:hyperlink>
      <w:r w:rsidRPr="00C32BD2">
        <w:rPr>
          <w:noProof/>
          <w:color w:val="000000" w:themeColor="text1"/>
          <w:sz w:val="24"/>
          <w:szCs w:val="24"/>
        </w:rPr>
        <w:t xml:space="preserve"> (Accessed: 21 November 2025).</w:t>
      </w:r>
    </w:p>
    <w:p w14:paraId="4810D178"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Global Vat Compliance (2025)</w:t>
      </w:r>
      <w:r w:rsidRPr="00C32BD2">
        <w:rPr>
          <w:i/>
          <w:iCs/>
          <w:noProof/>
          <w:color w:val="000000" w:themeColor="text1"/>
          <w:sz w:val="24"/>
          <w:szCs w:val="24"/>
        </w:rPr>
        <w:t xml:space="preserve"> Norway: National budget proposes gradual phase-out of VAT exemption for electric cars.</w:t>
      </w:r>
      <w:r w:rsidRPr="00C32BD2">
        <w:rPr>
          <w:noProof/>
          <w:color w:val="000000" w:themeColor="text1"/>
          <w:sz w:val="24"/>
          <w:szCs w:val="24"/>
        </w:rPr>
        <w:t xml:space="preserve"> Available at: </w:t>
      </w:r>
      <w:hyperlink r:id="rId17">
        <w:r w:rsidRPr="00C32BD2">
          <w:rPr>
            <w:noProof/>
            <w:color w:val="000000" w:themeColor="text1"/>
            <w:sz w:val="24"/>
            <w:szCs w:val="24"/>
            <w:u w:val="single"/>
          </w:rPr>
          <w:t>https://www.globalvatcompliance.com/globalvatnews/norway-electric-car-vat-exemption/</w:t>
        </w:r>
      </w:hyperlink>
      <w:r w:rsidRPr="00C32BD2">
        <w:rPr>
          <w:noProof/>
          <w:color w:val="000000" w:themeColor="text1"/>
          <w:sz w:val="24"/>
          <w:szCs w:val="24"/>
        </w:rPr>
        <w:t xml:space="preserve"> (Accessed: 21 November 2025).</w:t>
      </w:r>
    </w:p>
    <w:p w14:paraId="4840C3C8"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GOV UK (2025) </w:t>
      </w:r>
      <w:r w:rsidRPr="00C32BD2">
        <w:rPr>
          <w:i/>
          <w:iCs/>
          <w:noProof/>
          <w:color w:val="000000" w:themeColor="text1"/>
          <w:sz w:val="24"/>
          <w:szCs w:val="24"/>
        </w:rPr>
        <w:t>Environment Act 2021.</w:t>
      </w:r>
      <w:r w:rsidRPr="00C32BD2">
        <w:rPr>
          <w:noProof/>
          <w:color w:val="000000" w:themeColor="text1"/>
          <w:sz w:val="24"/>
          <w:szCs w:val="24"/>
        </w:rPr>
        <w:t xml:space="preserve"> Available at: </w:t>
      </w:r>
      <w:hyperlink r:id="rId18">
        <w:r w:rsidRPr="00C32BD2">
          <w:rPr>
            <w:noProof/>
            <w:color w:val="000000" w:themeColor="text1"/>
            <w:sz w:val="24"/>
            <w:szCs w:val="24"/>
            <w:u w:val="single"/>
          </w:rPr>
          <w:t>https://www.legislation.gov.uk/ukpga/2021/30/contents</w:t>
        </w:r>
      </w:hyperlink>
      <w:r w:rsidRPr="00C32BD2">
        <w:rPr>
          <w:noProof/>
          <w:color w:val="000000" w:themeColor="text1"/>
          <w:sz w:val="24"/>
          <w:szCs w:val="24"/>
        </w:rPr>
        <w:t xml:space="preserve"> (Accessed: 21 November 2025).</w:t>
      </w:r>
    </w:p>
    <w:p w14:paraId="77A3ABAA"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Hooker (2025) </w:t>
      </w:r>
      <w:r w:rsidRPr="00C32BD2">
        <w:rPr>
          <w:i/>
          <w:iCs/>
          <w:noProof/>
          <w:color w:val="000000" w:themeColor="text1"/>
          <w:sz w:val="24"/>
          <w:szCs w:val="24"/>
        </w:rPr>
        <w:t>UK Inflation rate hits lowest level in four months</w:t>
      </w:r>
      <w:r w:rsidRPr="00C32BD2">
        <w:rPr>
          <w:noProof/>
          <w:color w:val="000000" w:themeColor="text1"/>
          <w:sz w:val="24"/>
          <w:szCs w:val="24"/>
        </w:rPr>
        <w:t xml:space="preserve">. Available at: </w:t>
      </w:r>
      <w:hyperlink r:id="rId19">
        <w:r w:rsidRPr="00C32BD2">
          <w:rPr>
            <w:noProof/>
            <w:color w:val="000000" w:themeColor="text1"/>
            <w:sz w:val="24"/>
            <w:szCs w:val="24"/>
            <w:u w:val="single"/>
          </w:rPr>
          <w:t>https://www.bbc.com/news/articles/czxkvkwjl5eo</w:t>
        </w:r>
      </w:hyperlink>
      <w:r w:rsidRPr="00C32BD2">
        <w:rPr>
          <w:noProof/>
          <w:color w:val="000000" w:themeColor="text1"/>
          <w:sz w:val="24"/>
          <w:szCs w:val="24"/>
        </w:rPr>
        <w:t xml:space="preserve"> (Accessed: 21 November 2025).</w:t>
      </w:r>
    </w:p>
    <w:p w14:paraId="5CFD9B0F" w14:textId="77777777" w:rsidR="00EE065E" w:rsidRPr="00C32BD2" w:rsidRDefault="00EE065E">
      <w:pPr>
        <w:spacing w:before="200" w:after="200" w:line="360" w:lineRule="auto"/>
        <w:jc w:val="both"/>
        <w:rPr>
          <w:noProof/>
          <w:color w:val="000000" w:themeColor="text1"/>
          <w:sz w:val="24"/>
          <w:szCs w:val="24"/>
          <w:highlight w:val="white"/>
        </w:rPr>
      </w:pPr>
      <w:r w:rsidRPr="00C32BD2">
        <w:rPr>
          <w:noProof/>
          <w:color w:val="000000" w:themeColor="text1"/>
          <w:sz w:val="24"/>
          <w:szCs w:val="24"/>
          <w:highlight w:val="white"/>
        </w:rPr>
        <w:lastRenderedPageBreak/>
        <w:t xml:space="preserve">Mojumder, M.R.H., Ahmed Antara, F., Hasanuzzaman, M., Alamri, B. and Alsharef, M. (2022) ‘Electric vehicle-to-grid (V2G) technologies: Impact on the power grid and battery’. </w:t>
      </w:r>
      <w:r w:rsidRPr="00C32BD2">
        <w:rPr>
          <w:i/>
          <w:iCs/>
          <w:noProof/>
          <w:color w:val="000000" w:themeColor="text1"/>
          <w:sz w:val="24"/>
          <w:szCs w:val="24"/>
          <w:highlight w:val="white"/>
        </w:rPr>
        <w:t>Sustainability</w:t>
      </w:r>
      <w:r w:rsidRPr="00C32BD2">
        <w:rPr>
          <w:noProof/>
          <w:color w:val="000000" w:themeColor="text1"/>
          <w:sz w:val="24"/>
          <w:szCs w:val="24"/>
          <w:highlight w:val="white"/>
        </w:rPr>
        <w:t xml:space="preserve">, </w:t>
      </w:r>
      <w:r w:rsidRPr="00C32BD2">
        <w:rPr>
          <w:i/>
          <w:iCs/>
          <w:noProof/>
          <w:color w:val="000000" w:themeColor="text1"/>
          <w:sz w:val="24"/>
          <w:szCs w:val="24"/>
          <w:highlight w:val="white"/>
        </w:rPr>
        <w:t>14</w:t>
      </w:r>
      <w:r w:rsidRPr="00C32BD2">
        <w:rPr>
          <w:noProof/>
          <w:color w:val="000000" w:themeColor="text1"/>
          <w:sz w:val="24"/>
          <w:szCs w:val="24"/>
          <w:highlight w:val="white"/>
        </w:rPr>
        <w:t xml:space="preserve">(21), p.13856. Available at: </w:t>
      </w:r>
      <w:hyperlink r:id="rId20">
        <w:r w:rsidRPr="00C32BD2">
          <w:rPr>
            <w:noProof/>
            <w:color w:val="000000" w:themeColor="text1"/>
            <w:sz w:val="24"/>
            <w:szCs w:val="24"/>
            <w:highlight w:val="white"/>
            <w:u w:val="single"/>
          </w:rPr>
          <w:t>https://doi.org/10.3390/su142113856</w:t>
        </w:r>
      </w:hyperlink>
      <w:r w:rsidRPr="00C32BD2">
        <w:rPr>
          <w:noProof/>
          <w:color w:val="000000" w:themeColor="text1"/>
          <w:sz w:val="24"/>
          <w:szCs w:val="24"/>
          <w:highlight w:val="white"/>
        </w:rPr>
        <w:t xml:space="preserve"> </w:t>
      </w:r>
    </w:p>
    <w:p w14:paraId="0832637F"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ONS (2025) </w:t>
      </w:r>
      <w:r w:rsidRPr="00C32BD2">
        <w:rPr>
          <w:i/>
          <w:iCs/>
          <w:noProof/>
          <w:color w:val="000000" w:themeColor="text1"/>
          <w:sz w:val="24"/>
          <w:szCs w:val="24"/>
        </w:rPr>
        <w:t xml:space="preserve">Research and development expenditure. </w:t>
      </w:r>
      <w:r w:rsidRPr="00C32BD2">
        <w:rPr>
          <w:noProof/>
          <w:color w:val="000000" w:themeColor="text1"/>
          <w:sz w:val="24"/>
          <w:szCs w:val="24"/>
        </w:rPr>
        <w:t xml:space="preserve">Available at: </w:t>
      </w:r>
      <w:hyperlink r:id="rId21">
        <w:r w:rsidRPr="00C32BD2">
          <w:rPr>
            <w:noProof/>
            <w:color w:val="000000" w:themeColor="text1"/>
            <w:sz w:val="24"/>
            <w:szCs w:val="24"/>
            <w:u w:val="single"/>
          </w:rPr>
          <w:t>https://www.ons.gov.uk/economy/governmentpublicsectorandtaxes/researchanddevelopmentexpenditure</w:t>
        </w:r>
      </w:hyperlink>
      <w:r w:rsidRPr="00C32BD2">
        <w:rPr>
          <w:noProof/>
          <w:color w:val="000000" w:themeColor="text1"/>
          <w:sz w:val="24"/>
          <w:szCs w:val="24"/>
        </w:rPr>
        <w:t xml:space="preserve"> (Accessed: 21 November 2025). </w:t>
      </w:r>
    </w:p>
    <w:p w14:paraId="101FB8D6" w14:textId="77777777" w:rsidR="00EE065E" w:rsidRPr="00C32BD2" w:rsidRDefault="00EE065E">
      <w:pPr>
        <w:spacing w:before="200" w:after="200" w:line="360" w:lineRule="auto"/>
        <w:jc w:val="both"/>
        <w:rPr>
          <w:noProof/>
          <w:color w:val="000000" w:themeColor="text1"/>
          <w:sz w:val="28"/>
          <w:szCs w:val="28"/>
          <w:highlight w:val="white"/>
        </w:rPr>
      </w:pPr>
      <w:r w:rsidRPr="00C32BD2">
        <w:rPr>
          <w:noProof/>
          <w:color w:val="000000" w:themeColor="text1"/>
          <w:sz w:val="24"/>
          <w:szCs w:val="24"/>
          <w:highlight w:val="white"/>
        </w:rPr>
        <w:t>Powell, B. and Johnson, C. (2024) ‘</w:t>
      </w:r>
      <w:r w:rsidRPr="00C32BD2">
        <w:rPr>
          <w:i/>
          <w:iCs/>
          <w:noProof/>
          <w:color w:val="000000" w:themeColor="text1"/>
          <w:sz w:val="24"/>
          <w:szCs w:val="24"/>
          <w:highlight w:val="white"/>
        </w:rPr>
        <w:t>Impact of electric vehicle charging station reliability, resilience, and location on electric vehicle adoption</w:t>
      </w:r>
      <w:r w:rsidRPr="00C32BD2">
        <w:rPr>
          <w:noProof/>
          <w:color w:val="000000" w:themeColor="text1"/>
          <w:sz w:val="24"/>
          <w:szCs w:val="24"/>
          <w:highlight w:val="white"/>
        </w:rPr>
        <w:t xml:space="preserve"> (No. NREL/TP-5R00-89896)’. National Renewable Energy Laboratory (NREL), Golden, CO (United States). Available at: </w:t>
      </w:r>
      <w:hyperlink r:id="rId22">
        <w:r w:rsidRPr="00C32BD2">
          <w:rPr>
            <w:noProof/>
            <w:color w:val="000000" w:themeColor="text1"/>
            <w:sz w:val="24"/>
            <w:szCs w:val="24"/>
            <w:highlight w:val="white"/>
            <w:u w:val="single"/>
          </w:rPr>
          <w:t>https://www.osti.gov/servlets/purl/2432350</w:t>
        </w:r>
      </w:hyperlink>
      <w:r w:rsidRPr="00C32BD2">
        <w:rPr>
          <w:noProof/>
          <w:color w:val="000000" w:themeColor="text1"/>
          <w:sz w:val="24"/>
          <w:szCs w:val="24"/>
          <w:highlight w:val="white"/>
        </w:rPr>
        <w:t xml:space="preserve"> </w:t>
      </w:r>
    </w:p>
    <w:p w14:paraId="2C0297F9"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SMMT (2025) </w:t>
      </w:r>
      <w:r w:rsidRPr="00C32BD2">
        <w:rPr>
          <w:i/>
          <w:iCs/>
          <w:noProof/>
          <w:color w:val="000000" w:themeColor="text1"/>
          <w:sz w:val="24"/>
          <w:szCs w:val="24"/>
        </w:rPr>
        <w:t>Electric Vehicle Data.</w:t>
      </w:r>
      <w:r w:rsidRPr="00C32BD2">
        <w:rPr>
          <w:noProof/>
          <w:color w:val="000000" w:themeColor="text1"/>
          <w:sz w:val="24"/>
          <w:szCs w:val="24"/>
        </w:rPr>
        <w:t xml:space="preserve"> Available at: </w:t>
      </w:r>
      <w:hyperlink r:id="rId23">
        <w:r w:rsidRPr="00C32BD2">
          <w:rPr>
            <w:noProof/>
            <w:color w:val="000000" w:themeColor="text1"/>
            <w:sz w:val="24"/>
            <w:szCs w:val="24"/>
            <w:u w:val="single"/>
          </w:rPr>
          <w:t>https://www.smmt.co.uk/vehicle-data/electric-vehicle-registrations/</w:t>
        </w:r>
      </w:hyperlink>
      <w:r w:rsidRPr="00C32BD2">
        <w:rPr>
          <w:noProof/>
          <w:color w:val="000000" w:themeColor="text1"/>
          <w:sz w:val="24"/>
          <w:szCs w:val="24"/>
        </w:rPr>
        <w:t xml:space="preserve"> (Accessed: 21 November 2025).</w:t>
      </w:r>
    </w:p>
    <w:p w14:paraId="7A8D0811" w14:textId="77777777" w:rsidR="00EE065E" w:rsidRPr="00C32BD2" w:rsidRDefault="00EE065E">
      <w:pPr>
        <w:spacing w:before="200" w:after="200" w:line="360" w:lineRule="auto"/>
        <w:jc w:val="both"/>
        <w:rPr>
          <w:noProof/>
          <w:color w:val="000000" w:themeColor="text1"/>
          <w:sz w:val="24"/>
          <w:szCs w:val="24"/>
        </w:rPr>
      </w:pPr>
      <w:r w:rsidRPr="00C32BD2">
        <w:rPr>
          <w:noProof/>
          <w:color w:val="000000" w:themeColor="text1"/>
          <w:sz w:val="24"/>
          <w:szCs w:val="24"/>
        </w:rPr>
        <w:t xml:space="preserve">Worldometers (2025) </w:t>
      </w:r>
      <w:r w:rsidRPr="00C32BD2">
        <w:rPr>
          <w:i/>
          <w:iCs/>
          <w:noProof/>
          <w:color w:val="000000" w:themeColor="text1"/>
          <w:sz w:val="24"/>
          <w:szCs w:val="24"/>
        </w:rPr>
        <w:t>UK Population.</w:t>
      </w:r>
      <w:r w:rsidRPr="00C32BD2">
        <w:rPr>
          <w:noProof/>
          <w:color w:val="000000" w:themeColor="text1"/>
          <w:sz w:val="24"/>
          <w:szCs w:val="24"/>
        </w:rPr>
        <w:t xml:space="preserve"> Available at: </w:t>
      </w:r>
      <w:hyperlink r:id="rId24">
        <w:r w:rsidRPr="00C32BD2">
          <w:rPr>
            <w:noProof/>
            <w:color w:val="000000" w:themeColor="text1"/>
            <w:sz w:val="24"/>
            <w:szCs w:val="24"/>
            <w:u w:val="single"/>
          </w:rPr>
          <w:t>https://www.worldometers.info/world-population/uk-population/</w:t>
        </w:r>
      </w:hyperlink>
      <w:r w:rsidRPr="00C32BD2">
        <w:rPr>
          <w:noProof/>
          <w:color w:val="000000" w:themeColor="text1"/>
          <w:sz w:val="24"/>
          <w:szCs w:val="24"/>
        </w:rPr>
        <w:t xml:space="preserve"> (Accessed: 21 November 2025).</w:t>
      </w:r>
    </w:p>
    <w:p w14:paraId="0F7B6180" w14:textId="035DB8C0" w:rsidR="00EE065E" w:rsidRDefault="00EE065E" w:rsidP="006C4C9E">
      <w:pPr>
        <w:pStyle w:val="NormalWeb"/>
        <w:spacing w:line="360" w:lineRule="auto"/>
        <w:jc w:val="both"/>
        <w:rPr>
          <w:rFonts w:ascii="Aptos" w:eastAsia="DengXian" w:hAnsi="Aptos"/>
          <w:color w:val="000000"/>
          <w:kern w:val="2"/>
          <w:sz w:val="48"/>
          <w:szCs w:val="48"/>
        </w:rPr>
      </w:pPr>
      <w:r w:rsidRPr="00C32BD2">
        <w:rPr>
          <w:noProof/>
          <w:color w:val="000000" w:themeColor="text1"/>
          <w:highlight w:val="white"/>
        </w:rPr>
        <w:t xml:space="preserve">Yu, X., Chen, R., Gan, L., Li, H. and Chen, L., (2023). ‘Battery safety: From lithium-ion to solid-state batteries. </w:t>
      </w:r>
      <w:r w:rsidRPr="00C32BD2">
        <w:rPr>
          <w:i/>
          <w:iCs/>
          <w:noProof/>
          <w:color w:val="000000" w:themeColor="text1"/>
          <w:highlight w:val="white"/>
        </w:rPr>
        <w:t>Engineering</w:t>
      </w:r>
      <w:r w:rsidRPr="00C32BD2">
        <w:rPr>
          <w:noProof/>
          <w:color w:val="000000" w:themeColor="text1"/>
          <w:highlight w:val="white"/>
        </w:rPr>
        <w:t xml:space="preserve">, </w:t>
      </w:r>
      <w:r w:rsidRPr="00C32BD2">
        <w:rPr>
          <w:i/>
          <w:iCs/>
          <w:noProof/>
          <w:color w:val="000000" w:themeColor="text1"/>
          <w:highlight w:val="white"/>
        </w:rPr>
        <w:t>21</w:t>
      </w:r>
      <w:r w:rsidRPr="00C32BD2">
        <w:rPr>
          <w:noProof/>
          <w:color w:val="000000" w:themeColor="text1"/>
          <w:highlight w:val="white"/>
        </w:rPr>
        <w:t xml:space="preserve">, pp.9-14’. Available at: </w:t>
      </w:r>
      <w:hyperlink r:id="rId25">
        <w:r w:rsidRPr="00C32BD2">
          <w:rPr>
            <w:noProof/>
            <w:color w:val="000000" w:themeColor="text1"/>
            <w:highlight w:val="white"/>
            <w:u w:val="single"/>
          </w:rPr>
          <w:t>https://doi.org/10.1016/j.eng.2022.06.022</w:t>
        </w:r>
      </w:hyperlink>
      <w:r w:rsidRPr="00C32BD2">
        <w:rPr>
          <w:noProof/>
          <w:color w:val="000000" w:themeColor="text1"/>
          <w:highlight w:val="white"/>
        </w:rPr>
        <w:t xml:space="preserve"> </w:t>
      </w:r>
      <w:r w:rsidR="006C4C9E" w:rsidRPr="006C4C9E">
        <w:rPr>
          <w:rFonts w:ascii="Aptos" w:eastAsia="DengXian" w:hAnsi="Aptos"/>
          <w:color w:val="000000"/>
          <w:kern w:val="2"/>
          <w:sz w:val="48"/>
          <w:szCs w:val="48"/>
        </w:rPr>
        <w:t xml:space="preserve"> </w:t>
      </w:r>
    </w:p>
    <w:p w14:paraId="145536C2" w14:textId="77777777" w:rsidR="006C4C9E" w:rsidRDefault="006C4C9E" w:rsidP="006C4C9E">
      <w:pPr>
        <w:pStyle w:val="NormalWeb"/>
        <w:spacing w:line="360" w:lineRule="auto"/>
        <w:jc w:val="both"/>
        <w:rPr>
          <w:rFonts w:ascii="Aptos" w:eastAsia="DengXian" w:hAnsi="Aptos"/>
          <w:color w:val="000000"/>
          <w:kern w:val="2"/>
          <w:sz w:val="48"/>
          <w:szCs w:val="48"/>
        </w:rPr>
      </w:pPr>
    </w:p>
    <w:p w14:paraId="5CF8F406" w14:textId="77777777" w:rsidR="006C4C9E" w:rsidRPr="006C4C9E" w:rsidRDefault="006C4C9E" w:rsidP="006C4C9E">
      <w:pPr>
        <w:spacing w:line="360" w:lineRule="auto"/>
        <w:jc w:val="both"/>
        <w:rPr>
          <w:rFonts w:ascii="Times New Roman" w:eastAsia="Times New Roman" w:hAnsi="Times New Roman" w:cs="Times New Roman"/>
          <w:sz w:val="24"/>
          <w:szCs w:val="24"/>
        </w:rPr>
      </w:pPr>
      <w:r w:rsidRPr="006C4C9E">
        <w:rPr>
          <w:rFonts w:ascii="Aptos" w:eastAsia="DengXian" w:hAnsi="Aptos" w:cs="Times New Roman"/>
          <w:color w:val="000000"/>
          <w:kern w:val="2"/>
          <w:sz w:val="24"/>
          <w:szCs w:val="24"/>
        </w:rPr>
        <w:t xml:space="preserve">I confirm that I have not presented any AI generated materials as my own work. </w:t>
      </w:r>
    </w:p>
    <w:p w14:paraId="54E8CA41" w14:textId="688522FC" w:rsidR="006C4C9E" w:rsidRPr="006C4C9E" w:rsidRDefault="006C4C9E" w:rsidP="006C4C9E">
      <w:pPr>
        <w:pStyle w:val="NormalWeb"/>
        <w:spacing w:line="360" w:lineRule="auto"/>
        <w:jc w:val="both"/>
        <w:rPr>
          <w:rFonts w:ascii="Aptos" w:eastAsia="DengXian" w:hAnsi="Aptos"/>
          <w:color w:val="000000"/>
          <w:kern w:val="2"/>
          <w:sz w:val="28"/>
          <w:szCs w:val="28"/>
        </w:rPr>
      </w:pPr>
      <w:r w:rsidRPr="006C4C9E">
        <w:rPr>
          <w:rFonts w:ascii="Aptos" w:eastAsia="DengXian" w:hAnsi="Aptos"/>
          <w:color w:val="000000"/>
          <w:kern w:val="2"/>
        </w:rPr>
        <w:t>I confirm that I have copies of my drafts, notes, and other resources I used, which I may be asked to provide in evidence</w:t>
      </w:r>
      <w:r w:rsidRPr="006C4C9E">
        <w:rPr>
          <w:rFonts w:ascii="Aptos" w:eastAsia="DengXian" w:hAnsi="Aptos"/>
          <w:color w:val="000000"/>
          <w:kern w:val="2"/>
          <w:sz w:val="28"/>
          <w:szCs w:val="28"/>
        </w:rPr>
        <w:t>.</w:t>
      </w:r>
    </w:p>
    <w:p w14:paraId="4A5BE4FE" w14:textId="77777777" w:rsidR="006C4C9E" w:rsidRDefault="006C4C9E">
      <w:pPr>
        <w:spacing w:before="200" w:after="200" w:line="360" w:lineRule="auto"/>
        <w:jc w:val="both"/>
        <w:rPr>
          <w:noProof/>
          <w:color w:val="000000" w:themeColor="text1"/>
          <w:sz w:val="24"/>
          <w:szCs w:val="24"/>
          <w:highlight w:val="white"/>
        </w:rPr>
      </w:pPr>
    </w:p>
    <w:p w14:paraId="75066D16" w14:textId="77777777" w:rsidR="006C4C9E" w:rsidRPr="00C32BD2" w:rsidRDefault="006C4C9E">
      <w:pPr>
        <w:spacing w:before="200" w:after="200" w:line="360" w:lineRule="auto"/>
        <w:jc w:val="both"/>
        <w:rPr>
          <w:noProof/>
          <w:color w:val="000000" w:themeColor="text1"/>
          <w:sz w:val="28"/>
          <w:szCs w:val="28"/>
          <w:highlight w:val="white"/>
        </w:rPr>
      </w:pPr>
    </w:p>
    <w:p w14:paraId="0B581F94" w14:textId="77777777" w:rsidR="007A15BC" w:rsidRPr="00C32BD2" w:rsidRDefault="007A15BC">
      <w:pPr>
        <w:spacing w:line="360" w:lineRule="auto"/>
        <w:rPr>
          <w:b/>
          <w:bCs/>
          <w:noProof/>
          <w:sz w:val="24"/>
          <w:szCs w:val="24"/>
        </w:rPr>
      </w:pPr>
    </w:p>
    <w:p w14:paraId="4EC02D75" w14:textId="77777777" w:rsidR="007A15BC" w:rsidRPr="00C32BD2" w:rsidRDefault="007A15BC">
      <w:pPr>
        <w:spacing w:line="360" w:lineRule="auto"/>
        <w:rPr>
          <w:b/>
          <w:bCs/>
          <w:noProof/>
          <w:sz w:val="24"/>
          <w:szCs w:val="24"/>
        </w:rPr>
      </w:pPr>
    </w:p>
    <w:p w14:paraId="3D9CC04A" w14:textId="77777777" w:rsidR="007A15BC" w:rsidRPr="00C32BD2" w:rsidRDefault="007A15BC">
      <w:pPr>
        <w:spacing w:line="360" w:lineRule="auto"/>
        <w:rPr>
          <w:noProof/>
          <w:sz w:val="24"/>
          <w:szCs w:val="24"/>
        </w:rPr>
      </w:pPr>
    </w:p>
    <w:p w14:paraId="4189A81B" w14:textId="77777777" w:rsidR="007A15BC" w:rsidRPr="00C32BD2" w:rsidRDefault="007A15BC">
      <w:pPr>
        <w:spacing w:line="360" w:lineRule="auto"/>
        <w:rPr>
          <w:noProof/>
          <w:sz w:val="24"/>
          <w:szCs w:val="24"/>
        </w:rPr>
      </w:pPr>
    </w:p>
    <w:sectPr w:rsidR="007A15BC" w:rsidRPr="00C32BD2">
      <w:footerReference w:type="default" r:id="rId2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5E4B6" w14:textId="77777777" w:rsidR="00511414" w:rsidRDefault="00511414">
      <w:pPr>
        <w:spacing w:line="240" w:lineRule="auto"/>
      </w:pPr>
      <w:r>
        <w:separator/>
      </w:r>
    </w:p>
  </w:endnote>
  <w:endnote w:type="continuationSeparator" w:id="0">
    <w:p w14:paraId="7BBA82D4" w14:textId="77777777" w:rsidR="00511414" w:rsidRDefault="005114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F40E28B-62C2-4FF1-8FD6-E469599DDAE6}"/>
  </w:font>
  <w:font w:name="Aptos">
    <w:charset w:val="00"/>
    <w:family w:val="swiss"/>
    <w:pitch w:val="variable"/>
    <w:sig w:usb0="20000287" w:usb1="00000003" w:usb2="00000000" w:usb3="00000000" w:csb0="0000019F" w:csb1="00000000"/>
    <w:embedRegular r:id="rId2" w:fontKey="{17315260-6348-481A-A6C8-0792B3540DBA}"/>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embedRegular r:id="rId3" w:fontKey="{7C3868BE-59A4-4B53-9FB1-5D565F6D017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7D431" w14:textId="77777777" w:rsidR="007A15BC" w:rsidRDefault="00260D4B">
    <w:pPr>
      <w:jc w:val="right"/>
      <w:rPr>
        <w:sz w:val="18"/>
        <w:szCs w:val="18"/>
      </w:rPr>
    </w:pPr>
    <w:r>
      <w:rPr>
        <w:sz w:val="20"/>
        <w:szCs w:val="20"/>
      </w:rPr>
      <w:fldChar w:fldCharType="begin"/>
    </w:r>
    <w:r>
      <w:rPr>
        <w:sz w:val="20"/>
        <w:szCs w:val="20"/>
      </w:rPr>
      <w:instrText>PAGE</w:instrText>
    </w:r>
    <w:r>
      <w:rPr>
        <w:sz w:val="20"/>
        <w:szCs w:val="20"/>
      </w:rPr>
      <w:fldChar w:fldCharType="separate"/>
    </w:r>
    <w:r w:rsidR="00246A63">
      <w:rPr>
        <w:noProof/>
        <w:sz w:val="20"/>
        <w:szCs w:val="20"/>
      </w:rPr>
      <w:t>12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BC102" w14:textId="77777777" w:rsidR="00511414" w:rsidRDefault="00511414">
      <w:pPr>
        <w:spacing w:line="240" w:lineRule="auto"/>
      </w:pPr>
      <w:r>
        <w:separator/>
      </w:r>
    </w:p>
  </w:footnote>
  <w:footnote w:type="continuationSeparator" w:id="0">
    <w:p w14:paraId="1FE222C3" w14:textId="77777777" w:rsidR="00511414" w:rsidRDefault="005114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17600"/>
    <w:multiLevelType w:val="multilevel"/>
    <w:tmpl w:val="3D7AB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D648FA"/>
    <w:multiLevelType w:val="multilevel"/>
    <w:tmpl w:val="B2E819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F12FF9"/>
    <w:multiLevelType w:val="multilevel"/>
    <w:tmpl w:val="4E42A2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9271FF"/>
    <w:multiLevelType w:val="multilevel"/>
    <w:tmpl w:val="1158E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D2580E"/>
    <w:multiLevelType w:val="multilevel"/>
    <w:tmpl w:val="B76AE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273149"/>
    <w:multiLevelType w:val="multilevel"/>
    <w:tmpl w:val="F4262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1F1E56"/>
    <w:multiLevelType w:val="multilevel"/>
    <w:tmpl w:val="FA321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827350"/>
    <w:multiLevelType w:val="multilevel"/>
    <w:tmpl w:val="167289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B9124D3"/>
    <w:multiLevelType w:val="multilevel"/>
    <w:tmpl w:val="D98C6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4407FC"/>
    <w:multiLevelType w:val="multilevel"/>
    <w:tmpl w:val="23225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5F95379"/>
    <w:multiLevelType w:val="multilevel"/>
    <w:tmpl w:val="043A5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27635">
    <w:abstractNumId w:val="7"/>
  </w:num>
  <w:num w:numId="2" w16cid:durableId="147015206">
    <w:abstractNumId w:val="5"/>
  </w:num>
  <w:num w:numId="3" w16cid:durableId="542525700">
    <w:abstractNumId w:val="3"/>
  </w:num>
  <w:num w:numId="4" w16cid:durableId="2144881063">
    <w:abstractNumId w:val="4"/>
  </w:num>
  <w:num w:numId="5" w16cid:durableId="1489439650">
    <w:abstractNumId w:val="1"/>
  </w:num>
  <w:num w:numId="6" w16cid:durableId="1363049588">
    <w:abstractNumId w:val="8"/>
  </w:num>
  <w:num w:numId="7" w16cid:durableId="44183935">
    <w:abstractNumId w:val="0"/>
  </w:num>
  <w:num w:numId="8" w16cid:durableId="2064059874">
    <w:abstractNumId w:val="10"/>
  </w:num>
  <w:num w:numId="9" w16cid:durableId="1945309920">
    <w:abstractNumId w:val="2"/>
  </w:num>
  <w:num w:numId="10" w16cid:durableId="2099400976">
    <w:abstractNumId w:val="9"/>
  </w:num>
  <w:num w:numId="11" w16cid:durableId="16579580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15BC"/>
    <w:rsid w:val="0013142B"/>
    <w:rsid w:val="001A4369"/>
    <w:rsid w:val="00246A63"/>
    <w:rsid w:val="00260D4B"/>
    <w:rsid w:val="002C6A37"/>
    <w:rsid w:val="00347EEA"/>
    <w:rsid w:val="0041669A"/>
    <w:rsid w:val="004249C0"/>
    <w:rsid w:val="00511414"/>
    <w:rsid w:val="00592FD0"/>
    <w:rsid w:val="006C4C9E"/>
    <w:rsid w:val="007A15BC"/>
    <w:rsid w:val="00806BCB"/>
    <w:rsid w:val="00956456"/>
    <w:rsid w:val="00B94816"/>
    <w:rsid w:val="00C32BD2"/>
    <w:rsid w:val="00C53A38"/>
    <w:rsid w:val="00D210C4"/>
    <w:rsid w:val="00EE065E"/>
    <w:rsid w:val="00FE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5185A"/>
  <w15:docId w15:val="{0A0F43DC-F3AA-4E1D-B21C-FF7565027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outlineLvl w:val="0"/>
    </w:pPr>
    <w:rPr>
      <w:b/>
      <w:bCs/>
      <w:sz w:val="24"/>
      <w:szCs w:val="24"/>
    </w:rPr>
  </w:style>
  <w:style w:type="paragraph" w:styleId="Heading2">
    <w:name w:val="heading 2"/>
    <w:basedOn w:val="Normal"/>
    <w:next w:val="Normal"/>
    <w:pPr>
      <w:keepNext/>
      <w:keepLines/>
      <w:spacing w:line="360" w:lineRule="auto"/>
      <w:outlineLvl w:val="1"/>
    </w:pPr>
    <w:rPr>
      <w:b/>
      <w:bCs/>
      <w:i/>
      <w:i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13142B"/>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3142B"/>
    <w:pPr>
      <w:spacing w:after="100"/>
    </w:pPr>
  </w:style>
  <w:style w:type="paragraph" w:styleId="TOC2">
    <w:name w:val="toc 2"/>
    <w:basedOn w:val="Normal"/>
    <w:next w:val="Normal"/>
    <w:autoRedefine/>
    <w:uiPriority w:val="39"/>
    <w:unhideWhenUsed/>
    <w:rsid w:val="0013142B"/>
    <w:pPr>
      <w:spacing w:after="100"/>
      <w:ind w:left="220"/>
    </w:pPr>
  </w:style>
  <w:style w:type="character" w:styleId="Hyperlink">
    <w:name w:val="Hyperlink"/>
    <w:basedOn w:val="DefaultParagraphFont"/>
    <w:uiPriority w:val="99"/>
    <w:unhideWhenUsed/>
    <w:rsid w:val="0013142B"/>
    <w:rPr>
      <w:color w:val="0000FF" w:themeColor="hyperlink"/>
      <w:u w:val="single"/>
    </w:rPr>
  </w:style>
  <w:style w:type="paragraph" w:styleId="NormalWeb">
    <w:name w:val="Normal (Web)"/>
    <w:basedOn w:val="Normal"/>
    <w:uiPriority w:val="99"/>
    <w:unhideWhenUsed/>
    <w:rsid w:val="006C4C9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uters.com/technology/british-consortium-formed-develop-solid-state-ev-batteries-2021-08-18/" TargetMode="External"/><Relationship Id="rId18" Type="http://schemas.openxmlformats.org/officeDocument/2006/relationships/hyperlink" Target="https://www.legislation.gov.uk/ukpga/2021/30/conten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ns.gov.uk/economy/governmentpublicsectorandtaxes/researchanddevelopmentexpenditure" TargetMode="External"/><Relationship Id="rId7" Type="http://schemas.openxmlformats.org/officeDocument/2006/relationships/endnotes" Target="endnotes.xml"/><Relationship Id="rId12" Type="http://schemas.openxmlformats.org/officeDocument/2006/relationships/hyperlink" Target="https://bolt.earth/our-story?srsltid=AfmBOopgbw_fCvcZfVWwbcQel7De9OiGCslDqUbm_gGTmJWTZ_eJJuiA" TargetMode="External"/><Relationship Id="rId17" Type="http://schemas.openxmlformats.org/officeDocument/2006/relationships/hyperlink" Target="https://www.globalvatcompliance.com/globalvatnews/norway-electric-car-vat-exemption/" TargetMode="External"/><Relationship Id="rId25" Type="http://schemas.openxmlformats.org/officeDocument/2006/relationships/hyperlink" Target="https://doi.org/10.1016/j.eng.2022.06.022" TargetMode="External"/><Relationship Id="rId2" Type="http://schemas.openxmlformats.org/officeDocument/2006/relationships/numbering" Target="numbering.xml"/><Relationship Id="rId16" Type="http://schemas.openxmlformats.org/officeDocument/2006/relationships/hyperlink" Target="https://www.evaengland.org.uk/our-work/zev-mandate/" TargetMode="External"/><Relationship Id="rId20" Type="http://schemas.openxmlformats.org/officeDocument/2006/relationships/hyperlink" Target="https://doi.org/10.3390/su1421138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ac.co.uk/drive/electric-cars/running/electric-car-road-tax-guide-do-i-need-to-pay/" TargetMode="External"/><Relationship Id="rId24" Type="http://schemas.openxmlformats.org/officeDocument/2006/relationships/hyperlink" Target="https://www.worldometers.info/world-population/uk-population/" TargetMode="External"/><Relationship Id="rId5" Type="http://schemas.openxmlformats.org/officeDocument/2006/relationships/webSettings" Target="webSettings.xml"/><Relationship Id="rId15" Type="http://schemas.openxmlformats.org/officeDocument/2006/relationships/hyperlink" Target="https://evboosters.com/ev-charging-news/forecast-ev-sales-uk-2025-2026-heading-towards-28-bev-marketshare/" TargetMode="External"/><Relationship Id="rId23" Type="http://schemas.openxmlformats.org/officeDocument/2006/relationships/hyperlink" Target="https://www.smmt.co.uk/vehicle-data/electric-vehicle-registration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bbc.com/news/articles/czxkvkwjl5e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nas.org/doi/pdf/10.1073/pnas.2220923120" TargetMode="External"/><Relationship Id="rId22" Type="http://schemas.openxmlformats.org/officeDocument/2006/relationships/hyperlink" Target="https://www.osti.gov/servlets/purl/2432350"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D96DB-1F11-41A9-83FA-EEAA85EA2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2227</Words>
  <Characters>13725</Characters>
  <Application>Microsoft Office Word</Application>
  <DocSecurity>0</DocSecurity>
  <Lines>311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lazarean</dc:creator>
  <cp:lastModifiedBy>daniela lazarean</cp:lastModifiedBy>
  <cp:revision>2</cp:revision>
  <dcterms:created xsi:type="dcterms:W3CDTF">2025-12-06T11:37:00Z</dcterms:created>
  <dcterms:modified xsi:type="dcterms:W3CDTF">2025-12-06T11:37:00Z</dcterms:modified>
</cp:coreProperties>
</file>