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A411CF" w:rsidRDefault="00000000">
      <w:pPr>
        <w:pStyle w:val="Heading1"/>
        <w:spacing w:before="240" w:after="240" w:line="480" w:lineRule="auto"/>
        <w:rPr>
          <w:b/>
          <w:bCs/>
          <w:sz w:val="24"/>
          <w:szCs w:val="24"/>
        </w:rPr>
      </w:pPr>
      <w:bookmarkStart w:id="0" w:name="_eftierykw8mx" w:colFirst="0" w:colLast="0"/>
      <w:bookmarkEnd w:id="0"/>
      <w:r>
        <w:rPr>
          <w:b/>
          <w:bCs/>
          <w:sz w:val="24"/>
          <w:szCs w:val="24"/>
        </w:rPr>
        <w:t>Name: Izzy Elias</w:t>
      </w:r>
    </w:p>
    <w:p w14:paraId="00000002" w14:textId="77777777" w:rsidR="00A411CF" w:rsidRDefault="00000000">
      <w:pPr>
        <w:spacing w:before="240" w:after="240" w:line="480" w:lineRule="auto"/>
        <w:rPr>
          <w:b/>
          <w:bCs/>
          <w:sz w:val="24"/>
          <w:szCs w:val="24"/>
        </w:rPr>
      </w:pPr>
      <w:r>
        <w:rPr>
          <w:b/>
          <w:bCs/>
          <w:sz w:val="24"/>
          <w:szCs w:val="24"/>
        </w:rPr>
        <w:t>Student number: 2500593</w:t>
      </w:r>
    </w:p>
    <w:p w14:paraId="00000003" w14:textId="77777777" w:rsidR="00A411CF" w:rsidRDefault="00000000">
      <w:pPr>
        <w:spacing w:before="240" w:after="240" w:line="480" w:lineRule="auto"/>
        <w:rPr>
          <w:b/>
          <w:bCs/>
          <w:sz w:val="24"/>
          <w:szCs w:val="24"/>
        </w:rPr>
      </w:pPr>
      <w:r>
        <w:rPr>
          <w:b/>
          <w:bCs/>
          <w:sz w:val="24"/>
          <w:szCs w:val="24"/>
        </w:rPr>
        <w:t>Module code: BMLC4010</w:t>
      </w:r>
    </w:p>
    <w:p w14:paraId="00000004" w14:textId="77777777" w:rsidR="00A411CF" w:rsidRDefault="00000000">
      <w:pPr>
        <w:spacing w:before="120" w:after="120" w:line="480" w:lineRule="auto"/>
        <w:jc w:val="both"/>
        <w:rPr>
          <w:b/>
          <w:bCs/>
          <w:sz w:val="24"/>
          <w:szCs w:val="24"/>
        </w:rPr>
      </w:pPr>
      <w:r>
        <w:rPr>
          <w:b/>
          <w:bCs/>
          <w:sz w:val="24"/>
          <w:szCs w:val="24"/>
        </w:rPr>
        <w:t xml:space="preserve">Title: Examine how race and class have influenced youth offending patterns in the UK. </w:t>
      </w:r>
    </w:p>
    <w:p w14:paraId="00000005" w14:textId="77777777" w:rsidR="00A411CF" w:rsidRDefault="00A411CF">
      <w:pPr>
        <w:spacing w:before="120" w:after="120" w:line="480" w:lineRule="auto"/>
        <w:jc w:val="both"/>
        <w:rPr>
          <w:b/>
          <w:bCs/>
          <w:sz w:val="24"/>
          <w:szCs w:val="24"/>
        </w:rPr>
      </w:pPr>
    </w:p>
    <w:p w14:paraId="00000006" w14:textId="77777777" w:rsidR="00A411CF" w:rsidRDefault="00A411CF">
      <w:pPr>
        <w:spacing w:before="120" w:after="120" w:line="480" w:lineRule="auto"/>
        <w:jc w:val="both"/>
        <w:rPr>
          <w:b/>
          <w:bCs/>
          <w:sz w:val="24"/>
          <w:szCs w:val="24"/>
        </w:rPr>
      </w:pPr>
    </w:p>
    <w:p w14:paraId="00000007" w14:textId="77777777" w:rsidR="00A411CF" w:rsidRDefault="00A411CF">
      <w:pPr>
        <w:spacing w:before="120" w:after="120" w:line="480" w:lineRule="auto"/>
        <w:jc w:val="both"/>
        <w:rPr>
          <w:b/>
          <w:bCs/>
          <w:sz w:val="24"/>
          <w:szCs w:val="24"/>
        </w:rPr>
      </w:pPr>
    </w:p>
    <w:p w14:paraId="00000008" w14:textId="77777777" w:rsidR="00A411CF" w:rsidRDefault="00A411CF">
      <w:pPr>
        <w:spacing w:before="120" w:after="120" w:line="480" w:lineRule="auto"/>
        <w:jc w:val="both"/>
        <w:rPr>
          <w:b/>
          <w:bCs/>
          <w:sz w:val="24"/>
          <w:szCs w:val="24"/>
        </w:rPr>
      </w:pPr>
    </w:p>
    <w:p w14:paraId="00000009" w14:textId="77777777" w:rsidR="00A411CF" w:rsidRDefault="00A411CF">
      <w:pPr>
        <w:spacing w:before="120" w:after="120" w:line="480" w:lineRule="auto"/>
        <w:jc w:val="both"/>
        <w:rPr>
          <w:b/>
          <w:bCs/>
          <w:sz w:val="24"/>
          <w:szCs w:val="24"/>
        </w:rPr>
      </w:pPr>
    </w:p>
    <w:p w14:paraId="0000000A" w14:textId="77777777" w:rsidR="00A411CF" w:rsidRDefault="00A411CF">
      <w:pPr>
        <w:spacing w:before="120" w:after="120" w:line="480" w:lineRule="auto"/>
        <w:jc w:val="both"/>
        <w:rPr>
          <w:b/>
          <w:bCs/>
          <w:sz w:val="24"/>
          <w:szCs w:val="24"/>
        </w:rPr>
      </w:pPr>
    </w:p>
    <w:p w14:paraId="0000000B" w14:textId="77777777" w:rsidR="00A411CF" w:rsidRDefault="00A411CF">
      <w:pPr>
        <w:spacing w:before="120" w:after="120" w:line="480" w:lineRule="auto"/>
        <w:jc w:val="both"/>
        <w:rPr>
          <w:b/>
          <w:bCs/>
          <w:sz w:val="24"/>
          <w:szCs w:val="24"/>
        </w:rPr>
      </w:pPr>
    </w:p>
    <w:p w14:paraId="0000000C" w14:textId="77777777" w:rsidR="00A411CF" w:rsidRDefault="00A411CF">
      <w:pPr>
        <w:spacing w:before="120" w:after="120" w:line="480" w:lineRule="auto"/>
        <w:jc w:val="both"/>
        <w:rPr>
          <w:b/>
          <w:bCs/>
          <w:sz w:val="24"/>
          <w:szCs w:val="24"/>
        </w:rPr>
      </w:pPr>
    </w:p>
    <w:p w14:paraId="0000000D" w14:textId="77777777" w:rsidR="00A411CF" w:rsidRDefault="00A411CF">
      <w:pPr>
        <w:spacing w:before="120" w:after="120" w:line="480" w:lineRule="auto"/>
        <w:jc w:val="both"/>
        <w:rPr>
          <w:b/>
          <w:bCs/>
          <w:sz w:val="24"/>
          <w:szCs w:val="24"/>
        </w:rPr>
      </w:pPr>
    </w:p>
    <w:p w14:paraId="0000000E" w14:textId="77777777" w:rsidR="00A411CF" w:rsidRDefault="00A411CF">
      <w:pPr>
        <w:spacing w:before="120" w:after="120" w:line="480" w:lineRule="auto"/>
        <w:jc w:val="both"/>
        <w:rPr>
          <w:b/>
          <w:bCs/>
          <w:sz w:val="24"/>
          <w:szCs w:val="24"/>
        </w:rPr>
      </w:pPr>
    </w:p>
    <w:p w14:paraId="0000000F" w14:textId="77777777" w:rsidR="00A411CF" w:rsidRDefault="00A411CF">
      <w:pPr>
        <w:spacing w:before="120" w:after="120" w:line="480" w:lineRule="auto"/>
        <w:jc w:val="both"/>
        <w:rPr>
          <w:b/>
          <w:bCs/>
          <w:sz w:val="24"/>
          <w:szCs w:val="24"/>
        </w:rPr>
      </w:pPr>
    </w:p>
    <w:p w14:paraId="00000010" w14:textId="77777777" w:rsidR="00A411CF" w:rsidRDefault="00A411CF">
      <w:pPr>
        <w:spacing w:before="120" w:after="120" w:line="480" w:lineRule="auto"/>
        <w:jc w:val="both"/>
        <w:rPr>
          <w:b/>
          <w:bCs/>
          <w:sz w:val="24"/>
          <w:szCs w:val="24"/>
        </w:rPr>
      </w:pPr>
    </w:p>
    <w:p w14:paraId="00000011" w14:textId="77777777" w:rsidR="00A411CF" w:rsidRDefault="00A411CF">
      <w:pPr>
        <w:spacing w:before="120" w:after="120" w:line="480" w:lineRule="auto"/>
        <w:jc w:val="both"/>
        <w:rPr>
          <w:b/>
          <w:bCs/>
          <w:sz w:val="24"/>
          <w:szCs w:val="24"/>
        </w:rPr>
      </w:pPr>
    </w:p>
    <w:p w14:paraId="00000017" w14:textId="77777777" w:rsidR="00A411CF" w:rsidRDefault="00000000">
      <w:pPr>
        <w:spacing w:line="480" w:lineRule="auto"/>
        <w:rPr>
          <w:sz w:val="24"/>
          <w:szCs w:val="24"/>
        </w:rPr>
      </w:pPr>
      <w:r>
        <w:rPr>
          <w:sz w:val="24"/>
          <w:szCs w:val="24"/>
        </w:rPr>
        <w:lastRenderedPageBreak/>
        <w:t>According to The Crown Prosecution Service (2018) ‘The age of criminal responsibility in England and Wales is 10 years old. This means that children under 10 can’t be arrested or charged with a crime’. This means that anyone over the age of then and under the age of eighteen is considered a youth offender should they commit a crime. After that, young people aged 18 are treated as an adult by the law, however they will be sent to a place that holds 18 to 25-year-olds, not a full adult prison’ (Young people and the law, 2011). ‘The 2024–25 Youth Justice Statistics show a continued fall in the number of children entering custody, reaching the lowest levels on record. However, the profile of those who do reach custody is becoming more complex, with increasing seriousness of offences, persistent racial disproportionality, and those children who re-offend, doing so more frequently’ (Youth Justice Legal Centre, 2026)This highlights that race is disproportionately represented within prison and arrests, highlighting the continuing institutional racism. Similarly, ‘The relationship between social class and crime has been a long-standing source of debate in criminology. Specifically, there is considerable disagreement as to whether crime is largely a lower-class phenomenon or is more broadly and equally distributed’ (Criminal Justice). This clearly highlights the disproportionate amount of ‘lower class’ crime.</w:t>
      </w:r>
    </w:p>
    <w:p w14:paraId="00000018" w14:textId="77777777" w:rsidR="00A411CF" w:rsidRDefault="00A411CF">
      <w:pPr>
        <w:spacing w:line="480" w:lineRule="auto"/>
        <w:rPr>
          <w:sz w:val="24"/>
          <w:szCs w:val="24"/>
        </w:rPr>
      </w:pPr>
    </w:p>
    <w:p w14:paraId="00000019" w14:textId="77777777" w:rsidR="00A411CF" w:rsidRDefault="00A411CF">
      <w:pPr>
        <w:spacing w:line="480" w:lineRule="auto"/>
        <w:rPr>
          <w:sz w:val="24"/>
          <w:szCs w:val="24"/>
        </w:rPr>
      </w:pPr>
    </w:p>
    <w:p w14:paraId="0000001A" w14:textId="77777777" w:rsidR="00A411CF" w:rsidRDefault="00000000">
      <w:pPr>
        <w:spacing w:line="480" w:lineRule="auto"/>
        <w:rPr>
          <w:sz w:val="24"/>
          <w:szCs w:val="24"/>
        </w:rPr>
      </w:pPr>
      <w:r>
        <w:rPr>
          <w:sz w:val="24"/>
          <w:szCs w:val="24"/>
        </w:rPr>
        <w:t xml:space="preserve">Young people from lower socioeconomic backgrounds are represented more than other classes within crime statistics. It is suggested that ‘social disadvantage is linked to crime because more people from disadvantaged versus affluent backgrounds develop a high crime propensity and are exposed to criminogenic contexts’ (Wikström, P-O.H. and </w:t>
      </w:r>
      <w:r>
        <w:rPr>
          <w:sz w:val="24"/>
          <w:szCs w:val="24"/>
        </w:rPr>
        <w:lastRenderedPageBreak/>
        <w:t>Treiber, K. (2016). Further evidence from The Health Foundation (2024) states ‘People who live in more deprived areas are more likely to live in neighbourhoods with higher crime rates. 25.0% of people living in the most deprived neighbourhoods live in the 10% of neighbourhoods with the highest crime rates’.The research hints that people from lower socioeconomic backgrounds have a sort of natural disposition to committing crime due to being exposed to the struggles that lower class people face such as poverty, poor education and deprivation. The statistics highlight how crime is much more likely in more deprived areas. While statistics do suggest that individuals from lower socioeconomic backgrounds are more likely to commit crime, there could be many reasons for this. One being that middle and upper class crime could be less recognised and policed. For example, white collar crime.</w:t>
      </w:r>
    </w:p>
    <w:p w14:paraId="0000001B" w14:textId="77777777" w:rsidR="00A411CF" w:rsidRDefault="00A411CF">
      <w:pPr>
        <w:spacing w:line="480" w:lineRule="auto"/>
        <w:rPr>
          <w:sz w:val="24"/>
          <w:szCs w:val="24"/>
        </w:rPr>
      </w:pPr>
    </w:p>
    <w:p w14:paraId="0000001C" w14:textId="77777777" w:rsidR="00A411CF" w:rsidRDefault="00000000">
      <w:pPr>
        <w:shd w:val="clear" w:color="auto" w:fill="FFFFFF"/>
        <w:spacing w:after="460" w:line="480" w:lineRule="auto"/>
        <w:rPr>
          <w:sz w:val="24"/>
          <w:szCs w:val="24"/>
        </w:rPr>
      </w:pPr>
      <w:r>
        <w:rPr>
          <w:sz w:val="24"/>
          <w:szCs w:val="24"/>
        </w:rPr>
        <w:t xml:space="preserve">BAME youths are more likely to be of lower socioeconomic background in the UK compared to white youths. Being from both a minority ethnic and lower socioeconomic background makes them more predisposed to being overrepresented in youth crime statistics. According to Young people and the law (2025), ‘in 2022, 21% of Black children and 32% of Asian children lived in persistent low-income households compared with 17% of White children (after housing costs). This shows the contrasting statistics between BAME and white youths facing poverty and deprivation. Furthermore, ‘Child death rate: The child death rate for Black children is 55.4 per 100,000—more than double the rate for White British children (22.9 per 100,000)’. This could link to distrust of police and therefore black youths are dying due to preventable violent confrontations with other youths. Further research by (Commission on Race and Ethnic Disparities, </w:t>
      </w:r>
      <w:r>
        <w:rPr>
          <w:sz w:val="24"/>
          <w:szCs w:val="24"/>
        </w:rPr>
        <w:lastRenderedPageBreak/>
        <w:t xml:space="preserve">2021) suggests that black youths may feel like they have to carry a knife in order to protect themselves because they lack belief that police would be protecting them. showed that in London in 2017, 50% of knife crime offenders were BAME (up from 44% in 2008). In this total, 50% were under the age of 25 and the majority (90%) were male. 50% of knife crime victims were BAME’. This data shows a disproportionate amount of BAME youths were found to be knife crime offenders. This can include carrying an offensive weapon and this article states that ‘in 2017, 53% of possession of knife suspects were Black, and 37% of all suspects were Black men under the age of 25. This resonates with the arrest data on stop and search which showed that 56% of all people arrested for offensive weapons following a stop and search were Black’. This highlights that BAME individuals are disproportionately stopped and searched indicating racial profiling by the police. This would suggest that it is high police bias that is causing higher statistics rather than actual higher offending within BAME and lower socioeconomic communities. </w:t>
      </w:r>
    </w:p>
    <w:p w14:paraId="0000001D" w14:textId="58F3219C" w:rsidR="00A411CF" w:rsidRDefault="00000000">
      <w:pPr>
        <w:shd w:val="clear" w:color="auto" w:fill="FFFFFF"/>
        <w:spacing w:after="460" w:line="480" w:lineRule="auto"/>
        <w:rPr>
          <w:sz w:val="24"/>
          <w:szCs w:val="24"/>
        </w:rPr>
      </w:pPr>
      <w:r>
        <w:rPr>
          <w:sz w:val="24"/>
          <w:szCs w:val="24"/>
        </w:rPr>
        <w:t xml:space="preserve">Black youths are </w:t>
      </w:r>
      <w:r w:rsidR="00E267F3">
        <w:rPr>
          <w:sz w:val="24"/>
          <w:szCs w:val="24"/>
        </w:rPr>
        <w:t>overrepresented</w:t>
      </w:r>
      <w:r>
        <w:rPr>
          <w:sz w:val="24"/>
          <w:szCs w:val="24"/>
        </w:rPr>
        <w:t xml:space="preserve"> in the criminal justice system because they are seen as more mature than white youths and therefore treated as adults while still children. ‘Black children are all too often seen as older, less innocent, and less vulnerable than their peers. This is a practice known as ‘adultification’ and we are seeing growing evidence of its prevalence in the system’. (Young people and the law, 2025). Furthermore, the source also states that ‘black children tended to be referred to with the more formal language you would expect to find in adult courts. This could potentially minimise their vulnerability or circumstances, placing more emphasis on their choices and maturity to resist, which is a hallmark of adultification </w:t>
      </w:r>
      <w:r w:rsidR="00E267F3">
        <w:rPr>
          <w:sz w:val="24"/>
          <w:szCs w:val="24"/>
        </w:rPr>
        <w:t>bias’. This</w:t>
      </w:r>
      <w:r>
        <w:rPr>
          <w:sz w:val="24"/>
          <w:szCs w:val="24"/>
        </w:rPr>
        <w:t xml:space="preserve"> highlights a </w:t>
      </w:r>
      <w:r>
        <w:rPr>
          <w:sz w:val="24"/>
          <w:szCs w:val="24"/>
        </w:rPr>
        <w:lastRenderedPageBreak/>
        <w:t>growing issue which can lead predominantly white police institutions to push unrealistic expectations onto black youths. This could also indicate that by being treated as more mature by adult police officers and system workers, black youths could be more likely to engage in what is seen as more ‘mature’ behavior like getting involved in criminal activity. This would be an example of labelling theory, where according to Becker’s book ‘Outsiders’ (1963) labelling someone as something only pushes them to seek out others with the same label which then encourages them to fulfil the label forced on them.</w:t>
      </w:r>
    </w:p>
    <w:p w14:paraId="0000001E" w14:textId="77777777" w:rsidR="00A411CF" w:rsidRDefault="00000000">
      <w:pPr>
        <w:shd w:val="clear" w:color="auto" w:fill="FFFFFF"/>
        <w:spacing w:after="400" w:line="480" w:lineRule="auto"/>
        <w:rPr>
          <w:sz w:val="24"/>
          <w:szCs w:val="24"/>
        </w:rPr>
      </w:pPr>
      <w:r>
        <w:rPr>
          <w:sz w:val="24"/>
          <w:szCs w:val="24"/>
        </w:rPr>
        <w:t xml:space="preserve">Black and minority ethnic youths are overrepresented in the criminal justice system because police unfairly and disproportionately profiles and target these groups. ‘In the year ending March 2023, Black children were involved in 20% of stop and searches – 14% higher than the proportion of Black 10 to 17-year-olds in the 2021 population and the only ethnic group to be over-represented compared with the population. In addition, between the years ending March 2010 to 2020, Black children in England and Wales were nearly five times more likely to be arrested than White children and account for 26% of the youth custody population compared with 6% of all 10 to 17-year-olds’. (Revolving Doors, 2024) This highlights the clear difference in policing attitudes towards BAME (black and minority ethnic) youths compared to white youths. There is clear institutional racism still present and statistics from (YMCA, 2020) states that ‘64% of young Black people worry about being treated unfairly by the Police, and 54% do not trust the Police to act without prejudice and discrimination. 55% of young Black people worry about being falsely accused of a crime.’ This could suggest that due to mistrust of police, BAME youths would be hesitant to involve police if they feel in danger and </w:t>
      </w:r>
      <w:r>
        <w:rPr>
          <w:sz w:val="24"/>
          <w:szCs w:val="24"/>
        </w:rPr>
        <w:lastRenderedPageBreak/>
        <w:t xml:space="preserve">therefore situations escalate into crime unnecessarily leading to the overrepresentation of BAME youths in the criminal justice system. </w:t>
      </w:r>
    </w:p>
    <w:p w14:paraId="0000001F" w14:textId="77777777" w:rsidR="00A411CF" w:rsidRDefault="00000000">
      <w:pPr>
        <w:shd w:val="clear" w:color="auto" w:fill="FFFFFF"/>
        <w:spacing w:after="460" w:line="480" w:lineRule="auto"/>
        <w:rPr>
          <w:sz w:val="24"/>
          <w:szCs w:val="24"/>
        </w:rPr>
      </w:pPr>
      <w:r>
        <w:rPr>
          <w:sz w:val="24"/>
          <w:szCs w:val="24"/>
        </w:rPr>
        <w:t>According to Wainwright, J. and Larkins, C. (2019) it is believed that ‘since the election of Obama it has been argued that US and UK society is viewed through the prism of a ‘post-race’ era, where the experiences of racism for Black, Asian and Minority Ethnic (BAME) communities has diminished’. This suggests that BAME individuals are experiencing less racism in everyday life. However, this overlooks the institutional racism that is still present and has been present preceding the Stephen Lawrence case which resulted in the McPherson report. ‘The Casey Review found evidence of continuing systemic racism in the Met, against both staff and the public. The report by Baroness Louise Casey comes 24 years after the Macpherson Report which looked at the investigation into Stephen Lawrence's racially-motivated killing and exposed institutional racism in the Met, the UK's biggest police force’. This article clearly highlights the fact that racism is still a big issue faced by BAME individuals, and that police forces are still institutionally racist (Seddon, S. and Kotecha, S. (2023).</w:t>
      </w:r>
    </w:p>
    <w:p w14:paraId="00000020" w14:textId="2B4967FF" w:rsidR="00A411CF" w:rsidRDefault="00000000">
      <w:pPr>
        <w:shd w:val="clear" w:color="auto" w:fill="FFFFFF"/>
        <w:spacing w:after="460" w:line="480" w:lineRule="auto"/>
        <w:rPr>
          <w:sz w:val="24"/>
          <w:szCs w:val="24"/>
        </w:rPr>
      </w:pPr>
      <w:r>
        <w:rPr>
          <w:sz w:val="24"/>
          <w:szCs w:val="24"/>
        </w:rPr>
        <w:t xml:space="preserve">Youth offending patterns in the UK are driven by structural inequality and lack of opportunities for certain categories of individual, mainly due to race and class. These both overlap as BAME individuals are more likely to experience poverty, deprivation, poor schooling along with lack of opportunities and sense of belonging. While statistics suggest a disproportionately higher </w:t>
      </w:r>
      <w:r w:rsidR="00E267F3">
        <w:rPr>
          <w:sz w:val="24"/>
          <w:szCs w:val="24"/>
        </w:rPr>
        <w:t>percentage</w:t>
      </w:r>
      <w:r>
        <w:rPr>
          <w:sz w:val="24"/>
          <w:szCs w:val="24"/>
        </w:rPr>
        <w:t xml:space="preserve"> of crime within BAME communities, this does not mean that BAME youths are committing more offences. Rather it highlights the unfair and biased way that areas are being policed. Furthermore, youth offending </w:t>
      </w:r>
      <w:r>
        <w:rPr>
          <w:sz w:val="24"/>
          <w:szCs w:val="24"/>
        </w:rPr>
        <w:lastRenderedPageBreak/>
        <w:t xml:space="preserve">patterns cannot be explained by just race and class as it has clearly been highlighted that middle and higher class crime </w:t>
      </w:r>
      <w:r w:rsidR="00E267F3">
        <w:rPr>
          <w:sz w:val="24"/>
          <w:szCs w:val="24"/>
        </w:rPr>
        <w:t>is</w:t>
      </w:r>
      <w:r>
        <w:rPr>
          <w:sz w:val="24"/>
          <w:szCs w:val="24"/>
        </w:rPr>
        <w:t xml:space="preserve"> not detected or policed as much as lower class crime. Similarly, BAME youths are racially profiled more than white youths which is a main contributing factor as to why there is a disproportionate amount of BAME youths in the criminal justice system.</w:t>
      </w:r>
    </w:p>
    <w:p w14:paraId="00000021" w14:textId="77777777" w:rsidR="00A411CF" w:rsidRDefault="00A411CF">
      <w:pPr>
        <w:shd w:val="clear" w:color="auto" w:fill="FFFFFF"/>
        <w:spacing w:after="460" w:line="480" w:lineRule="auto"/>
        <w:rPr>
          <w:sz w:val="24"/>
          <w:szCs w:val="24"/>
        </w:rPr>
      </w:pPr>
    </w:p>
    <w:p w14:paraId="00000022" w14:textId="77777777" w:rsidR="00A411CF" w:rsidRDefault="00A411CF">
      <w:pPr>
        <w:shd w:val="clear" w:color="auto" w:fill="FFFFFF"/>
        <w:spacing w:after="460" w:line="480" w:lineRule="auto"/>
        <w:rPr>
          <w:sz w:val="24"/>
          <w:szCs w:val="24"/>
        </w:rPr>
      </w:pPr>
    </w:p>
    <w:p w14:paraId="00000023" w14:textId="77777777" w:rsidR="00A411CF" w:rsidRDefault="00A411CF">
      <w:pPr>
        <w:shd w:val="clear" w:color="auto" w:fill="FFFFFF"/>
        <w:spacing w:after="460" w:line="480" w:lineRule="auto"/>
        <w:rPr>
          <w:sz w:val="24"/>
          <w:szCs w:val="24"/>
        </w:rPr>
      </w:pPr>
    </w:p>
    <w:p w14:paraId="00000024" w14:textId="77777777" w:rsidR="00A411CF" w:rsidRDefault="00A411CF">
      <w:pPr>
        <w:shd w:val="clear" w:color="auto" w:fill="FFFFFF"/>
        <w:spacing w:after="460" w:line="480" w:lineRule="auto"/>
        <w:rPr>
          <w:sz w:val="24"/>
          <w:szCs w:val="24"/>
        </w:rPr>
      </w:pPr>
    </w:p>
    <w:p w14:paraId="00000025" w14:textId="77777777" w:rsidR="00A411CF" w:rsidRDefault="00A411CF">
      <w:pPr>
        <w:shd w:val="clear" w:color="auto" w:fill="FFFFFF"/>
        <w:spacing w:after="460" w:line="480" w:lineRule="auto"/>
        <w:rPr>
          <w:sz w:val="24"/>
          <w:szCs w:val="24"/>
        </w:rPr>
      </w:pPr>
    </w:p>
    <w:p w14:paraId="00000026" w14:textId="77777777" w:rsidR="00A411CF" w:rsidRDefault="00A411CF">
      <w:pPr>
        <w:shd w:val="clear" w:color="auto" w:fill="FFFFFF"/>
        <w:spacing w:after="460" w:line="480" w:lineRule="auto"/>
        <w:rPr>
          <w:sz w:val="24"/>
          <w:szCs w:val="24"/>
        </w:rPr>
      </w:pPr>
    </w:p>
    <w:p w14:paraId="00000027" w14:textId="77777777" w:rsidR="00A411CF" w:rsidRDefault="00A411CF">
      <w:pPr>
        <w:shd w:val="clear" w:color="auto" w:fill="FFFFFF"/>
        <w:spacing w:after="460" w:line="480" w:lineRule="auto"/>
        <w:rPr>
          <w:sz w:val="24"/>
          <w:szCs w:val="24"/>
        </w:rPr>
      </w:pPr>
    </w:p>
    <w:p w14:paraId="00000028" w14:textId="77777777" w:rsidR="00A411CF" w:rsidRDefault="00A411CF">
      <w:pPr>
        <w:shd w:val="clear" w:color="auto" w:fill="FFFFFF"/>
        <w:spacing w:after="460" w:line="480" w:lineRule="auto"/>
        <w:rPr>
          <w:sz w:val="24"/>
          <w:szCs w:val="24"/>
        </w:rPr>
      </w:pPr>
    </w:p>
    <w:p w14:paraId="3098C3AA" w14:textId="77777777" w:rsidR="008A28BB" w:rsidRDefault="008A28BB">
      <w:pPr>
        <w:spacing w:line="480" w:lineRule="auto"/>
        <w:rPr>
          <w:sz w:val="24"/>
          <w:szCs w:val="24"/>
        </w:rPr>
      </w:pPr>
    </w:p>
    <w:p w14:paraId="13DA11D0" w14:textId="77777777" w:rsidR="008A28BB" w:rsidRDefault="008A28BB">
      <w:pPr>
        <w:spacing w:line="480" w:lineRule="auto"/>
        <w:rPr>
          <w:sz w:val="24"/>
          <w:szCs w:val="24"/>
        </w:rPr>
      </w:pPr>
    </w:p>
    <w:p w14:paraId="00000029" w14:textId="6F972101" w:rsidR="00A411CF" w:rsidRDefault="00000000">
      <w:pPr>
        <w:spacing w:line="480" w:lineRule="auto"/>
        <w:rPr>
          <w:sz w:val="24"/>
          <w:szCs w:val="24"/>
        </w:rPr>
      </w:pPr>
      <w:r>
        <w:rPr>
          <w:sz w:val="24"/>
          <w:szCs w:val="24"/>
        </w:rPr>
        <w:lastRenderedPageBreak/>
        <w:t>Commission on Race and Ethnic Disparities, 2021.</w:t>
      </w:r>
      <w:r>
        <w:rPr>
          <w:i/>
          <w:iCs/>
          <w:sz w:val="24"/>
          <w:szCs w:val="24"/>
        </w:rPr>
        <w:t xml:space="preserve"> Understanding ethnic disparities in involvement in crime.</w:t>
      </w:r>
      <w:r>
        <w:rPr>
          <w:sz w:val="24"/>
          <w:szCs w:val="24"/>
        </w:rPr>
        <w:t xml:space="preserve"> Available at: </w:t>
      </w:r>
      <w:hyperlink r:id="rId4">
        <w:r w:rsidR="00A411CF">
          <w:rPr>
            <w:color w:val="1155CC"/>
            <w:sz w:val="24"/>
            <w:szCs w:val="24"/>
            <w:u w:val="single"/>
          </w:rPr>
          <w:t>https://www.gov.uk/government/publications/the-report-of-the-commission-on-race-and-ethnic-disparities-supporting-research/understanding-ethnic-disparities-in-involvement-in-crime-a-limited-scope-rapid-evidence-review-by-professor-clifford-stott-et-al?utm_</w:t>
        </w:r>
      </w:hyperlink>
      <w:r>
        <w:rPr>
          <w:sz w:val="24"/>
          <w:szCs w:val="24"/>
        </w:rPr>
        <w:t xml:space="preserve"> (Accessed: March 6)</w:t>
      </w:r>
    </w:p>
    <w:p w14:paraId="0000002A" w14:textId="77777777" w:rsidR="00A411CF" w:rsidRDefault="00A411CF">
      <w:pPr>
        <w:spacing w:line="480" w:lineRule="auto"/>
        <w:rPr>
          <w:sz w:val="24"/>
          <w:szCs w:val="24"/>
        </w:rPr>
      </w:pPr>
    </w:p>
    <w:p w14:paraId="0000002B" w14:textId="77777777" w:rsidR="00A411CF" w:rsidRDefault="00000000">
      <w:pPr>
        <w:spacing w:line="480" w:lineRule="auto"/>
        <w:rPr>
          <w:sz w:val="24"/>
          <w:szCs w:val="24"/>
        </w:rPr>
      </w:pPr>
      <w:r>
        <w:rPr>
          <w:sz w:val="24"/>
          <w:szCs w:val="24"/>
        </w:rPr>
        <w:t xml:space="preserve">Cps.gov.uk. (2018). </w:t>
      </w:r>
      <w:r>
        <w:rPr>
          <w:i/>
          <w:iCs/>
          <w:sz w:val="24"/>
          <w:szCs w:val="24"/>
        </w:rPr>
        <w:t xml:space="preserve">Youth crime | The Crown Prosecution Service. </w:t>
      </w:r>
      <w:r>
        <w:rPr>
          <w:sz w:val="24"/>
          <w:szCs w:val="24"/>
        </w:rPr>
        <w:t xml:space="preserve">Available at: </w:t>
      </w:r>
      <w:hyperlink r:id="rId5">
        <w:r w:rsidR="00A411CF">
          <w:rPr>
            <w:color w:val="1155CC"/>
            <w:sz w:val="24"/>
            <w:szCs w:val="24"/>
            <w:u w:val="single"/>
          </w:rPr>
          <w:t>https://www.cps.gov.uk/types-crime/youth-crime</w:t>
        </w:r>
      </w:hyperlink>
      <w:r>
        <w:rPr>
          <w:sz w:val="24"/>
          <w:szCs w:val="24"/>
        </w:rPr>
        <w:t>. (Accessed: March 5)</w:t>
      </w:r>
    </w:p>
    <w:p w14:paraId="0000002C" w14:textId="77777777" w:rsidR="00A411CF" w:rsidRDefault="00A411CF">
      <w:pPr>
        <w:spacing w:line="480" w:lineRule="auto"/>
        <w:rPr>
          <w:sz w:val="24"/>
          <w:szCs w:val="24"/>
        </w:rPr>
      </w:pPr>
    </w:p>
    <w:p w14:paraId="0000002D" w14:textId="6CCAD631" w:rsidR="00A411CF" w:rsidRDefault="00000000">
      <w:pPr>
        <w:spacing w:line="480" w:lineRule="auto"/>
        <w:rPr>
          <w:sz w:val="24"/>
          <w:szCs w:val="24"/>
        </w:rPr>
      </w:pPr>
      <w:r>
        <w:rPr>
          <w:sz w:val="24"/>
          <w:szCs w:val="24"/>
        </w:rPr>
        <w:t xml:space="preserve">Criminal Justice. </w:t>
      </w:r>
      <w:r>
        <w:rPr>
          <w:i/>
          <w:iCs/>
          <w:sz w:val="24"/>
          <w:szCs w:val="24"/>
        </w:rPr>
        <w:t xml:space="preserve">Social Class and Crime - Criminal Justice - IResearchNet. </w:t>
      </w:r>
      <w:r>
        <w:rPr>
          <w:sz w:val="24"/>
          <w:szCs w:val="24"/>
        </w:rPr>
        <w:t xml:space="preserve">Available at: </w:t>
      </w:r>
      <w:hyperlink r:id="rId6" w:anchor="google_vignette">
        <w:r w:rsidR="00A411CF">
          <w:rPr>
            <w:color w:val="1155CC"/>
            <w:sz w:val="24"/>
            <w:szCs w:val="24"/>
            <w:u w:val="single"/>
          </w:rPr>
          <w:t>https://criminal-justice.iresearchnet.com/correlates-of-crime/social-class-and-crime/#google_vignette</w:t>
        </w:r>
      </w:hyperlink>
      <w:r>
        <w:rPr>
          <w:sz w:val="24"/>
          <w:szCs w:val="24"/>
        </w:rPr>
        <w:t>. (Accessed: March 6)</w:t>
      </w:r>
    </w:p>
    <w:p w14:paraId="0000002E" w14:textId="77777777" w:rsidR="00A411CF" w:rsidRDefault="00A411CF">
      <w:pPr>
        <w:spacing w:line="480" w:lineRule="auto"/>
        <w:rPr>
          <w:sz w:val="24"/>
          <w:szCs w:val="24"/>
        </w:rPr>
      </w:pPr>
    </w:p>
    <w:p w14:paraId="0000002F" w14:textId="77777777" w:rsidR="00A411CF" w:rsidRDefault="00000000">
      <w:pPr>
        <w:spacing w:line="480" w:lineRule="auto"/>
        <w:rPr>
          <w:sz w:val="24"/>
          <w:szCs w:val="24"/>
        </w:rPr>
      </w:pPr>
      <w:r>
        <w:rPr>
          <w:sz w:val="24"/>
          <w:szCs w:val="24"/>
        </w:rPr>
        <w:t xml:space="preserve">Revolving Doors (2024). </w:t>
      </w:r>
      <w:r>
        <w:rPr>
          <w:i/>
          <w:iCs/>
          <w:sz w:val="24"/>
          <w:szCs w:val="24"/>
        </w:rPr>
        <w:t>Addressing racial disparity in the youth justice system</w:t>
      </w:r>
      <w:r>
        <w:rPr>
          <w:sz w:val="24"/>
          <w:szCs w:val="24"/>
        </w:rPr>
        <w:t xml:space="preserve">. Available at: </w:t>
      </w:r>
      <w:hyperlink r:id="rId7">
        <w:r w:rsidR="00A411CF">
          <w:rPr>
            <w:color w:val="1155CC"/>
            <w:sz w:val="24"/>
            <w:szCs w:val="24"/>
            <w:u w:val="single"/>
          </w:rPr>
          <w:t>https://revolving-doors.org.uk/publications/addressing-racial-disparity-in-the-youth-justice-system/</w:t>
        </w:r>
      </w:hyperlink>
      <w:r>
        <w:rPr>
          <w:sz w:val="24"/>
          <w:szCs w:val="24"/>
        </w:rPr>
        <w:t>. (Accessed: March 4)</w:t>
      </w:r>
    </w:p>
    <w:p w14:paraId="00000030" w14:textId="77777777" w:rsidR="00A411CF" w:rsidRDefault="00A411CF">
      <w:pPr>
        <w:spacing w:line="480" w:lineRule="auto"/>
        <w:rPr>
          <w:sz w:val="24"/>
          <w:szCs w:val="24"/>
        </w:rPr>
      </w:pPr>
    </w:p>
    <w:p w14:paraId="00000031" w14:textId="77777777" w:rsidR="00A411CF" w:rsidRDefault="00000000">
      <w:pPr>
        <w:spacing w:line="480" w:lineRule="auto"/>
        <w:rPr>
          <w:sz w:val="24"/>
          <w:szCs w:val="24"/>
        </w:rPr>
      </w:pPr>
      <w:r>
        <w:rPr>
          <w:sz w:val="24"/>
          <w:szCs w:val="24"/>
        </w:rPr>
        <w:t>The Health Foundation. (2023).</w:t>
      </w:r>
      <w:r>
        <w:rPr>
          <w:i/>
          <w:iCs/>
          <w:sz w:val="24"/>
          <w:szCs w:val="24"/>
        </w:rPr>
        <w:t xml:space="preserve"> Inequalities in likelihood of living in high-crime neighbourhoods. </w:t>
      </w:r>
      <w:r>
        <w:rPr>
          <w:sz w:val="24"/>
          <w:szCs w:val="24"/>
        </w:rPr>
        <w:t xml:space="preserve">Available at: </w:t>
      </w:r>
      <w:hyperlink r:id="rId8">
        <w:r w:rsidR="00A411CF">
          <w:rPr>
            <w:color w:val="1155CC"/>
            <w:sz w:val="24"/>
            <w:szCs w:val="24"/>
            <w:u w:val="single"/>
          </w:rPr>
          <w:t>https://www.health.org.uk/evidence-hub/surroundings/inequalities-in-likelihood-of-living-in-high-crime-neighbourhoods</w:t>
        </w:r>
      </w:hyperlink>
      <w:r>
        <w:rPr>
          <w:sz w:val="24"/>
          <w:szCs w:val="24"/>
        </w:rPr>
        <w:t>. (Accessed: March 5)</w:t>
      </w:r>
    </w:p>
    <w:p w14:paraId="00000032" w14:textId="77777777" w:rsidR="00A411CF" w:rsidRDefault="00A411CF">
      <w:pPr>
        <w:spacing w:line="480" w:lineRule="auto"/>
        <w:rPr>
          <w:sz w:val="24"/>
          <w:szCs w:val="24"/>
        </w:rPr>
      </w:pPr>
    </w:p>
    <w:p w14:paraId="00000033" w14:textId="77777777" w:rsidR="00A411CF" w:rsidRDefault="00000000">
      <w:pPr>
        <w:spacing w:line="480" w:lineRule="auto"/>
        <w:rPr>
          <w:sz w:val="24"/>
          <w:szCs w:val="24"/>
        </w:rPr>
      </w:pPr>
      <w:r>
        <w:rPr>
          <w:sz w:val="24"/>
          <w:szCs w:val="24"/>
        </w:rPr>
        <w:lastRenderedPageBreak/>
        <w:t xml:space="preserve">Wainwright, J. and Larkins, C. (2019). </w:t>
      </w:r>
      <w:r>
        <w:rPr>
          <w:i/>
          <w:iCs/>
          <w:sz w:val="24"/>
          <w:szCs w:val="24"/>
        </w:rPr>
        <w:t>Race, ethnicity, young people and offending: the elephant in the room. Social Identities</w:t>
      </w:r>
      <w:r>
        <w:rPr>
          <w:sz w:val="24"/>
          <w:szCs w:val="24"/>
        </w:rPr>
        <w:t xml:space="preserve"> pp.1–17. Available at: </w:t>
      </w:r>
      <w:hyperlink r:id="rId9">
        <w:r w:rsidR="00A411CF">
          <w:rPr>
            <w:color w:val="1155CC"/>
            <w:sz w:val="24"/>
            <w:szCs w:val="24"/>
            <w:u w:val="single"/>
          </w:rPr>
          <w:t>https://doi.org/10.1080/13504630.2019.1684887</w:t>
        </w:r>
      </w:hyperlink>
      <w:r>
        <w:rPr>
          <w:sz w:val="24"/>
          <w:szCs w:val="24"/>
        </w:rPr>
        <w:t>. (Accessed: March 2)</w:t>
      </w:r>
    </w:p>
    <w:p w14:paraId="00000034" w14:textId="77777777" w:rsidR="00A411CF" w:rsidRDefault="00A411CF">
      <w:pPr>
        <w:spacing w:line="480" w:lineRule="auto"/>
        <w:rPr>
          <w:sz w:val="24"/>
          <w:szCs w:val="24"/>
        </w:rPr>
      </w:pPr>
    </w:p>
    <w:p w14:paraId="00000035" w14:textId="77777777" w:rsidR="00A411CF" w:rsidRDefault="00000000">
      <w:pPr>
        <w:spacing w:line="480" w:lineRule="auto"/>
        <w:rPr>
          <w:sz w:val="24"/>
          <w:szCs w:val="24"/>
        </w:rPr>
      </w:pPr>
      <w:r>
        <w:rPr>
          <w:sz w:val="24"/>
          <w:szCs w:val="24"/>
        </w:rPr>
        <w:t xml:space="preserve">Wikström, P.-O.H. and Treiber, K. (2016). </w:t>
      </w:r>
      <w:r>
        <w:rPr>
          <w:i/>
          <w:iCs/>
          <w:sz w:val="24"/>
          <w:szCs w:val="24"/>
        </w:rPr>
        <w:t>Social Disadvantage and Crime. American Behavioral Scientist</w:t>
      </w:r>
      <w:r>
        <w:rPr>
          <w:sz w:val="24"/>
          <w:szCs w:val="24"/>
        </w:rPr>
        <w:t xml:space="preserve"> pp.1232–1259. Available at: </w:t>
      </w:r>
      <w:hyperlink r:id="rId10">
        <w:r w:rsidR="00A411CF">
          <w:rPr>
            <w:color w:val="1155CC"/>
            <w:sz w:val="24"/>
            <w:szCs w:val="24"/>
            <w:u w:val="single"/>
          </w:rPr>
          <w:t>https://doi.org/10.1177/0002764216643134</w:t>
        </w:r>
      </w:hyperlink>
      <w:r>
        <w:rPr>
          <w:sz w:val="24"/>
          <w:szCs w:val="24"/>
        </w:rPr>
        <w:t>. (Accessed: March 4)</w:t>
      </w:r>
    </w:p>
    <w:p w14:paraId="00000036" w14:textId="77777777" w:rsidR="00A411CF" w:rsidRDefault="00A411CF">
      <w:pPr>
        <w:spacing w:line="480" w:lineRule="auto"/>
        <w:rPr>
          <w:sz w:val="24"/>
          <w:szCs w:val="24"/>
        </w:rPr>
      </w:pPr>
    </w:p>
    <w:p w14:paraId="00000037" w14:textId="77777777" w:rsidR="00A411CF" w:rsidRDefault="00000000">
      <w:pPr>
        <w:spacing w:line="480" w:lineRule="auto"/>
        <w:rPr>
          <w:sz w:val="24"/>
          <w:szCs w:val="24"/>
        </w:rPr>
      </w:pPr>
      <w:r>
        <w:rPr>
          <w:sz w:val="24"/>
          <w:szCs w:val="24"/>
        </w:rPr>
        <w:t xml:space="preserve">YMCA (2020). </w:t>
      </w:r>
      <w:r>
        <w:rPr>
          <w:i/>
          <w:iCs/>
          <w:sz w:val="24"/>
          <w:szCs w:val="24"/>
        </w:rPr>
        <w:t>THE YOUNG BLACK EXPERIENCE OF INSTITUTIONAL RACISM IN THE UK.</w:t>
      </w:r>
      <w:r>
        <w:rPr>
          <w:sz w:val="24"/>
          <w:szCs w:val="24"/>
        </w:rPr>
        <w:t xml:space="preserve"> Available at: </w:t>
      </w:r>
      <w:hyperlink r:id="rId11">
        <w:r w:rsidR="00A411CF">
          <w:rPr>
            <w:color w:val="1155CC"/>
            <w:sz w:val="24"/>
            <w:szCs w:val="24"/>
            <w:u w:val="single"/>
          </w:rPr>
          <w:t>https://ymca.org.uk/wp-content/uploads/2024/08/ymca-young-and-black-2020.pdf</w:t>
        </w:r>
      </w:hyperlink>
      <w:r>
        <w:rPr>
          <w:sz w:val="24"/>
          <w:szCs w:val="24"/>
        </w:rPr>
        <w:t>. (Accessed: March 3)</w:t>
      </w:r>
    </w:p>
    <w:p w14:paraId="00000038" w14:textId="77777777" w:rsidR="00A411CF" w:rsidRDefault="00A411CF">
      <w:pPr>
        <w:spacing w:line="480" w:lineRule="auto"/>
        <w:rPr>
          <w:sz w:val="24"/>
          <w:szCs w:val="24"/>
        </w:rPr>
      </w:pPr>
    </w:p>
    <w:p w14:paraId="00000039" w14:textId="77777777" w:rsidR="00A411CF" w:rsidRDefault="00000000">
      <w:pPr>
        <w:spacing w:line="480" w:lineRule="auto"/>
        <w:rPr>
          <w:sz w:val="24"/>
          <w:szCs w:val="24"/>
        </w:rPr>
      </w:pPr>
      <w:r>
        <w:rPr>
          <w:sz w:val="24"/>
          <w:szCs w:val="24"/>
        </w:rPr>
        <w:t xml:space="preserve">Young people and the law (2011). </w:t>
      </w:r>
      <w:r>
        <w:rPr>
          <w:i/>
          <w:iCs/>
          <w:sz w:val="24"/>
          <w:szCs w:val="24"/>
        </w:rPr>
        <w:t xml:space="preserve">Age of Criminal Responsibility. </w:t>
      </w:r>
      <w:r>
        <w:rPr>
          <w:sz w:val="24"/>
          <w:szCs w:val="24"/>
        </w:rPr>
        <w:t xml:space="preserve">Available at: </w:t>
      </w:r>
      <w:hyperlink r:id="rId12">
        <w:r w:rsidR="00A411CF">
          <w:rPr>
            <w:color w:val="1155CC"/>
            <w:sz w:val="24"/>
            <w:szCs w:val="24"/>
            <w:u w:val="single"/>
          </w:rPr>
          <w:t>https://www.gov.uk/age-of-criminal-responsibility</w:t>
        </w:r>
      </w:hyperlink>
      <w:r>
        <w:rPr>
          <w:sz w:val="24"/>
          <w:szCs w:val="24"/>
        </w:rPr>
        <w:t>. (Accessed: March 4)</w:t>
      </w:r>
    </w:p>
    <w:p w14:paraId="0000003A" w14:textId="77777777" w:rsidR="00A411CF" w:rsidRDefault="00A411CF">
      <w:pPr>
        <w:spacing w:line="480" w:lineRule="auto"/>
        <w:rPr>
          <w:sz w:val="24"/>
          <w:szCs w:val="24"/>
        </w:rPr>
      </w:pPr>
    </w:p>
    <w:p w14:paraId="0000003B" w14:textId="77777777" w:rsidR="00A411CF" w:rsidRDefault="00000000">
      <w:pPr>
        <w:spacing w:line="480" w:lineRule="auto"/>
        <w:rPr>
          <w:sz w:val="24"/>
          <w:szCs w:val="24"/>
        </w:rPr>
      </w:pPr>
      <w:r>
        <w:rPr>
          <w:sz w:val="24"/>
          <w:szCs w:val="24"/>
        </w:rPr>
        <w:t xml:space="preserve">Youth Justice Legal Centre. (2026). </w:t>
      </w:r>
      <w:r>
        <w:rPr>
          <w:i/>
          <w:iCs/>
          <w:sz w:val="24"/>
          <w:szCs w:val="24"/>
        </w:rPr>
        <w:t xml:space="preserve">Youth Justice Board annual statistics 2024-2025. </w:t>
      </w:r>
      <w:r>
        <w:rPr>
          <w:sz w:val="24"/>
          <w:szCs w:val="24"/>
        </w:rPr>
        <w:t xml:space="preserve">Available at: </w:t>
      </w:r>
      <w:hyperlink r:id="rId13">
        <w:r w:rsidR="00A411CF">
          <w:rPr>
            <w:color w:val="1155CC"/>
            <w:sz w:val="24"/>
            <w:szCs w:val="24"/>
            <w:u w:val="single"/>
          </w:rPr>
          <w:t>https://yjlc.uk/resources/legal-updates/youth-justice-board-annual-statistics-2024-2025</w:t>
        </w:r>
      </w:hyperlink>
      <w:r>
        <w:rPr>
          <w:sz w:val="24"/>
          <w:szCs w:val="24"/>
        </w:rPr>
        <w:t>. (Accessed: March 6)</w:t>
      </w:r>
    </w:p>
    <w:p w14:paraId="0000003C" w14:textId="77777777" w:rsidR="00A411CF" w:rsidRDefault="00000000">
      <w:pPr>
        <w:spacing w:line="480" w:lineRule="auto"/>
        <w:rPr>
          <w:sz w:val="24"/>
          <w:szCs w:val="24"/>
        </w:rPr>
      </w:pPr>
      <w:r>
        <w:rPr>
          <w:sz w:val="24"/>
          <w:szCs w:val="24"/>
        </w:rPr>
        <w:t xml:space="preserve">Young people and the law (2025). </w:t>
      </w:r>
      <w:r>
        <w:rPr>
          <w:i/>
          <w:iCs/>
          <w:sz w:val="24"/>
          <w:szCs w:val="24"/>
        </w:rPr>
        <w:t>The evolving response to ethnic disproportionality in youth justice. GOV.UK</w:t>
      </w:r>
      <w:r>
        <w:rPr>
          <w:sz w:val="24"/>
          <w:szCs w:val="24"/>
        </w:rPr>
        <w:t xml:space="preserve">. Available at: </w:t>
      </w:r>
      <w:hyperlink r:id="rId14">
        <w:r w:rsidR="00A411CF">
          <w:rPr>
            <w:color w:val="1155CC"/>
            <w:sz w:val="24"/>
            <w:szCs w:val="24"/>
            <w:u w:val="single"/>
          </w:rPr>
          <w:t>https://www.gov.uk/government/news/the-evolving-response-to-ethnic-disproportionality-in-youth-justice</w:t>
        </w:r>
      </w:hyperlink>
      <w:r>
        <w:rPr>
          <w:sz w:val="24"/>
          <w:szCs w:val="24"/>
        </w:rPr>
        <w:t>. (Accessed: March 5)</w:t>
      </w:r>
    </w:p>
    <w:p w14:paraId="0000003D" w14:textId="77777777" w:rsidR="00A411CF" w:rsidRDefault="00A411CF">
      <w:pPr>
        <w:spacing w:line="480" w:lineRule="auto"/>
        <w:rPr>
          <w:sz w:val="24"/>
          <w:szCs w:val="24"/>
        </w:rPr>
      </w:pPr>
    </w:p>
    <w:p w14:paraId="0000003E" w14:textId="77777777" w:rsidR="00A411CF" w:rsidRDefault="00A411CF">
      <w:pPr>
        <w:spacing w:line="480" w:lineRule="auto"/>
        <w:rPr>
          <w:sz w:val="24"/>
          <w:szCs w:val="24"/>
        </w:rPr>
      </w:pPr>
    </w:p>
    <w:p w14:paraId="00000049" w14:textId="77777777" w:rsidR="00A411CF" w:rsidRDefault="00000000">
      <w:pPr>
        <w:shd w:val="clear" w:color="auto" w:fill="FFFFFF"/>
        <w:spacing w:before="240" w:after="240" w:line="480" w:lineRule="auto"/>
        <w:rPr>
          <w:sz w:val="24"/>
          <w:szCs w:val="24"/>
        </w:rPr>
      </w:pPr>
      <w:r>
        <w:rPr>
          <w:sz w:val="24"/>
          <w:szCs w:val="24"/>
        </w:rPr>
        <w:lastRenderedPageBreak/>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0000004A" w14:textId="77777777" w:rsidR="00A411CF" w:rsidRDefault="00A411CF">
      <w:pPr>
        <w:shd w:val="clear" w:color="auto" w:fill="FFFFFF"/>
        <w:spacing w:after="460" w:line="480" w:lineRule="auto"/>
        <w:rPr>
          <w:sz w:val="24"/>
          <w:szCs w:val="24"/>
        </w:rPr>
      </w:pPr>
    </w:p>
    <w:sectPr w:rsidR="00A411CF">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C0BBEA08-1BED-402D-9E88-91EE9EEA9D8D}"/>
  </w:font>
  <w:font w:name="Cambria">
    <w:panose1 w:val="02040503050406030204"/>
    <w:charset w:val="00"/>
    <w:family w:val="roman"/>
    <w:pitch w:val="variable"/>
    <w:sig w:usb0="E00006FF" w:usb1="420024FF" w:usb2="02000000" w:usb3="00000000" w:csb0="0000019F" w:csb1="00000000"/>
    <w:embedRegular r:id="rId2" w:fontKey="{1F71B5A5-5EF8-46F0-9819-7E1349E55FC1}"/>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411CF"/>
    <w:rsid w:val="00631519"/>
    <w:rsid w:val="008A28BB"/>
    <w:rsid w:val="00A411CF"/>
    <w:rsid w:val="00E267F3"/>
    <w:rsid w:val="00E831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D10DB5"/>
  <w15:docId w15:val="{854E943E-C0C1-4DF4-AAB1-5BA70622C4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lth.org.uk/evidence-hub/surroundings/inequalities-in-likelihood-of-living-in-high-crime-neighbourhoods" TargetMode="External"/><Relationship Id="rId13" Type="http://schemas.openxmlformats.org/officeDocument/2006/relationships/hyperlink" Target="https://yjlc.uk/resources/legal-updates/youth-justice-board-annual-statistics-2024-2025" TargetMode="External"/><Relationship Id="rId3" Type="http://schemas.openxmlformats.org/officeDocument/2006/relationships/webSettings" Target="webSettings.xml"/><Relationship Id="rId7" Type="http://schemas.openxmlformats.org/officeDocument/2006/relationships/hyperlink" Target="https://revolving-doors.org.uk/publications/addressing-racial-disparity-in-the-youth-justice-system/" TargetMode="External"/><Relationship Id="rId12" Type="http://schemas.openxmlformats.org/officeDocument/2006/relationships/hyperlink" Target="https://www.gov.uk/age-of-criminal-responsibility"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criminal-justice.iresearchnet.com/correlates-of-crime/social-class-and-crime/" TargetMode="External"/><Relationship Id="rId11" Type="http://schemas.openxmlformats.org/officeDocument/2006/relationships/hyperlink" Target="https://ymca.org.uk/wp-content/uploads/2024/08/ymca-young-and-black-2020.pdf" TargetMode="External"/><Relationship Id="rId5" Type="http://schemas.openxmlformats.org/officeDocument/2006/relationships/hyperlink" Target="https://www.cps.gov.uk/types-crime/youth-crime" TargetMode="External"/><Relationship Id="rId15" Type="http://schemas.openxmlformats.org/officeDocument/2006/relationships/fontTable" Target="fontTable.xml"/><Relationship Id="rId10" Type="http://schemas.openxmlformats.org/officeDocument/2006/relationships/hyperlink" Target="https://doi.org/10.1177/0002764216643134" TargetMode="External"/><Relationship Id="rId4" Type="http://schemas.openxmlformats.org/officeDocument/2006/relationships/hyperlink" Target="https://www.gov.uk/government/publications/the-report-of-the-commission-on-race-and-ethnic-disparities-supporting-research/understanding-ethnic-disparities-in-involvement-in-crime-a-limited-scope-rapid-evidence-review-by-professor-clifford-stott-et-al?utm_" TargetMode="External"/><Relationship Id="rId9" Type="http://schemas.openxmlformats.org/officeDocument/2006/relationships/hyperlink" Target="https://doi.org/10.1080/13504630.2019.1684887" TargetMode="External"/><Relationship Id="rId14" Type="http://schemas.openxmlformats.org/officeDocument/2006/relationships/hyperlink" Target="https://www.gov.uk/government/news/the-evolving-response-to-ethnic-disproportionality-in-youth-justice"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Pages>
  <Words>2045</Words>
  <Characters>11663</Characters>
  <Application>Microsoft Office Word</Application>
  <DocSecurity>0</DocSecurity>
  <Lines>97</Lines>
  <Paragraphs>27</Paragraphs>
  <ScaleCrop>false</ScaleCrop>
  <Company/>
  <LinksUpToDate>false</LinksUpToDate>
  <CharactersWithSpaces>13681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Izzy Elias (2500593)</cp:lastModifiedBy>
  <cp:revision>4</cp:revision>
  <dcterms:created xsi:type="dcterms:W3CDTF">2026-03-06T17:24:00Z</dcterms:created>
  <dcterms:modified xsi:type="dcterms:W3CDTF">2026-03-06T17:30:00Z</dcterms:modified>
</cp:coreProperties>
</file>