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5F70F" w14:textId="0E894898" w:rsidR="007569C3" w:rsidRPr="00883BAD" w:rsidRDefault="007569C3" w:rsidP="00883BAD">
      <w:pPr>
        <w:spacing w:line="480" w:lineRule="auto"/>
        <w:rPr>
          <w:rFonts w:ascii="Times New Roman" w:hAnsi="Times New Roman" w:cs="Times New Roman"/>
          <w:b/>
          <w:bCs/>
          <w:color w:val="000000" w:themeColor="text1"/>
          <w:sz w:val="40"/>
          <w:szCs w:val="40"/>
        </w:rPr>
      </w:pPr>
      <w:r w:rsidRPr="00883BAD">
        <w:rPr>
          <w:rFonts w:ascii="Times New Roman" w:hAnsi="Times New Roman" w:cs="Times New Roman"/>
          <w:b/>
          <w:bCs/>
          <w:color w:val="000000" w:themeColor="text1"/>
          <w:sz w:val="40"/>
          <w:szCs w:val="40"/>
        </w:rPr>
        <w:t>Global Risks 2026-2028: Implications for Sustainable Development in an Age of Competition</w:t>
      </w:r>
    </w:p>
    <w:p w14:paraId="191E0BBF" w14:textId="77777777" w:rsidR="00883BAD" w:rsidRPr="00883BAD" w:rsidRDefault="00883BAD" w:rsidP="00883BAD">
      <w:pPr>
        <w:pStyle w:val="Heading1"/>
        <w:spacing w:line="480" w:lineRule="auto"/>
        <w:rPr>
          <w:rFonts w:ascii="Times New Roman" w:hAnsi="Times New Roman" w:cs="Times New Roman"/>
          <w:color w:val="000000" w:themeColor="text1"/>
        </w:rPr>
      </w:pPr>
      <w:bookmarkStart w:id="0" w:name="_Toc229475314"/>
      <w:r w:rsidRPr="00883BAD">
        <w:rPr>
          <w:rFonts w:ascii="Times New Roman" w:eastAsia="Arial" w:hAnsi="Times New Roman" w:cs="Times New Roman"/>
          <w:b/>
          <w:bCs/>
          <w:color w:val="000000" w:themeColor="text1"/>
          <w:sz w:val="28"/>
          <w:szCs w:val="28"/>
        </w:rPr>
        <w:t>Executive Summary</w:t>
      </w:r>
      <w:bookmarkEnd w:id="0"/>
    </w:p>
    <w:p w14:paraId="30B56E69" w14:textId="787CDEFB" w:rsidR="00883BAD" w:rsidRDefault="00883BAD" w:rsidP="00883BAD">
      <w:pPr>
        <w:spacing w:after="200" w:line="480" w:lineRule="auto"/>
        <w:jc w:val="both"/>
        <w:rPr>
          <w:rFonts w:ascii="Times New Roman" w:eastAsia="Arial" w:hAnsi="Times New Roman" w:cs="Times New Roman"/>
          <w:color w:val="000000" w:themeColor="text1"/>
        </w:rPr>
      </w:pPr>
      <w:r w:rsidRPr="00883BAD">
        <w:rPr>
          <w:rFonts w:ascii="Times New Roman" w:eastAsia="Arial" w:hAnsi="Times New Roman" w:cs="Times New Roman"/>
          <w:color w:val="000000" w:themeColor="text1"/>
        </w:rPr>
        <w:t xml:space="preserve">The World Economic Forum's Global Risks Report 2026 identifies geoeconomic confrontation, misinformation and disinformation, and societal polarisation as the three most severe risks </w:t>
      </w:r>
      <w:r w:rsidRPr="00883BAD">
        <w:rPr>
          <w:rFonts w:ascii="Times New Roman" w:hAnsi="Times New Roman" w:cs="Times New Roman"/>
          <w:color w:val="000000" w:themeColor="text1"/>
        </w:rPr>
        <w:t>for the next two years</w:t>
      </w:r>
      <w:r w:rsidRPr="00883BAD">
        <w:rPr>
          <w:rFonts w:ascii="Times New Roman" w:eastAsia="Arial" w:hAnsi="Times New Roman" w:cs="Times New Roman"/>
          <w:color w:val="000000" w:themeColor="text1"/>
        </w:rPr>
        <w:t xml:space="preserve">, with economic downturn recording one of the largest rises in severity scores compared with the previous year's findings (WEF, 2026). Drawing on responses from over 1,300 global experts, only 1% of respondents anticipate a calm outlook across either the two- or ten-year timeframe (WEF, 2026). This report analyses the top three two-year risks through the frameworks of weak and strong sustainability, industrial ecology, the Environmental Kuznets Curve, and ecological economics, assessing their combined impact on the United Nations Sustainable Development Goals (SDGs). The </w:t>
      </w:r>
      <w:r w:rsidRPr="00883BAD">
        <w:rPr>
          <w:rFonts w:ascii="Times New Roman" w:hAnsi="Times New Roman" w:cs="Times New Roman"/>
          <w:color w:val="000000" w:themeColor="text1"/>
        </w:rPr>
        <w:t>core</w:t>
      </w:r>
      <w:r w:rsidRPr="00883BAD">
        <w:rPr>
          <w:rFonts w:ascii="Times New Roman" w:eastAsia="Arial" w:hAnsi="Times New Roman" w:cs="Times New Roman"/>
          <w:color w:val="000000" w:themeColor="text1"/>
        </w:rPr>
        <w:t xml:space="preserve"> argument — and this report's own assessment — is that geoeconomic confrontation, informational disorder, and fiscal contraction are not parallel threats but a mutually reinforcing system that dismantles the cooperative infrastructure on which sustainable development depends. SDG 10 (Reduced Inequalities), SDG 13 (Climate Action),</w:t>
      </w:r>
      <w:r w:rsidRPr="00883BAD">
        <w:rPr>
          <w:rFonts w:ascii="Times New Roman" w:hAnsi="Times New Roman" w:cs="Times New Roman"/>
          <w:color w:val="000000" w:themeColor="text1"/>
        </w:rPr>
        <w:t xml:space="preserve"> </w:t>
      </w:r>
      <w:r w:rsidRPr="00883BAD">
        <w:rPr>
          <w:rFonts w:ascii="Times New Roman" w:eastAsia="Arial" w:hAnsi="Times New Roman" w:cs="Times New Roman"/>
          <w:color w:val="000000" w:themeColor="text1"/>
        </w:rPr>
        <w:t>and SDG 16 (Peace, Justice and Strong Institutions) face the most acute structural pressure. Strong sustainability — treating irreplaceable natural capital as a binding constraint rather than a factor to be substituted — is not merely a more rigorous standard; given the convergence of these risks, it is the only internally coherent one.</w:t>
      </w:r>
    </w:p>
    <w:p w14:paraId="3D080A38" w14:textId="6B0DA686" w:rsidR="00883BAD" w:rsidRDefault="00883BAD" w:rsidP="00883BAD">
      <w:pPr>
        <w:spacing w:line="480" w:lineRule="auto"/>
        <w:rPr>
          <w:rFonts w:ascii="Times New Roman" w:eastAsia="Arial" w:hAnsi="Times New Roman" w:cs="Times New Roman"/>
          <w:color w:val="000000" w:themeColor="text1"/>
        </w:rPr>
      </w:pPr>
      <w:r>
        <w:rPr>
          <w:rFonts w:ascii="Times New Roman" w:eastAsia="Arial" w:hAnsi="Times New Roman" w:cs="Times New Roman"/>
          <w:color w:val="000000" w:themeColor="text1"/>
        </w:rPr>
        <w:br w:type="page"/>
      </w:r>
    </w:p>
    <w:sdt>
      <w:sdtPr>
        <w:id w:val="10415667"/>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C95FDAB" w14:textId="5328683E" w:rsidR="00883BAD" w:rsidRDefault="00883BAD" w:rsidP="00883BAD">
          <w:pPr>
            <w:pStyle w:val="TOCHeading"/>
            <w:spacing w:line="480" w:lineRule="auto"/>
          </w:pPr>
          <w:r>
            <w:t>Table of Contents</w:t>
          </w:r>
        </w:p>
        <w:p w14:paraId="49CA1C14" w14:textId="2F97B500" w:rsidR="00883BAD" w:rsidRDefault="00883BAD" w:rsidP="00883BAD">
          <w:pPr>
            <w:pStyle w:val="TOC1"/>
            <w:tabs>
              <w:tab w:val="right" w:leader="dot" w:pos="9016"/>
            </w:tabs>
            <w:spacing w:line="480" w:lineRule="auto"/>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9475314" w:history="1">
            <w:r w:rsidRPr="00E93061">
              <w:rPr>
                <w:rStyle w:val="Hyperlink"/>
                <w:rFonts w:ascii="Times New Roman" w:eastAsia="Arial" w:hAnsi="Times New Roman" w:cs="Times New Roman"/>
                <w:noProof/>
              </w:rPr>
              <w:t>Executive Summary</w:t>
            </w:r>
            <w:r>
              <w:rPr>
                <w:noProof/>
                <w:webHidden/>
              </w:rPr>
              <w:tab/>
            </w:r>
            <w:r>
              <w:rPr>
                <w:noProof/>
                <w:webHidden/>
              </w:rPr>
              <w:fldChar w:fldCharType="begin"/>
            </w:r>
            <w:r>
              <w:rPr>
                <w:noProof/>
                <w:webHidden/>
              </w:rPr>
              <w:instrText xml:space="preserve"> PAGEREF _Toc229475314 \h </w:instrText>
            </w:r>
            <w:r>
              <w:rPr>
                <w:noProof/>
                <w:webHidden/>
              </w:rPr>
            </w:r>
            <w:r>
              <w:rPr>
                <w:noProof/>
                <w:webHidden/>
              </w:rPr>
              <w:fldChar w:fldCharType="separate"/>
            </w:r>
            <w:r>
              <w:rPr>
                <w:noProof/>
                <w:webHidden/>
              </w:rPr>
              <w:t>1</w:t>
            </w:r>
            <w:r>
              <w:rPr>
                <w:noProof/>
                <w:webHidden/>
              </w:rPr>
              <w:fldChar w:fldCharType="end"/>
            </w:r>
          </w:hyperlink>
        </w:p>
        <w:p w14:paraId="69A410B7" w14:textId="416CF489" w:rsidR="00883BAD" w:rsidRDefault="00883BAD" w:rsidP="00883BAD">
          <w:pPr>
            <w:pStyle w:val="TOC1"/>
            <w:tabs>
              <w:tab w:val="right" w:leader="dot" w:pos="9016"/>
            </w:tabs>
            <w:spacing w:line="480" w:lineRule="auto"/>
            <w:rPr>
              <w:rFonts w:eastAsiaTheme="minorEastAsia"/>
              <w:b w:val="0"/>
              <w:bCs w:val="0"/>
              <w:i w:val="0"/>
              <w:iCs w:val="0"/>
              <w:noProof/>
              <w:lang w:eastAsia="en-GB"/>
            </w:rPr>
          </w:pPr>
          <w:hyperlink w:anchor="_Toc229475315" w:history="1">
            <w:r w:rsidRPr="00E93061">
              <w:rPr>
                <w:rStyle w:val="Hyperlink"/>
                <w:rFonts w:ascii="Times New Roman" w:eastAsia="Arial" w:hAnsi="Times New Roman" w:cs="Times New Roman"/>
                <w:noProof/>
              </w:rPr>
              <w:t>1.0  Introduction</w:t>
            </w:r>
            <w:r>
              <w:rPr>
                <w:noProof/>
                <w:webHidden/>
              </w:rPr>
              <w:tab/>
            </w:r>
            <w:r>
              <w:rPr>
                <w:noProof/>
                <w:webHidden/>
              </w:rPr>
              <w:fldChar w:fldCharType="begin"/>
            </w:r>
            <w:r>
              <w:rPr>
                <w:noProof/>
                <w:webHidden/>
              </w:rPr>
              <w:instrText xml:space="preserve"> PAGEREF _Toc229475315 \h </w:instrText>
            </w:r>
            <w:r>
              <w:rPr>
                <w:noProof/>
                <w:webHidden/>
              </w:rPr>
            </w:r>
            <w:r>
              <w:rPr>
                <w:noProof/>
                <w:webHidden/>
              </w:rPr>
              <w:fldChar w:fldCharType="separate"/>
            </w:r>
            <w:r>
              <w:rPr>
                <w:noProof/>
                <w:webHidden/>
              </w:rPr>
              <w:t>1</w:t>
            </w:r>
            <w:r>
              <w:rPr>
                <w:noProof/>
                <w:webHidden/>
              </w:rPr>
              <w:fldChar w:fldCharType="end"/>
            </w:r>
          </w:hyperlink>
        </w:p>
        <w:p w14:paraId="56223A6F" w14:textId="4531C527" w:rsidR="00883BAD" w:rsidRDefault="00883BAD" w:rsidP="00883BAD">
          <w:pPr>
            <w:pStyle w:val="TOC1"/>
            <w:tabs>
              <w:tab w:val="right" w:leader="dot" w:pos="9016"/>
            </w:tabs>
            <w:spacing w:line="480" w:lineRule="auto"/>
            <w:rPr>
              <w:rFonts w:eastAsiaTheme="minorEastAsia"/>
              <w:b w:val="0"/>
              <w:bCs w:val="0"/>
              <w:i w:val="0"/>
              <w:iCs w:val="0"/>
              <w:noProof/>
              <w:lang w:eastAsia="en-GB"/>
            </w:rPr>
          </w:pPr>
          <w:hyperlink w:anchor="_Toc229475316" w:history="1">
            <w:r w:rsidRPr="00E93061">
              <w:rPr>
                <w:rStyle w:val="Hyperlink"/>
                <w:rFonts w:ascii="Times New Roman" w:eastAsia="Arial" w:hAnsi="Times New Roman" w:cs="Times New Roman"/>
                <w:noProof/>
              </w:rPr>
              <w:t>2.0  Risk 1: Geoeconomic Confrontation</w:t>
            </w:r>
            <w:r>
              <w:rPr>
                <w:noProof/>
                <w:webHidden/>
              </w:rPr>
              <w:tab/>
            </w:r>
            <w:r>
              <w:rPr>
                <w:noProof/>
                <w:webHidden/>
              </w:rPr>
              <w:fldChar w:fldCharType="begin"/>
            </w:r>
            <w:r>
              <w:rPr>
                <w:noProof/>
                <w:webHidden/>
              </w:rPr>
              <w:instrText xml:space="preserve"> PAGEREF _Toc229475316 \h </w:instrText>
            </w:r>
            <w:r>
              <w:rPr>
                <w:noProof/>
                <w:webHidden/>
              </w:rPr>
            </w:r>
            <w:r>
              <w:rPr>
                <w:noProof/>
                <w:webHidden/>
              </w:rPr>
              <w:fldChar w:fldCharType="separate"/>
            </w:r>
            <w:r>
              <w:rPr>
                <w:noProof/>
                <w:webHidden/>
              </w:rPr>
              <w:t>2</w:t>
            </w:r>
            <w:r>
              <w:rPr>
                <w:noProof/>
                <w:webHidden/>
              </w:rPr>
              <w:fldChar w:fldCharType="end"/>
            </w:r>
          </w:hyperlink>
        </w:p>
        <w:p w14:paraId="7A289B1F" w14:textId="479CD4CF"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17" w:history="1">
            <w:r w:rsidRPr="00E93061">
              <w:rPr>
                <w:rStyle w:val="Hyperlink"/>
                <w:rFonts w:ascii="Times New Roman" w:eastAsia="Arial" w:hAnsi="Times New Roman" w:cs="Times New Roman"/>
                <w:noProof/>
              </w:rPr>
              <w:t>2.1  Risk Overview</w:t>
            </w:r>
            <w:r>
              <w:rPr>
                <w:noProof/>
                <w:webHidden/>
              </w:rPr>
              <w:tab/>
            </w:r>
            <w:r>
              <w:rPr>
                <w:noProof/>
                <w:webHidden/>
              </w:rPr>
              <w:fldChar w:fldCharType="begin"/>
            </w:r>
            <w:r>
              <w:rPr>
                <w:noProof/>
                <w:webHidden/>
              </w:rPr>
              <w:instrText xml:space="preserve"> PAGEREF _Toc229475317 \h </w:instrText>
            </w:r>
            <w:r>
              <w:rPr>
                <w:noProof/>
                <w:webHidden/>
              </w:rPr>
            </w:r>
            <w:r>
              <w:rPr>
                <w:noProof/>
                <w:webHidden/>
              </w:rPr>
              <w:fldChar w:fldCharType="separate"/>
            </w:r>
            <w:r>
              <w:rPr>
                <w:noProof/>
                <w:webHidden/>
              </w:rPr>
              <w:t>2</w:t>
            </w:r>
            <w:r>
              <w:rPr>
                <w:noProof/>
                <w:webHidden/>
              </w:rPr>
              <w:fldChar w:fldCharType="end"/>
            </w:r>
          </w:hyperlink>
        </w:p>
        <w:p w14:paraId="02D3FC8F" w14:textId="2B460DBD"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18" w:history="1">
            <w:r w:rsidRPr="00E93061">
              <w:rPr>
                <w:rStyle w:val="Hyperlink"/>
                <w:rFonts w:ascii="Times New Roman" w:eastAsia="Arial" w:hAnsi="Times New Roman" w:cs="Times New Roman"/>
                <w:noProof/>
              </w:rPr>
              <w:t>2.2  Theoretical Frameworks and Sustainability Implications</w:t>
            </w:r>
            <w:r>
              <w:rPr>
                <w:noProof/>
                <w:webHidden/>
              </w:rPr>
              <w:tab/>
            </w:r>
            <w:r>
              <w:rPr>
                <w:noProof/>
                <w:webHidden/>
              </w:rPr>
              <w:fldChar w:fldCharType="begin"/>
            </w:r>
            <w:r>
              <w:rPr>
                <w:noProof/>
                <w:webHidden/>
              </w:rPr>
              <w:instrText xml:space="preserve"> PAGEREF _Toc229475318 \h </w:instrText>
            </w:r>
            <w:r>
              <w:rPr>
                <w:noProof/>
                <w:webHidden/>
              </w:rPr>
            </w:r>
            <w:r>
              <w:rPr>
                <w:noProof/>
                <w:webHidden/>
              </w:rPr>
              <w:fldChar w:fldCharType="separate"/>
            </w:r>
            <w:r>
              <w:rPr>
                <w:noProof/>
                <w:webHidden/>
              </w:rPr>
              <w:t>2</w:t>
            </w:r>
            <w:r>
              <w:rPr>
                <w:noProof/>
                <w:webHidden/>
              </w:rPr>
              <w:fldChar w:fldCharType="end"/>
            </w:r>
          </w:hyperlink>
        </w:p>
        <w:p w14:paraId="198CBD03" w14:textId="77565247"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19" w:history="1">
            <w:r w:rsidRPr="00E93061">
              <w:rPr>
                <w:rStyle w:val="Hyperlink"/>
                <w:rFonts w:ascii="Times New Roman" w:eastAsia="Arial" w:hAnsi="Times New Roman" w:cs="Times New Roman"/>
                <w:noProof/>
              </w:rPr>
              <w:t>2.3  Critical Assessment</w:t>
            </w:r>
            <w:r>
              <w:rPr>
                <w:noProof/>
                <w:webHidden/>
              </w:rPr>
              <w:tab/>
            </w:r>
            <w:r>
              <w:rPr>
                <w:noProof/>
                <w:webHidden/>
              </w:rPr>
              <w:fldChar w:fldCharType="begin"/>
            </w:r>
            <w:r>
              <w:rPr>
                <w:noProof/>
                <w:webHidden/>
              </w:rPr>
              <w:instrText xml:space="preserve"> PAGEREF _Toc229475319 \h </w:instrText>
            </w:r>
            <w:r>
              <w:rPr>
                <w:noProof/>
                <w:webHidden/>
              </w:rPr>
            </w:r>
            <w:r>
              <w:rPr>
                <w:noProof/>
                <w:webHidden/>
              </w:rPr>
              <w:fldChar w:fldCharType="separate"/>
            </w:r>
            <w:r>
              <w:rPr>
                <w:noProof/>
                <w:webHidden/>
              </w:rPr>
              <w:t>3</w:t>
            </w:r>
            <w:r>
              <w:rPr>
                <w:noProof/>
                <w:webHidden/>
              </w:rPr>
              <w:fldChar w:fldCharType="end"/>
            </w:r>
          </w:hyperlink>
        </w:p>
        <w:p w14:paraId="473BE55F" w14:textId="0D5A8345" w:rsidR="00883BAD" w:rsidRDefault="00883BAD" w:rsidP="00883BAD">
          <w:pPr>
            <w:pStyle w:val="TOC1"/>
            <w:tabs>
              <w:tab w:val="right" w:leader="dot" w:pos="9016"/>
            </w:tabs>
            <w:spacing w:line="480" w:lineRule="auto"/>
            <w:rPr>
              <w:rFonts w:eastAsiaTheme="minorEastAsia"/>
              <w:b w:val="0"/>
              <w:bCs w:val="0"/>
              <w:i w:val="0"/>
              <w:iCs w:val="0"/>
              <w:noProof/>
              <w:lang w:eastAsia="en-GB"/>
            </w:rPr>
          </w:pPr>
          <w:hyperlink w:anchor="_Toc229475320" w:history="1">
            <w:r w:rsidRPr="00E93061">
              <w:rPr>
                <w:rStyle w:val="Hyperlink"/>
                <w:rFonts w:ascii="Times New Roman" w:eastAsia="Arial" w:hAnsi="Times New Roman" w:cs="Times New Roman"/>
                <w:noProof/>
              </w:rPr>
              <w:t>3.0  Risk 2: Misinformation and Disinformation</w:t>
            </w:r>
            <w:r>
              <w:rPr>
                <w:noProof/>
                <w:webHidden/>
              </w:rPr>
              <w:tab/>
            </w:r>
            <w:r>
              <w:rPr>
                <w:noProof/>
                <w:webHidden/>
              </w:rPr>
              <w:fldChar w:fldCharType="begin"/>
            </w:r>
            <w:r>
              <w:rPr>
                <w:noProof/>
                <w:webHidden/>
              </w:rPr>
              <w:instrText xml:space="preserve"> PAGEREF _Toc229475320 \h </w:instrText>
            </w:r>
            <w:r>
              <w:rPr>
                <w:noProof/>
                <w:webHidden/>
              </w:rPr>
            </w:r>
            <w:r>
              <w:rPr>
                <w:noProof/>
                <w:webHidden/>
              </w:rPr>
              <w:fldChar w:fldCharType="separate"/>
            </w:r>
            <w:r>
              <w:rPr>
                <w:noProof/>
                <w:webHidden/>
              </w:rPr>
              <w:t>4</w:t>
            </w:r>
            <w:r>
              <w:rPr>
                <w:noProof/>
                <w:webHidden/>
              </w:rPr>
              <w:fldChar w:fldCharType="end"/>
            </w:r>
          </w:hyperlink>
        </w:p>
        <w:p w14:paraId="5FDB50B7" w14:textId="6B92EE58"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21" w:history="1">
            <w:r w:rsidRPr="00E93061">
              <w:rPr>
                <w:rStyle w:val="Hyperlink"/>
                <w:rFonts w:ascii="Times New Roman" w:eastAsia="Arial" w:hAnsi="Times New Roman" w:cs="Times New Roman"/>
                <w:noProof/>
              </w:rPr>
              <w:t>3.1  Risk Overview</w:t>
            </w:r>
            <w:r>
              <w:rPr>
                <w:noProof/>
                <w:webHidden/>
              </w:rPr>
              <w:tab/>
            </w:r>
            <w:r>
              <w:rPr>
                <w:noProof/>
                <w:webHidden/>
              </w:rPr>
              <w:fldChar w:fldCharType="begin"/>
            </w:r>
            <w:r>
              <w:rPr>
                <w:noProof/>
                <w:webHidden/>
              </w:rPr>
              <w:instrText xml:space="preserve"> PAGEREF _Toc229475321 \h </w:instrText>
            </w:r>
            <w:r>
              <w:rPr>
                <w:noProof/>
                <w:webHidden/>
              </w:rPr>
            </w:r>
            <w:r>
              <w:rPr>
                <w:noProof/>
                <w:webHidden/>
              </w:rPr>
              <w:fldChar w:fldCharType="separate"/>
            </w:r>
            <w:r>
              <w:rPr>
                <w:noProof/>
                <w:webHidden/>
              </w:rPr>
              <w:t>4</w:t>
            </w:r>
            <w:r>
              <w:rPr>
                <w:noProof/>
                <w:webHidden/>
              </w:rPr>
              <w:fldChar w:fldCharType="end"/>
            </w:r>
          </w:hyperlink>
        </w:p>
        <w:p w14:paraId="7BB46933" w14:textId="57066BF6"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22" w:history="1">
            <w:r w:rsidRPr="00E93061">
              <w:rPr>
                <w:rStyle w:val="Hyperlink"/>
                <w:rFonts w:ascii="Times New Roman" w:eastAsia="Arial" w:hAnsi="Times New Roman" w:cs="Times New Roman"/>
                <w:noProof/>
              </w:rPr>
              <w:t>3.2  Theoretical Frameworks and Sustainability Implications</w:t>
            </w:r>
            <w:r>
              <w:rPr>
                <w:noProof/>
                <w:webHidden/>
              </w:rPr>
              <w:tab/>
            </w:r>
            <w:r>
              <w:rPr>
                <w:noProof/>
                <w:webHidden/>
              </w:rPr>
              <w:fldChar w:fldCharType="begin"/>
            </w:r>
            <w:r>
              <w:rPr>
                <w:noProof/>
                <w:webHidden/>
              </w:rPr>
              <w:instrText xml:space="preserve"> PAGEREF _Toc229475322 \h </w:instrText>
            </w:r>
            <w:r>
              <w:rPr>
                <w:noProof/>
                <w:webHidden/>
              </w:rPr>
            </w:r>
            <w:r>
              <w:rPr>
                <w:noProof/>
                <w:webHidden/>
              </w:rPr>
              <w:fldChar w:fldCharType="separate"/>
            </w:r>
            <w:r>
              <w:rPr>
                <w:noProof/>
                <w:webHidden/>
              </w:rPr>
              <w:t>4</w:t>
            </w:r>
            <w:r>
              <w:rPr>
                <w:noProof/>
                <w:webHidden/>
              </w:rPr>
              <w:fldChar w:fldCharType="end"/>
            </w:r>
          </w:hyperlink>
        </w:p>
        <w:p w14:paraId="5334B8DF" w14:textId="42828A7F"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23" w:history="1">
            <w:r w:rsidRPr="00E93061">
              <w:rPr>
                <w:rStyle w:val="Hyperlink"/>
                <w:rFonts w:ascii="Times New Roman" w:eastAsia="Arial" w:hAnsi="Times New Roman" w:cs="Times New Roman"/>
                <w:noProof/>
              </w:rPr>
              <w:t>3.3  Critical Assessment</w:t>
            </w:r>
            <w:r>
              <w:rPr>
                <w:noProof/>
                <w:webHidden/>
              </w:rPr>
              <w:tab/>
            </w:r>
            <w:r>
              <w:rPr>
                <w:noProof/>
                <w:webHidden/>
              </w:rPr>
              <w:fldChar w:fldCharType="begin"/>
            </w:r>
            <w:r>
              <w:rPr>
                <w:noProof/>
                <w:webHidden/>
              </w:rPr>
              <w:instrText xml:space="preserve"> PAGEREF _Toc229475323 \h </w:instrText>
            </w:r>
            <w:r>
              <w:rPr>
                <w:noProof/>
                <w:webHidden/>
              </w:rPr>
            </w:r>
            <w:r>
              <w:rPr>
                <w:noProof/>
                <w:webHidden/>
              </w:rPr>
              <w:fldChar w:fldCharType="separate"/>
            </w:r>
            <w:r>
              <w:rPr>
                <w:noProof/>
                <w:webHidden/>
              </w:rPr>
              <w:t>4</w:t>
            </w:r>
            <w:r>
              <w:rPr>
                <w:noProof/>
                <w:webHidden/>
              </w:rPr>
              <w:fldChar w:fldCharType="end"/>
            </w:r>
          </w:hyperlink>
        </w:p>
        <w:p w14:paraId="28A519B5" w14:textId="3F3163A2" w:rsidR="00883BAD" w:rsidRDefault="00883BAD" w:rsidP="00883BAD">
          <w:pPr>
            <w:pStyle w:val="TOC1"/>
            <w:tabs>
              <w:tab w:val="right" w:leader="dot" w:pos="9016"/>
            </w:tabs>
            <w:spacing w:line="480" w:lineRule="auto"/>
            <w:rPr>
              <w:rFonts w:eastAsiaTheme="minorEastAsia"/>
              <w:b w:val="0"/>
              <w:bCs w:val="0"/>
              <w:i w:val="0"/>
              <w:iCs w:val="0"/>
              <w:noProof/>
              <w:lang w:eastAsia="en-GB"/>
            </w:rPr>
          </w:pPr>
          <w:hyperlink w:anchor="_Toc229475324" w:history="1">
            <w:r w:rsidRPr="00E93061">
              <w:rPr>
                <w:rStyle w:val="Hyperlink"/>
                <w:rFonts w:ascii="Times New Roman" w:eastAsia="Arial" w:hAnsi="Times New Roman" w:cs="Times New Roman"/>
                <w:noProof/>
              </w:rPr>
              <w:t>4.0  Risk 3: Economic Downturn</w:t>
            </w:r>
            <w:r>
              <w:rPr>
                <w:noProof/>
                <w:webHidden/>
              </w:rPr>
              <w:tab/>
            </w:r>
            <w:r>
              <w:rPr>
                <w:noProof/>
                <w:webHidden/>
              </w:rPr>
              <w:fldChar w:fldCharType="begin"/>
            </w:r>
            <w:r>
              <w:rPr>
                <w:noProof/>
                <w:webHidden/>
              </w:rPr>
              <w:instrText xml:space="preserve"> PAGEREF _Toc229475324 \h </w:instrText>
            </w:r>
            <w:r>
              <w:rPr>
                <w:noProof/>
                <w:webHidden/>
              </w:rPr>
            </w:r>
            <w:r>
              <w:rPr>
                <w:noProof/>
                <w:webHidden/>
              </w:rPr>
              <w:fldChar w:fldCharType="separate"/>
            </w:r>
            <w:r>
              <w:rPr>
                <w:noProof/>
                <w:webHidden/>
              </w:rPr>
              <w:t>5</w:t>
            </w:r>
            <w:r>
              <w:rPr>
                <w:noProof/>
                <w:webHidden/>
              </w:rPr>
              <w:fldChar w:fldCharType="end"/>
            </w:r>
          </w:hyperlink>
        </w:p>
        <w:p w14:paraId="60D7EE4C" w14:textId="67F498FE"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25" w:history="1">
            <w:r w:rsidRPr="00E93061">
              <w:rPr>
                <w:rStyle w:val="Hyperlink"/>
                <w:rFonts w:ascii="Times New Roman" w:eastAsia="Arial" w:hAnsi="Times New Roman" w:cs="Times New Roman"/>
                <w:noProof/>
              </w:rPr>
              <w:t>4.1  Risk Overview</w:t>
            </w:r>
            <w:r>
              <w:rPr>
                <w:noProof/>
                <w:webHidden/>
              </w:rPr>
              <w:tab/>
            </w:r>
            <w:r>
              <w:rPr>
                <w:noProof/>
                <w:webHidden/>
              </w:rPr>
              <w:fldChar w:fldCharType="begin"/>
            </w:r>
            <w:r>
              <w:rPr>
                <w:noProof/>
                <w:webHidden/>
              </w:rPr>
              <w:instrText xml:space="preserve"> PAGEREF _Toc229475325 \h </w:instrText>
            </w:r>
            <w:r>
              <w:rPr>
                <w:noProof/>
                <w:webHidden/>
              </w:rPr>
            </w:r>
            <w:r>
              <w:rPr>
                <w:noProof/>
                <w:webHidden/>
              </w:rPr>
              <w:fldChar w:fldCharType="separate"/>
            </w:r>
            <w:r>
              <w:rPr>
                <w:noProof/>
                <w:webHidden/>
              </w:rPr>
              <w:t>5</w:t>
            </w:r>
            <w:r>
              <w:rPr>
                <w:noProof/>
                <w:webHidden/>
              </w:rPr>
              <w:fldChar w:fldCharType="end"/>
            </w:r>
          </w:hyperlink>
        </w:p>
        <w:p w14:paraId="56DDC6A1" w14:textId="29D6DE72"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26" w:history="1">
            <w:r w:rsidRPr="00E93061">
              <w:rPr>
                <w:rStyle w:val="Hyperlink"/>
                <w:rFonts w:ascii="Times New Roman" w:eastAsia="Arial" w:hAnsi="Times New Roman" w:cs="Times New Roman"/>
                <w:noProof/>
              </w:rPr>
              <w:t>4.2  Theoretical Frameworks and Sustainability Implications</w:t>
            </w:r>
            <w:r>
              <w:rPr>
                <w:noProof/>
                <w:webHidden/>
              </w:rPr>
              <w:tab/>
            </w:r>
            <w:r>
              <w:rPr>
                <w:noProof/>
                <w:webHidden/>
              </w:rPr>
              <w:fldChar w:fldCharType="begin"/>
            </w:r>
            <w:r>
              <w:rPr>
                <w:noProof/>
                <w:webHidden/>
              </w:rPr>
              <w:instrText xml:space="preserve"> PAGEREF _Toc229475326 \h </w:instrText>
            </w:r>
            <w:r>
              <w:rPr>
                <w:noProof/>
                <w:webHidden/>
              </w:rPr>
            </w:r>
            <w:r>
              <w:rPr>
                <w:noProof/>
                <w:webHidden/>
              </w:rPr>
              <w:fldChar w:fldCharType="separate"/>
            </w:r>
            <w:r>
              <w:rPr>
                <w:noProof/>
                <w:webHidden/>
              </w:rPr>
              <w:t>5</w:t>
            </w:r>
            <w:r>
              <w:rPr>
                <w:noProof/>
                <w:webHidden/>
              </w:rPr>
              <w:fldChar w:fldCharType="end"/>
            </w:r>
          </w:hyperlink>
        </w:p>
        <w:p w14:paraId="1519F358" w14:textId="01DD0961"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27" w:history="1">
            <w:r w:rsidRPr="00E93061">
              <w:rPr>
                <w:rStyle w:val="Hyperlink"/>
                <w:rFonts w:ascii="Times New Roman" w:eastAsia="Arial" w:hAnsi="Times New Roman" w:cs="Times New Roman"/>
                <w:noProof/>
              </w:rPr>
              <w:t>4.3  Critical Assessment</w:t>
            </w:r>
            <w:r>
              <w:rPr>
                <w:noProof/>
                <w:webHidden/>
              </w:rPr>
              <w:tab/>
            </w:r>
            <w:r>
              <w:rPr>
                <w:noProof/>
                <w:webHidden/>
              </w:rPr>
              <w:fldChar w:fldCharType="begin"/>
            </w:r>
            <w:r>
              <w:rPr>
                <w:noProof/>
                <w:webHidden/>
              </w:rPr>
              <w:instrText xml:space="preserve"> PAGEREF _Toc229475327 \h </w:instrText>
            </w:r>
            <w:r>
              <w:rPr>
                <w:noProof/>
                <w:webHidden/>
              </w:rPr>
            </w:r>
            <w:r>
              <w:rPr>
                <w:noProof/>
                <w:webHidden/>
              </w:rPr>
              <w:fldChar w:fldCharType="separate"/>
            </w:r>
            <w:r>
              <w:rPr>
                <w:noProof/>
                <w:webHidden/>
              </w:rPr>
              <w:t>6</w:t>
            </w:r>
            <w:r>
              <w:rPr>
                <w:noProof/>
                <w:webHidden/>
              </w:rPr>
              <w:fldChar w:fldCharType="end"/>
            </w:r>
          </w:hyperlink>
        </w:p>
        <w:p w14:paraId="1F993D2E" w14:textId="5B292689" w:rsidR="00883BAD" w:rsidRDefault="00883BAD" w:rsidP="00883BAD">
          <w:pPr>
            <w:pStyle w:val="TOC1"/>
            <w:tabs>
              <w:tab w:val="right" w:leader="dot" w:pos="9016"/>
            </w:tabs>
            <w:spacing w:line="480" w:lineRule="auto"/>
            <w:rPr>
              <w:rFonts w:eastAsiaTheme="minorEastAsia"/>
              <w:b w:val="0"/>
              <w:bCs w:val="0"/>
              <w:i w:val="0"/>
              <w:iCs w:val="0"/>
              <w:noProof/>
              <w:lang w:eastAsia="en-GB"/>
            </w:rPr>
          </w:pPr>
          <w:hyperlink w:anchor="_Toc229475328" w:history="1">
            <w:r w:rsidRPr="00E93061">
              <w:rPr>
                <w:rStyle w:val="Hyperlink"/>
                <w:rFonts w:ascii="Times New Roman" w:eastAsia="Arial" w:hAnsi="Times New Roman" w:cs="Times New Roman"/>
                <w:noProof/>
              </w:rPr>
              <w:t>5.0  Discussion: Interconnections and Sustainability Implications</w:t>
            </w:r>
            <w:r>
              <w:rPr>
                <w:noProof/>
                <w:webHidden/>
              </w:rPr>
              <w:tab/>
            </w:r>
            <w:r>
              <w:rPr>
                <w:noProof/>
                <w:webHidden/>
              </w:rPr>
              <w:fldChar w:fldCharType="begin"/>
            </w:r>
            <w:r>
              <w:rPr>
                <w:noProof/>
                <w:webHidden/>
              </w:rPr>
              <w:instrText xml:space="preserve"> PAGEREF _Toc229475328 \h </w:instrText>
            </w:r>
            <w:r>
              <w:rPr>
                <w:noProof/>
                <w:webHidden/>
              </w:rPr>
            </w:r>
            <w:r>
              <w:rPr>
                <w:noProof/>
                <w:webHidden/>
              </w:rPr>
              <w:fldChar w:fldCharType="separate"/>
            </w:r>
            <w:r>
              <w:rPr>
                <w:noProof/>
                <w:webHidden/>
              </w:rPr>
              <w:t>6</w:t>
            </w:r>
            <w:r>
              <w:rPr>
                <w:noProof/>
                <w:webHidden/>
              </w:rPr>
              <w:fldChar w:fldCharType="end"/>
            </w:r>
          </w:hyperlink>
        </w:p>
        <w:p w14:paraId="54CCC8C1" w14:textId="3943A2A1" w:rsidR="00883BAD" w:rsidRDefault="00883BAD" w:rsidP="00883BAD">
          <w:pPr>
            <w:pStyle w:val="TOC1"/>
            <w:tabs>
              <w:tab w:val="right" w:leader="dot" w:pos="9016"/>
            </w:tabs>
            <w:spacing w:line="480" w:lineRule="auto"/>
            <w:rPr>
              <w:rFonts w:eastAsiaTheme="minorEastAsia"/>
              <w:b w:val="0"/>
              <w:bCs w:val="0"/>
              <w:i w:val="0"/>
              <w:iCs w:val="0"/>
              <w:noProof/>
              <w:lang w:eastAsia="en-GB"/>
            </w:rPr>
          </w:pPr>
          <w:hyperlink w:anchor="_Toc229475329" w:history="1">
            <w:r w:rsidRPr="00E93061">
              <w:rPr>
                <w:rStyle w:val="Hyperlink"/>
                <w:rFonts w:ascii="Times New Roman" w:eastAsia="Arial" w:hAnsi="Times New Roman" w:cs="Times New Roman"/>
                <w:noProof/>
              </w:rPr>
              <w:t>6.0  Recommendations</w:t>
            </w:r>
            <w:r>
              <w:rPr>
                <w:noProof/>
                <w:webHidden/>
              </w:rPr>
              <w:tab/>
            </w:r>
            <w:r>
              <w:rPr>
                <w:noProof/>
                <w:webHidden/>
              </w:rPr>
              <w:fldChar w:fldCharType="begin"/>
            </w:r>
            <w:r>
              <w:rPr>
                <w:noProof/>
                <w:webHidden/>
              </w:rPr>
              <w:instrText xml:space="preserve"> PAGEREF _Toc229475329 \h </w:instrText>
            </w:r>
            <w:r>
              <w:rPr>
                <w:noProof/>
                <w:webHidden/>
              </w:rPr>
            </w:r>
            <w:r>
              <w:rPr>
                <w:noProof/>
                <w:webHidden/>
              </w:rPr>
              <w:fldChar w:fldCharType="separate"/>
            </w:r>
            <w:r>
              <w:rPr>
                <w:noProof/>
                <w:webHidden/>
              </w:rPr>
              <w:t>8</w:t>
            </w:r>
            <w:r>
              <w:rPr>
                <w:noProof/>
                <w:webHidden/>
              </w:rPr>
              <w:fldChar w:fldCharType="end"/>
            </w:r>
          </w:hyperlink>
        </w:p>
        <w:p w14:paraId="4F3E730C" w14:textId="35CE9DE8"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30" w:history="1">
            <w:r w:rsidRPr="00E93061">
              <w:rPr>
                <w:rStyle w:val="Hyperlink"/>
                <w:rFonts w:ascii="Times New Roman" w:eastAsia="Arial" w:hAnsi="Times New Roman" w:cs="Times New Roman"/>
                <w:noProof/>
              </w:rPr>
              <w:t>6.1  Internalise Environmental Externalities Across Corporate Strategy</w:t>
            </w:r>
            <w:r>
              <w:rPr>
                <w:noProof/>
                <w:webHidden/>
              </w:rPr>
              <w:tab/>
            </w:r>
            <w:r>
              <w:rPr>
                <w:noProof/>
                <w:webHidden/>
              </w:rPr>
              <w:fldChar w:fldCharType="begin"/>
            </w:r>
            <w:r>
              <w:rPr>
                <w:noProof/>
                <w:webHidden/>
              </w:rPr>
              <w:instrText xml:space="preserve"> PAGEREF _Toc229475330 \h </w:instrText>
            </w:r>
            <w:r>
              <w:rPr>
                <w:noProof/>
                <w:webHidden/>
              </w:rPr>
            </w:r>
            <w:r>
              <w:rPr>
                <w:noProof/>
                <w:webHidden/>
              </w:rPr>
              <w:fldChar w:fldCharType="separate"/>
            </w:r>
            <w:r>
              <w:rPr>
                <w:noProof/>
                <w:webHidden/>
              </w:rPr>
              <w:t>8</w:t>
            </w:r>
            <w:r>
              <w:rPr>
                <w:noProof/>
                <w:webHidden/>
              </w:rPr>
              <w:fldChar w:fldCharType="end"/>
            </w:r>
          </w:hyperlink>
        </w:p>
        <w:p w14:paraId="29D07285" w14:textId="7744F554"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31" w:history="1">
            <w:r w:rsidRPr="00E93061">
              <w:rPr>
                <w:rStyle w:val="Hyperlink"/>
                <w:rFonts w:ascii="Times New Roman" w:eastAsia="Arial" w:hAnsi="Times New Roman" w:cs="Times New Roman"/>
                <w:noProof/>
              </w:rPr>
              <w:t>6.2  Transition Supply Chains to Circular Industrial Ecology Models</w:t>
            </w:r>
            <w:r>
              <w:rPr>
                <w:noProof/>
                <w:webHidden/>
              </w:rPr>
              <w:tab/>
            </w:r>
            <w:r>
              <w:rPr>
                <w:noProof/>
                <w:webHidden/>
              </w:rPr>
              <w:fldChar w:fldCharType="begin"/>
            </w:r>
            <w:r>
              <w:rPr>
                <w:noProof/>
                <w:webHidden/>
              </w:rPr>
              <w:instrText xml:space="preserve"> PAGEREF _Toc229475331 \h </w:instrText>
            </w:r>
            <w:r>
              <w:rPr>
                <w:noProof/>
                <w:webHidden/>
              </w:rPr>
            </w:r>
            <w:r>
              <w:rPr>
                <w:noProof/>
                <w:webHidden/>
              </w:rPr>
              <w:fldChar w:fldCharType="separate"/>
            </w:r>
            <w:r>
              <w:rPr>
                <w:noProof/>
                <w:webHidden/>
              </w:rPr>
              <w:t>8</w:t>
            </w:r>
            <w:r>
              <w:rPr>
                <w:noProof/>
                <w:webHidden/>
              </w:rPr>
              <w:fldChar w:fldCharType="end"/>
            </w:r>
          </w:hyperlink>
        </w:p>
        <w:p w14:paraId="3CC62604" w14:textId="1952B8DE"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32" w:history="1">
            <w:r w:rsidRPr="00E93061">
              <w:rPr>
                <w:rStyle w:val="Hyperlink"/>
                <w:rFonts w:ascii="Times New Roman" w:eastAsia="Arial" w:hAnsi="Times New Roman" w:cs="Times New Roman"/>
                <w:noProof/>
              </w:rPr>
              <w:t>6.3  Reform Digital Platform Governance Through Structural Regulation</w:t>
            </w:r>
            <w:r>
              <w:rPr>
                <w:noProof/>
                <w:webHidden/>
              </w:rPr>
              <w:tab/>
            </w:r>
            <w:r>
              <w:rPr>
                <w:noProof/>
                <w:webHidden/>
              </w:rPr>
              <w:fldChar w:fldCharType="begin"/>
            </w:r>
            <w:r>
              <w:rPr>
                <w:noProof/>
                <w:webHidden/>
              </w:rPr>
              <w:instrText xml:space="preserve"> PAGEREF _Toc229475332 \h </w:instrText>
            </w:r>
            <w:r>
              <w:rPr>
                <w:noProof/>
                <w:webHidden/>
              </w:rPr>
            </w:r>
            <w:r>
              <w:rPr>
                <w:noProof/>
                <w:webHidden/>
              </w:rPr>
              <w:fldChar w:fldCharType="separate"/>
            </w:r>
            <w:r>
              <w:rPr>
                <w:noProof/>
                <w:webHidden/>
              </w:rPr>
              <w:t>8</w:t>
            </w:r>
            <w:r>
              <w:rPr>
                <w:noProof/>
                <w:webHidden/>
              </w:rPr>
              <w:fldChar w:fldCharType="end"/>
            </w:r>
          </w:hyperlink>
        </w:p>
        <w:p w14:paraId="18AD4F28" w14:textId="0CBAA6A2" w:rsidR="00883BAD" w:rsidRDefault="00883BAD" w:rsidP="00883BAD">
          <w:pPr>
            <w:pStyle w:val="TOC2"/>
            <w:tabs>
              <w:tab w:val="right" w:leader="dot" w:pos="9016"/>
            </w:tabs>
            <w:spacing w:line="480" w:lineRule="auto"/>
            <w:rPr>
              <w:rFonts w:eastAsiaTheme="minorEastAsia"/>
              <w:b w:val="0"/>
              <w:bCs w:val="0"/>
              <w:noProof/>
              <w:sz w:val="24"/>
              <w:szCs w:val="24"/>
              <w:lang w:eastAsia="en-GB"/>
            </w:rPr>
          </w:pPr>
          <w:hyperlink w:anchor="_Toc229475333" w:history="1">
            <w:r w:rsidRPr="00E93061">
              <w:rPr>
                <w:rStyle w:val="Hyperlink"/>
                <w:rFonts w:ascii="Times New Roman" w:eastAsia="Arial" w:hAnsi="Times New Roman" w:cs="Times New Roman"/>
                <w:noProof/>
              </w:rPr>
              <w:t>6.4  Protect Sustainability Investment Through Counter-Cyclical Finance</w:t>
            </w:r>
            <w:r>
              <w:rPr>
                <w:noProof/>
                <w:webHidden/>
              </w:rPr>
              <w:tab/>
            </w:r>
            <w:r>
              <w:rPr>
                <w:noProof/>
                <w:webHidden/>
              </w:rPr>
              <w:fldChar w:fldCharType="begin"/>
            </w:r>
            <w:r>
              <w:rPr>
                <w:noProof/>
                <w:webHidden/>
              </w:rPr>
              <w:instrText xml:space="preserve"> PAGEREF _Toc229475333 \h </w:instrText>
            </w:r>
            <w:r>
              <w:rPr>
                <w:noProof/>
                <w:webHidden/>
              </w:rPr>
            </w:r>
            <w:r>
              <w:rPr>
                <w:noProof/>
                <w:webHidden/>
              </w:rPr>
              <w:fldChar w:fldCharType="separate"/>
            </w:r>
            <w:r>
              <w:rPr>
                <w:noProof/>
                <w:webHidden/>
              </w:rPr>
              <w:t>9</w:t>
            </w:r>
            <w:r>
              <w:rPr>
                <w:noProof/>
                <w:webHidden/>
              </w:rPr>
              <w:fldChar w:fldCharType="end"/>
            </w:r>
          </w:hyperlink>
        </w:p>
        <w:p w14:paraId="4BC273FE" w14:textId="18FDF8DB" w:rsidR="00883BAD" w:rsidRDefault="00883BAD" w:rsidP="00883BAD">
          <w:pPr>
            <w:pStyle w:val="TOC1"/>
            <w:tabs>
              <w:tab w:val="right" w:leader="dot" w:pos="9016"/>
            </w:tabs>
            <w:spacing w:line="480" w:lineRule="auto"/>
            <w:rPr>
              <w:rFonts w:eastAsiaTheme="minorEastAsia"/>
              <w:b w:val="0"/>
              <w:bCs w:val="0"/>
              <w:i w:val="0"/>
              <w:iCs w:val="0"/>
              <w:noProof/>
              <w:lang w:eastAsia="en-GB"/>
            </w:rPr>
          </w:pPr>
          <w:hyperlink w:anchor="_Toc229475334" w:history="1">
            <w:r w:rsidRPr="00E93061">
              <w:rPr>
                <w:rStyle w:val="Hyperlink"/>
                <w:rFonts w:ascii="Times New Roman" w:eastAsia="Arial" w:hAnsi="Times New Roman" w:cs="Times New Roman"/>
                <w:noProof/>
              </w:rPr>
              <w:t>7.0  Conclusion</w:t>
            </w:r>
            <w:r>
              <w:rPr>
                <w:noProof/>
                <w:webHidden/>
              </w:rPr>
              <w:tab/>
            </w:r>
            <w:r>
              <w:rPr>
                <w:noProof/>
                <w:webHidden/>
              </w:rPr>
              <w:fldChar w:fldCharType="begin"/>
            </w:r>
            <w:r>
              <w:rPr>
                <w:noProof/>
                <w:webHidden/>
              </w:rPr>
              <w:instrText xml:space="preserve"> PAGEREF _Toc229475334 \h </w:instrText>
            </w:r>
            <w:r>
              <w:rPr>
                <w:noProof/>
                <w:webHidden/>
              </w:rPr>
            </w:r>
            <w:r>
              <w:rPr>
                <w:noProof/>
                <w:webHidden/>
              </w:rPr>
              <w:fldChar w:fldCharType="separate"/>
            </w:r>
            <w:r>
              <w:rPr>
                <w:noProof/>
                <w:webHidden/>
              </w:rPr>
              <w:t>9</w:t>
            </w:r>
            <w:r>
              <w:rPr>
                <w:noProof/>
                <w:webHidden/>
              </w:rPr>
              <w:fldChar w:fldCharType="end"/>
            </w:r>
          </w:hyperlink>
        </w:p>
        <w:p w14:paraId="7DE8B588" w14:textId="64E92786" w:rsidR="00883BAD" w:rsidRDefault="00883BAD" w:rsidP="00883BAD">
          <w:pPr>
            <w:pStyle w:val="TOC1"/>
            <w:tabs>
              <w:tab w:val="right" w:leader="dot" w:pos="9016"/>
            </w:tabs>
            <w:spacing w:line="480" w:lineRule="auto"/>
            <w:rPr>
              <w:rFonts w:eastAsiaTheme="minorEastAsia"/>
              <w:b w:val="0"/>
              <w:bCs w:val="0"/>
              <w:i w:val="0"/>
              <w:iCs w:val="0"/>
              <w:noProof/>
              <w:lang w:eastAsia="en-GB"/>
            </w:rPr>
          </w:pPr>
          <w:hyperlink w:anchor="_Toc229475335" w:history="1">
            <w:r w:rsidRPr="00E93061">
              <w:rPr>
                <w:rStyle w:val="Hyperlink"/>
                <w:rFonts w:ascii="Times New Roman" w:eastAsia="Arial" w:hAnsi="Times New Roman" w:cs="Times New Roman"/>
                <w:noProof/>
              </w:rPr>
              <w:t>References</w:t>
            </w:r>
            <w:r>
              <w:rPr>
                <w:noProof/>
                <w:webHidden/>
              </w:rPr>
              <w:tab/>
            </w:r>
            <w:r>
              <w:rPr>
                <w:noProof/>
                <w:webHidden/>
              </w:rPr>
              <w:fldChar w:fldCharType="begin"/>
            </w:r>
            <w:r>
              <w:rPr>
                <w:noProof/>
                <w:webHidden/>
              </w:rPr>
              <w:instrText xml:space="preserve"> PAGEREF _Toc229475335 \h </w:instrText>
            </w:r>
            <w:r>
              <w:rPr>
                <w:noProof/>
                <w:webHidden/>
              </w:rPr>
            </w:r>
            <w:r>
              <w:rPr>
                <w:noProof/>
                <w:webHidden/>
              </w:rPr>
              <w:fldChar w:fldCharType="separate"/>
            </w:r>
            <w:r>
              <w:rPr>
                <w:noProof/>
                <w:webHidden/>
              </w:rPr>
              <w:t>10</w:t>
            </w:r>
            <w:r>
              <w:rPr>
                <w:noProof/>
                <w:webHidden/>
              </w:rPr>
              <w:fldChar w:fldCharType="end"/>
            </w:r>
          </w:hyperlink>
        </w:p>
        <w:p w14:paraId="41315386" w14:textId="5F9E3371" w:rsidR="00883BAD" w:rsidRDefault="00883BAD" w:rsidP="00883BAD">
          <w:pPr>
            <w:spacing w:line="480" w:lineRule="auto"/>
          </w:pPr>
          <w:r>
            <w:rPr>
              <w:b/>
              <w:bCs/>
              <w:noProof/>
            </w:rPr>
            <w:fldChar w:fldCharType="end"/>
          </w:r>
        </w:p>
      </w:sdtContent>
    </w:sdt>
    <w:p w14:paraId="03BA955D" w14:textId="77777777" w:rsidR="00883BAD" w:rsidRPr="00883BAD" w:rsidRDefault="00883BAD" w:rsidP="00883BAD">
      <w:pPr>
        <w:spacing w:after="200" w:line="480" w:lineRule="auto"/>
        <w:jc w:val="both"/>
        <w:rPr>
          <w:rFonts w:ascii="Times New Roman" w:hAnsi="Times New Roman" w:cs="Times New Roman"/>
          <w:color w:val="000000" w:themeColor="text1"/>
        </w:rPr>
      </w:pPr>
    </w:p>
    <w:p w14:paraId="57CCC82A" w14:textId="77777777" w:rsidR="00883BAD" w:rsidRDefault="00883BAD" w:rsidP="00883BAD">
      <w:pPr>
        <w:spacing w:line="480" w:lineRule="auto"/>
        <w:rPr>
          <w:rFonts w:ascii="Times New Roman" w:eastAsia="Arial" w:hAnsi="Times New Roman" w:cs="Times New Roman"/>
          <w:b/>
          <w:bCs/>
          <w:color w:val="000000" w:themeColor="text1"/>
          <w:sz w:val="28"/>
          <w:szCs w:val="28"/>
        </w:rPr>
      </w:pPr>
      <w:bookmarkStart w:id="1" w:name="_Toc229475315"/>
      <w:r>
        <w:rPr>
          <w:rFonts w:ascii="Times New Roman" w:eastAsia="Arial" w:hAnsi="Times New Roman" w:cs="Times New Roman"/>
          <w:b/>
          <w:bCs/>
          <w:color w:val="000000" w:themeColor="text1"/>
          <w:sz w:val="28"/>
          <w:szCs w:val="28"/>
        </w:rPr>
        <w:br w:type="page"/>
      </w:r>
    </w:p>
    <w:p w14:paraId="3B598BAF" w14:textId="05BA5147" w:rsidR="00883BAD" w:rsidRPr="00883BAD" w:rsidRDefault="00883BAD" w:rsidP="00883BAD">
      <w:pPr>
        <w:pStyle w:val="Heading1"/>
        <w:spacing w:line="480" w:lineRule="auto"/>
        <w:rPr>
          <w:rFonts w:ascii="Times New Roman" w:hAnsi="Times New Roman" w:cs="Times New Roman"/>
          <w:color w:val="000000" w:themeColor="text1"/>
        </w:rPr>
      </w:pPr>
      <w:proofErr w:type="gramStart"/>
      <w:r w:rsidRPr="00883BAD">
        <w:rPr>
          <w:rFonts w:ascii="Times New Roman" w:eastAsia="Arial" w:hAnsi="Times New Roman" w:cs="Times New Roman"/>
          <w:b/>
          <w:bCs/>
          <w:color w:val="000000" w:themeColor="text1"/>
          <w:sz w:val="28"/>
          <w:szCs w:val="28"/>
        </w:rPr>
        <w:lastRenderedPageBreak/>
        <w:t>1.0  Introduction</w:t>
      </w:r>
      <w:bookmarkEnd w:id="1"/>
      <w:proofErr w:type="gramEnd"/>
    </w:p>
    <w:p w14:paraId="755094BC"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 xml:space="preserve">The World Economic Forum (WEF) publishes its Global Risks Report annually, drawing on the Global Risks Perception Survey (GRPS) of experts from academia, business, government, and civil society (WEF, 2026). The 2026 edition — the 21st — characterises the current conjuncture as an age of competition, in which cooperative multilateral mechanisms are giving way to strategic rivalry between state and economic blocs, and uncertainty is identified as the defining theme across all </w:t>
      </w:r>
      <w:proofErr w:type="gramStart"/>
      <w:r w:rsidRPr="00883BAD">
        <w:rPr>
          <w:rFonts w:ascii="Times New Roman" w:eastAsia="Arial" w:hAnsi="Times New Roman" w:cs="Times New Roman"/>
          <w:color w:val="000000" w:themeColor="text1"/>
        </w:rPr>
        <w:t>three time</w:t>
      </w:r>
      <w:proofErr w:type="gramEnd"/>
      <w:r w:rsidRPr="00883BAD">
        <w:rPr>
          <w:rFonts w:ascii="Times New Roman" w:eastAsia="Arial" w:hAnsi="Times New Roman" w:cs="Times New Roman"/>
          <w:color w:val="000000" w:themeColor="text1"/>
        </w:rPr>
        <w:t xml:space="preserve"> horizons (WEF, 2026). Sustainable development, defined by the Brundtland Commission (1987, p. 43) as development that meets present needs without compromising future generations' ability to meet their own, is operationalised through the UN's 17 SDGs across 193 member states (UN, 2015). The UN Sustainable Development Solutions Network (2024) estimates that only 17% of SDG targets are currently on track globally — a figure that contextualises the analysis below not as theoretical risk but as measurable developmental regression. This report analyses the three risks dominating the two-year horizon, evaluates each through sustainability frameworks, offers an independent critical assessment of the WEF's own analytical choices, and concludes with four recommendations for businesses and policymakers navigating this environment.</w:t>
      </w:r>
    </w:p>
    <w:p w14:paraId="214A1A5E" w14:textId="77777777" w:rsidR="00883BAD" w:rsidRDefault="00883BAD" w:rsidP="00883BAD">
      <w:pPr>
        <w:spacing w:line="480" w:lineRule="auto"/>
        <w:rPr>
          <w:rFonts w:ascii="Times New Roman" w:eastAsia="Arial" w:hAnsi="Times New Roman" w:cs="Times New Roman"/>
          <w:b/>
          <w:bCs/>
          <w:color w:val="000000" w:themeColor="text1"/>
          <w:sz w:val="28"/>
          <w:szCs w:val="28"/>
        </w:rPr>
      </w:pPr>
      <w:bookmarkStart w:id="2" w:name="_Toc229475316"/>
      <w:r>
        <w:rPr>
          <w:rFonts w:ascii="Times New Roman" w:eastAsia="Arial" w:hAnsi="Times New Roman" w:cs="Times New Roman"/>
          <w:b/>
          <w:bCs/>
          <w:color w:val="000000" w:themeColor="text1"/>
          <w:sz w:val="28"/>
          <w:szCs w:val="28"/>
        </w:rPr>
        <w:br w:type="page"/>
      </w:r>
    </w:p>
    <w:p w14:paraId="6E3A3FBE" w14:textId="6627D603" w:rsidR="00883BAD" w:rsidRPr="00883BAD" w:rsidRDefault="00883BAD" w:rsidP="00883BAD">
      <w:pPr>
        <w:pStyle w:val="Heading1"/>
        <w:spacing w:line="480" w:lineRule="auto"/>
        <w:rPr>
          <w:rFonts w:ascii="Times New Roman" w:hAnsi="Times New Roman" w:cs="Times New Roman"/>
          <w:color w:val="000000" w:themeColor="text1"/>
        </w:rPr>
      </w:pPr>
      <w:proofErr w:type="gramStart"/>
      <w:r w:rsidRPr="00883BAD">
        <w:rPr>
          <w:rFonts w:ascii="Times New Roman" w:eastAsia="Arial" w:hAnsi="Times New Roman" w:cs="Times New Roman"/>
          <w:b/>
          <w:bCs/>
          <w:color w:val="000000" w:themeColor="text1"/>
          <w:sz w:val="28"/>
          <w:szCs w:val="28"/>
        </w:rPr>
        <w:lastRenderedPageBreak/>
        <w:t>2.0  Risk</w:t>
      </w:r>
      <w:proofErr w:type="gramEnd"/>
      <w:r w:rsidRPr="00883BAD">
        <w:rPr>
          <w:rFonts w:ascii="Times New Roman" w:eastAsia="Arial" w:hAnsi="Times New Roman" w:cs="Times New Roman"/>
          <w:b/>
          <w:bCs/>
          <w:color w:val="000000" w:themeColor="text1"/>
          <w:sz w:val="28"/>
          <w:szCs w:val="28"/>
        </w:rPr>
        <w:t xml:space="preserve"> 1: Geoeconomic Confrontation</w:t>
      </w:r>
      <w:bookmarkEnd w:id="2"/>
    </w:p>
    <w:p w14:paraId="4BAC6105"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3" w:name="_Toc229475317"/>
      <w:proofErr w:type="gramStart"/>
      <w:r w:rsidRPr="00883BAD">
        <w:rPr>
          <w:rFonts w:ascii="Times New Roman" w:eastAsia="Arial" w:hAnsi="Times New Roman" w:cs="Times New Roman"/>
          <w:b/>
          <w:bCs/>
          <w:color w:val="000000" w:themeColor="text1"/>
          <w:sz w:val="25"/>
          <w:szCs w:val="25"/>
        </w:rPr>
        <w:t>2.1  Risk</w:t>
      </w:r>
      <w:proofErr w:type="gramEnd"/>
      <w:r w:rsidRPr="00883BAD">
        <w:rPr>
          <w:rFonts w:ascii="Times New Roman" w:eastAsia="Arial" w:hAnsi="Times New Roman" w:cs="Times New Roman"/>
          <w:b/>
          <w:bCs/>
          <w:color w:val="000000" w:themeColor="text1"/>
          <w:sz w:val="25"/>
          <w:szCs w:val="25"/>
        </w:rPr>
        <w:t xml:space="preserve"> Overview</w:t>
      </w:r>
      <w:bookmarkEnd w:id="3"/>
    </w:p>
    <w:p w14:paraId="2F12E68B"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 xml:space="preserve">Geoeconomic confrontation ranks as the most severe two-year risk in the 2026 GRPS, rising two places from last year to be identified by 18% of respondents as the risk most likely to cause a major global crisis in 2026 (WEF, 2026). The WEF defines it as the weaponisation of economic levers — sanctions, investment controls, subsidies, and trade restrictions — to build strategic self-sufficiency and constrain geopolitical rivals (WEF, 2026). </w:t>
      </w:r>
      <w:r w:rsidRPr="00883BAD">
        <w:rPr>
          <w:rFonts w:ascii="Times New Roman" w:hAnsi="Times New Roman" w:cs="Times New Roman"/>
          <w:color w:val="000000" w:themeColor="text1"/>
        </w:rPr>
        <w:t xml:space="preserve">6% of respondents are confident in a reinvention of the international status quo, </w:t>
      </w:r>
      <w:r w:rsidRPr="00883BAD">
        <w:rPr>
          <w:rFonts w:ascii="Times New Roman" w:eastAsia="Arial" w:hAnsi="Times New Roman" w:cs="Times New Roman"/>
          <w:color w:val="000000" w:themeColor="text1"/>
        </w:rPr>
        <w:t>whilst 68% expect a multipolar or fragmented system (WEF, 2026). Supply chain resilience has displaced efficiency as the primary organising principle of global commerce, and the structural consequences are already visible in rising input costs, technology transfer restrictions, and the reorientation of critical mineral flows along geopolitical lines.</w:t>
      </w:r>
    </w:p>
    <w:p w14:paraId="0323214A"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4" w:name="_Toc229475318"/>
      <w:proofErr w:type="gramStart"/>
      <w:r w:rsidRPr="00883BAD">
        <w:rPr>
          <w:rFonts w:ascii="Times New Roman" w:eastAsia="Arial" w:hAnsi="Times New Roman" w:cs="Times New Roman"/>
          <w:b/>
          <w:bCs/>
          <w:color w:val="000000" w:themeColor="text1"/>
          <w:sz w:val="25"/>
          <w:szCs w:val="25"/>
        </w:rPr>
        <w:t>2.2  Theoretical</w:t>
      </w:r>
      <w:proofErr w:type="gramEnd"/>
      <w:r w:rsidRPr="00883BAD">
        <w:rPr>
          <w:rFonts w:ascii="Times New Roman" w:eastAsia="Arial" w:hAnsi="Times New Roman" w:cs="Times New Roman"/>
          <w:b/>
          <w:bCs/>
          <w:color w:val="000000" w:themeColor="text1"/>
          <w:sz w:val="25"/>
          <w:szCs w:val="25"/>
        </w:rPr>
        <w:t xml:space="preserve"> Frameworks and Sustainability Implications</w:t>
      </w:r>
      <w:bookmarkEnd w:id="4"/>
    </w:p>
    <w:p w14:paraId="75C0CF99"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 xml:space="preserve">Weak sustainability, associated with Solow (1974) and Hartwick (1977), holds that natural capital can be substituted by manufactured capital provided the total capital stock does not decline. Strong sustainability, as articulated by Daly (1990) and Costanza and Daly (1992), rejects this substitutability: certain natural systems — stable climate, functioning ecosystems, critical mineral reserves — provide services that no manufactured equivalent can replicate. Geoeconomic confrontation directly undermines the strong sustainability standard by accelerating extraction of ecologically sensitive minerals, depleting the natural capital stocks that the net zero transition requires (IEA, 2021). As geopolitical rivalry concentrates control of lithium, cobalt, and rare earth elements — minerals for which the Democratic Republic of Congo, China, and Chile collectively account for </w:t>
      </w:r>
      <w:proofErr w:type="gramStart"/>
      <w:r w:rsidRPr="00883BAD">
        <w:rPr>
          <w:rFonts w:ascii="Times New Roman" w:eastAsia="Arial" w:hAnsi="Times New Roman" w:cs="Times New Roman"/>
          <w:color w:val="000000" w:themeColor="text1"/>
        </w:rPr>
        <w:t>the majority of</w:t>
      </w:r>
      <w:proofErr w:type="gramEnd"/>
      <w:r w:rsidRPr="00883BAD">
        <w:rPr>
          <w:rFonts w:ascii="Times New Roman" w:eastAsia="Arial" w:hAnsi="Times New Roman" w:cs="Times New Roman"/>
          <w:color w:val="000000" w:themeColor="text1"/>
        </w:rPr>
        <w:t xml:space="preserve"> global supply — firms dependent on imported clean energy technology face simultaneous supply disruption and rising </w:t>
      </w:r>
      <w:r w:rsidRPr="00883BAD">
        <w:rPr>
          <w:rFonts w:ascii="Times New Roman" w:eastAsia="Arial" w:hAnsi="Times New Roman" w:cs="Times New Roman"/>
          <w:color w:val="000000" w:themeColor="text1"/>
        </w:rPr>
        <w:lastRenderedPageBreak/>
        <w:t>decarbonisation costs. Tesla's 2023 battery supply chain restructuring and the EU's Critical Raw Materials Act are corporate and policy responses to exactly this dynamic (European Commission, 2023).</w:t>
      </w:r>
    </w:p>
    <w:p w14:paraId="00E917E0"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 xml:space="preserve">Industrial ecology, as defined by Graedel and Allenby (2010), treats the industrial economy as analogous to a natural ecosystem in which outputs from one process serve as inputs for another. Applied to critical mineral supply chains, this framework exposes linear extraction models as generators of cascading waste flows and stranded decommissioning liabilities that weak sustainability analyses ignore. The Environmental Kuznets Curve (EKC) posits that environmental degradation initially rises with economic development before declining as wealth enables regulatory capacity and technology diffusion (Kuznets, 1955; Stern, 2004), but this relationship presupposes functioning multilateral markets (Dinda, 2004). Trade fragmentation prolongs the ascending portion of the curve for developing economies that account for </w:t>
      </w:r>
      <w:proofErr w:type="gramStart"/>
      <w:r w:rsidRPr="00883BAD">
        <w:rPr>
          <w:rFonts w:ascii="Times New Roman" w:eastAsia="Arial" w:hAnsi="Times New Roman" w:cs="Times New Roman"/>
          <w:color w:val="000000" w:themeColor="text1"/>
        </w:rPr>
        <w:t>the majority of</w:t>
      </w:r>
      <w:proofErr w:type="gramEnd"/>
      <w:r w:rsidRPr="00883BAD">
        <w:rPr>
          <w:rFonts w:ascii="Times New Roman" w:eastAsia="Arial" w:hAnsi="Times New Roman" w:cs="Times New Roman"/>
          <w:color w:val="000000" w:themeColor="text1"/>
        </w:rPr>
        <w:t xml:space="preserve"> future emissions growth, directly threatening SDG 13. Global low-carbon investment reached $2.1 trillion in 2024 but decelerated below Paris Agreement-compliance pace (WEF, 2026), whilst the global Gini coefficient stands at approximately 0.63, with the lowest human development quartile most exposed to commodity shocks yet least equipped to absorb them (World Bank, 2023a; UNDP, 2024).</w:t>
      </w:r>
    </w:p>
    <w:p w14:paraId="09459703"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5" w:name="_Toc229475319"/>
      <w:proofErr w:type="gramStart"/>
      <w:r w:rsidRPr="00883BAD">
        <w:rPr>
          <w:rFonts w:ascii="Times New Roman" w:eastAsia="Arial" w:hAnsi="Times New Roman" w:cs="Times New Roman"/>
          <w:b/>
          <w:bCs/>
          <w:color w:val="000000" w:themeColor="text1"/>
          <w:sz w:val="25"/>
          <w:szCs w:val="25"/>
        </w:rPr>
        <w:t>2.3  Critical</w:t>
      </w:r>
      <w:proofErr w:type="gramEnd"/>
      <w:r w:rsidRPr="00883BAD">
        <w:rPr>
          <w:rFonts w:ascii="Times New Roman" w:eastAsia="Arial" w:hAnsi="Times New Roman" w:cs="Times New Roman"/>
          <w:b/>
          <w:bCs/>
          <w:color w:val="000000" w:themeColor="text1"/>
          <w:sz w:val="25"/>
          <w:szCs w:val="25"/>
        </w:rPr>
        <w:t xml:space="preserve"> Assessment</w:t>
      </w:r>
      <w:bookmarkEnd w:id="5"/>
    </w:p>
    <w:p w14:paraId="4DBF0F21"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 xml:space="preserve">The WEF's categorisation of geoeconomic confrontation as primarily an economic and geopolitical risk underestimates its environmental consequence — and this is, in this report's assessment, the most significant analytical error in the 2026 edition. Ecological economics, rooted in Daly and Farley's (2011) insight that the economy is a subsystem of finite Earth ecosystems, identifies this categorical separation as the core structural flaw in conventional risk modelling. Global CO₂ emissions rose approximately 60% between 1990 and 2022 despite </w:t>
      </w:r>
      <w:r w:rsidRPr="00883BAD">
        <w:rPr>
          <w:rFonts w:ascii="Times New Roman" w:eastAsia="Arial" w:hAnsi="Times New Roman" w:cs="Times New Roman"/>
          <w:color w:val="000000" w:themeColor="text1"/>
        </w:rPr>
        <w:lastRenderedPageBreak/>
        <w:t>apparent decoupling in the UK and EU (IEA, 2023), confirming that nationally recorded progress can displace rather than eliminate environmental harm. Meadows et al. (1972) modelled the systemic consequences of unconstrained resource competition, and their central finding — that rivalry for finite resources drives system instability — is more, not less, applicable to a world in which approximately half of global GDP is estimated to be moderately or highly dependent on nature (WEF, 2020). The WEF might counter that its mandate is risk identification rather than systemic redesign; but a report whose explicit purpose is to inform strategic decision-making should, in this assessment, identify root causes rather than symptoms. The absence of a causal link between geoeconomic confrontation and accelerated natural capital depletion in the 2026 edition represents a missed opportunity that future editions should correct.</w:t>
      </w:r>
    </w:p>
    <w:p w14:paraId="2D440D38" w14:textId="77777777" w:rsidR="00883BAD" w:rsidRDefault="00883BAD" w:rsidP="00883BAD">
      <w:pPr>
        <w:spacing w:line="480" w:lineRule="auto"/>
        <w:rPr>
          <w:rFonts w:ascii="Times New Roman" w:eastAsia="Arial" w:hAnsi="Times New Roman" w:cs="Times New Roman"/>
          <w:b/>
          <w:bCs/>
          <w:color w:val="000000" w:themeColor="text1"/>
          <w:sz w:val="28"/>
          <w:szCs w:val="28"/>
        </w:rPr>
      </w:pPr>
      <w:bookmarkStart w:id="6" w:name="_Toc229475320"/>
      <w:r>
        <w:rPr>
          <w:rFonts w:ascii="Times New Roman" w:eastAsia="Arial" w:hAnsi="Times New Roman" w:cs="Times New Roman"/>
          <w:b/>
          <w:bCs/>
          <w:color w:val="000000" w:themeColor="text1"/>
          <w:sz w:val="28"/>
          <w:szCs w:val="28"/>
        </w:rPr>
        <w:br w:type="page"/>
      </w:r>
    </w:p>
    <w:p w14:paraId="35B43D71" w14:textId="32E2437E" w:rsidR="00883BAD" w:rsidRPr="00883BAD" w:rsidRDefault="00883BAD" w:rsidP="00883BAD">
      <w:pPr>
        <w:pStyle w:val="Heading1"/>
        <w:spacing w:line="480" w:lineRule="auto"/>
        <w:rPr>
          <w:rFonts w:ascii="Times New Roman" w:hAnsi="Times New Roman" w:cs="Times New Roman"/>
          <w:color w:val="000000" w:themeColor="text1"/>
        </w:rPr>
      </w:pPr>
      <w:proofErr w:type="gramStart"/>
      <w:r w:rsidRPr="00883BAD">
        <w:rPr>
          <w:rFonts w:ascii="Times New Roman" w:eastAsia="Arial" w:hAnsi="Times New Roman" w:cs="Times New Roman"/>
          <w:b/>
          <w:bCs/>
          <w:color w:val="000000" w:themeColor="text1"/>
          <w:sz w:val="28"/>
          <w:szCs w:val="28"/>
        </w:rPr>
        <w:lastRenderedPageBreak/>
        <w:t>3.0  Risk</w:t>
      </w:r>
      <w:proofErr w:type="gramEnd"/>
      <w:r w:rsidRPr="00883BAD">
        <w:rPr>
          <w:rFonts w:ascii="Times New Roman" w:eastAsia="Arial" w:hAnsi="Times New Roman" w:cs="Times New Roman"/>
          <w:b/>
          <w:bCs/>
          <w:color w:val="000000" w:themeColor="text1"/>
          <w:sz w:val="28"/>
          <w:szCs w:val="28"/>
        </w:rPr>
        <w:t xml:space="preserve"> 2: Misinformation and Disinformation</w:t>
      </w:r>
      <w:bookmarkEnd w:id="6"/>
    </w:p>
    <w:p w14:paraId="5EA5EF1E"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7" w:name="_Toc229475321"/>
      <w:proofErr w:type="gramStart"/>
      <w:r w:rsidRPr="00883BAD">
        <w:rPr>
          <w:rFonts w:ascii="Times New Roman" w:eastAsia="Arial" w:hAnsi="Times New Roman" w:cs="Times New Roman"/>
          <w:b/>
          <w:bCs/>
          <w:color w:val="000000" w:themeColor="text1"/>
          <w:sz w:val="25"/>
          <w:szCs w:val="25"/>
        </w:rPr>
        <w:t>3.1  Risk</w:t>
      </w:r>
      <w:proofErr w:type="gramEnd"/>
      <w:r w:rsidRPr="00883BAD">
        <w:rPr>
          <w:rFonts w:ascii="Times New Roman" w:eastAsia="Arial" w:hAnsi="Times New Roman" w:cs="Times New Roman"/>
          <w:b/>
          <w:bCs/>
          <w:color w:val="000000" w:themeColor="text1"/>
          <w:sz w:val="25"/>
          <w:szCs w:val="25"/>
        </w:rPr>
        <w:t xml:space="preserve"> Overview</w:t>
      </w:r>
      <w:bookmarkEnd w:id="7"/>
    </w:p>
    <w:p w14:paraId="1ED32E4A"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Misinformation and disinformation rank second in the two-year outlook and appear consistently across all three WEF time horizons, a cross-cutting characteristic that distinguishes it from the more horizon-specific risks (WEF, 2026). The WEF distinguishes misinformation — the inadvertent spread of false information — from disinformation, which involves deliberate deployment for political or commercial advantage (WEF, 2026). A Reuters Institute survey found that 58% of respondents globally are concerned about their ability to distinguish truth from falsehood in online news (Reuters Institute, 2025), and the lowering of production costs for synthetic media through artificial intelligence has enabled state and non-state actors to sustain persistent information operations at a scale previously impossible.</w:t>
      </w:r>
    </w:p>
    <w:p w14:paraId="26A37EF0"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8" w:name="_Toc229475322"/>
      <w:proofErr w:type="gramStart"/>
      <w:r w:rsidRPr="00883BAD">
        <w:rPr>
          <w:rFonts w:ascii="Times New Roman" w:eastAsia="Arial" w:hAnsi="Times New Roman" w:cs="Times New Roman"/>
          <w:b/>
          <w:bCs/>
          <w:color w:val="000000" w:themeColor="text1"/>
          <w:sz w:val="25"/>
          <w:szCs w:val="25"/>
        </w:rPr>
        <w:t>3.2  Theoretical</w:t>
      </w:r>
      <w:proofErr w:type="gramEnd"/>
      <w:r w:rsidRPr="00883BAD">
        <w:rPr>
          <w:rFonts w:ascii="Times New Roman" w:eastAsia="Arial" w:hAnsi="Times New Roman" w:cs="Times New Roman"/>
          <w:b/>
          <w:bCs/>
          <w:color w:val="000000" w:themeColor="text1"/>
          <w:sz w:val="25"/>
          <w:szCs w:val="25"/>
        </w:rPr>
        <w:t xml:space="preserve"> Frameworks and Sustainability Implications</w:t>
      </w:r>
      <w:bookmarkEnd w:id="8"/>
    </w:p>
    <w:p w14:paraId="69497D8C"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Digital platform architecture incentivises engagement over accuracy, with algorithmic amplification favouring emotionally divisive content (Vosoughi et al., 2018). Cook et al. (2013) found that 97% of actively publishing climate scientists affirm anthropogenic warming, yet organised denial campaigns maintain public scepticism beyond what scientific uncertainty warrants, eroding the political cost-tolerance for climate regulation that SDG 13 requires. Zuboff's (2019) analysis of surveillance capitalism demonstrates that platform business models are architecturally incompatible with epistemic health: engagement maximisation and truth maximisation are in structural tension, and absent regulatory intervention, platforms have no commercial incentive to resolve that tension in favour of accuracy. Ostrom's (1990) research established that effective collective resource management depends on communication, trust, and enforcement capacity — precisely the institutional prerequisites that widespread disinformation degrades. The WEF records that 68% of countries surveyed experienced rule-</w:t>
      </w:r>
      <w:r w:rsidRPr="00883BAD">
        <w:rPr>
          <w:rFonts w:ascii="Times New Roman" w:eastAsia="Arial" w:hAnsi="Times New Roman" w:cs="Times New Roman"/>
          <w:color w:val="000000" w:themeColor="text1"/>
        </w:rPr>
        <w:lastRenderedPageBreak/>
        <w:t>of-law decline in 2025, with 83% of OECD members scoring lower than in the previous year (WEF, 2026), suggesting that informational disorder is translating into measurable institutional erosion relevant to SDG 16.</w:t>
      </w:r>
    </w:p>
    <w:p w14:paraId="43626530"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9" w:name="_Toc229475323"/>
      <w:proofErr w:type="gramStart"/>
      <w:r w:rsidRPr="00883BAD">
        <w:rPr>
          <w:rFonts w:ascii="Times New Roman" w:eastAsia="Arial" w:hAnsi="Times New Roman" w:cs="Times New Roman"/>
          <w:b/>
          <w:bCs/>
          <w:color w:val="000000" w:themeColor="text1"/>
          <w:sz w:val="25"/>
          <w:szCs w:val="25"/>
        </w:rPr>
        <w:t>3.3  Critical</w:t>
      </w:r>
      <w:proofErr w:type="gramEnd"/>
      <w:r w:rsidRPr="00883BAD">
        <w:rPr>
          <w:rFonts w:ascii="Times New Roman" w:eastAsia="Arial" w:hAnsi="Times New Roman" w:cs="Times New Roman"/>
          <w:b/>
          <w:bCs/>
          <w:color w:val="000000" w:themeColor="text1"/>
          <w:sz w:val="25"/>
          <w:szCs w:val="25"/>
        </w:rPr>
        <w:t xml:space="preserve"> Assessment</w:t>
      </w:r>
      <w:bookmarkEnd w:id="9"/>
    </w:p>
    <w:p w14:paraId="30D0A98C"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The WEF identifies the risk accurately but, in this report's assessment, stops short of structural governance solutions. The 2026 edition favours multi-stakeholder engagement whilst avoiding explicit advocacy for platform regulation — a restraint that may reflect the composition of the report's authoring network, which includes major technology stakeholders. Simon's (1981) optimistic argument that information markets self-correct through reputational mechanisms deserves acknowledgement; but the empirical record of social media's role in Brexit disinformation (Cadwalladr, 2019), Covid-19 misinformation (</w:t>
      </w:r>
      <w:proofErr w:type="spellStart"/>
      <w:r w:rsidRPr="00883BAD">
        <w:rPr>
          <w:rFonts w:ascii="Times New Roman" w:eastAsia="Arial" w:hAnsi="Times New Roman" w:cs="Times New Roman"/>
          <w:color w:val="000000" w:themeColor="text1"/>
        </w:rPr>
        <w:t>Roozenbeek</w:t>
      </w:r>
      <w:proofErr w:type="spellEnd"/>
      <w:r w:rsidRPr="00883BAD">
        <w:rPr>
          <w:rFonts w:ascii="Times New Roman" w:eastAsia="Arial" w:hAnsi="Times New Roman" w:cs="Times New Roman"/>
          <w:color w:val="000000" w:themeColor="text1"/>
        </w:rPr>
        <w:t xml:space="preserve"> et al., 2020), and climate denial campaigns (</w:t>
      </w:r>
      <w:proofErr w:type="spellStart"/>
      <w:r w:rsidRPr="00883BAD">
        <w:rPr>
          <w:rFonts w:ascii="Times New Roman" w:eastAsia="Arial" w:hAnsi="Times New Roman" w:cs="Times New Roman"/>
          <w:color w:val="000000" w:themeColor="text1"/>
        </w:rPr>
        <w:t>Supran</w:t>
      </w:r>
      <w:proofErr w:type="spellEnd"/>
      <w:r w:rsidRPr="00883BAD">
        <w:rPr>
          <w:rFonts w:ascii="Times New Roman" w:eastAsia="Arial" w:hAnsi="Times New Roman" w:cs="Times New Roman"/>
          <w:color w:val="000000" w:themeColor="text1"/>
        </w:rPr>
        <w:t xml:space="preserve"> &amp; Oreskes, 2017) indicates that self-correction fails precisely where the stakes are highest. Ostrom's (1990) principles — defined boundaries, congruent rules, graduated sanctions, and collective choice arrangements — provide a well-established framework for treating digital information ecosystems as common-pool resources, and the WEF's failure to apply this framework is a substantive gap. More fundamentally, misinformation and geoeconomic confrontation are presented as parallel risks when they are better understood as causally connected: state actors routinely deploy information operations as instruments of economic confrontation, and a risk framework that treats them as analytically independent will systematically underestimate the severity of both.</w:t>
      </w:r>
    </w:p>
    <w:p w14:paraId="125A4B05" w14:textId="77777777" w:rsidR="00883BAD" w:rsidRDefault="00883BAD" w:rsidP="00883BAD">
      <w:pPr>
        <w:spacing w:line="480" w:lineRule="auto"/>
        <w:rPr>
          <w:rFonts w:ascii="Times New Roman" w:eastAsia="Arial" w:hAnsi="Times New Roman" w:cs="Times New Roman"/>
          <w:b/>
          <w:bCs/>
          <w:color w:val="000000" w:themeColor="text1"/>
          <w:sz w:val="28"/>
          <w:szCs w:val="28"/>
        </w:rPr>
      </w:pPr>
      <w:bookmarkStart w:id="10" w:name="_Toc229475324"/>
      <w:r>
        <w:rPr>
          <w:rFonts w:ascii="Times New Roman" w:eastAsia="Arial" w:hAnsi="Times New Roman" w:cs="Times New Roman"/>
          <w:b/>
          <w:bCs/>
          <w:color w:val="000000" w:themeColor="text1"/>
          <w:sz w:val="28"/>
          <w:szCs w:val="28"/>
        </w:rPr>
        <w:br w:type="page"/>
      </w:r>
    </w:p>
    <w:p w14:paraId="500521CC" w14:textId="26BBEC05" w:rsidR="00883BAD" w:rsidRPr="00883BAD" w:rsidRDefault="00883BAD" w:rsidP="00883BAD">
      <w:pPr>
        <w:pStyle w:val="Heading1"/>
        <w:spacing w:line="480" w:lineRule="auto"/>
        <w:rPr>
          <w:rFonts w:ascii="Times New Roman" w:hAnsi="Times New Roman" w:cs="Times New Roman"/>
          <w:color w:val="000000" w:themeColor="text1"/>
        </w:rPr>
      </w:pPr>
      <w:proofErr w:type="gramStart"/>
      <w:r w:rsidRPr="00883BAD">
        <w:rPr>
          <w:rFonts w:ascii="Times New Roman" w:eastAsia="Arial" w:hAnsi="Times New Roman" w:cs="Times New Roman"/>
          <w:b/>
          <w:bCs/>
          <w:color w:val="000000" w:themeColor="text1"/>
          <w:sz w:val="28"/>
          <w:szCs w:val="28"/>
        </w:rPr>
        <w:lastRenderedPageBreak/>
        <w:t>4.0  Risk</w:t>
      </w:r>
      <w:proofErr w:type="gramEnd"/>
      <w:r w:rsidRPr="00883BAD">
        <w:rPr>
          <w:rFonts w:ascii="Times New Roman" w:eastAsia="Arial" w:hAnsi="Times New Roman" w:cs="Times New Roman"/>
          <w:b/>
          <w:bCs/>
          <w:color w:val="000000" w:themeColor="text1"/>
          <w:sz w:val="28"/>
          <w:szCs w:val="28"/>
        </w:rPr>
        <w:t xml:space="preserve"> 3: Economic Downturn</w:t>
      </w:r>
      <w:bookmarkEnd w:id="10"/>
    </w:p>
    <w:p w14:paraId="6FEE62F4"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11" w:name="_Toc229475325"/>
      <w:proofErr w:type="gramStart"/>
      <w:r w:rsidRPr="00883BAD">
        <w:rPr>
          <w:rFonts w:ascii="Times New Roman" w:eastAsia="Arial" w:hAnsi="Times New Roman" w:cs="Times New Roman"/>
          <w:b/>
          <w:bCs/>
          <w:color w:val="000000" w:themeColor="text1"/>
          <w:sz w:val="25"/>
          <w:szCs w:val="25"/>
        </w:rPr>
        <w:t>4.1  Risk</w:t>
      </w:r>
      <w:proofErr w:type="gramEnd"/>
      <w:r w:rsidRPr="00883BAD">
        <w:rPr>
          <w:rFonts w:ascii="Times New Roman" w:eastAsia="Arial" w:hAnsi="Times New Roman" w:cs="Times New Roman"/>
          <w:b/>
          <w:bCs/>
          <w:color w:val="000000" w:themeColor="text1"/>
          <w:sz w:val="25"/>
          <w:szCs w:val="25"/>
        </w:rPr>
        <w:t xml:space="preserve"> Overview</w:t>
      </w:r>
      <w:bookmarkEnd w:id="11"/>
    </w:p>
    <w:p w14:paraId="27570E4C"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Economic downturn recorded one of the largest increases in severity score in the 2026 GRPS, rising eight positions in the two-year rankings (WEF, 2026). The principal drivers are sovereign debt pressures — approximately 45% of OECD sovereign debt matures between 2025 and 2027 — alongside potential asset bubbles in AI infrastructure and persistent inflationary pressures in energy and food markets (WEF, 2026). UNCTAD (2023) projects global growth will struggle to reach 2.6% in 2026, below the post-war historical average. Fiscal headroom for sustainability investment is contracting at precisely the moment that structural transition towards low-carbon economies requires maximum capital allocation, creating a procyclical dynamic in which economic stress and environmental risk reinforce one another.</w:t>
      </w:r>
    </w:p>
    <w:p w14:paraId="51CC436A"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12" w:name="_Toc229475326"/>
      <w:proofErr w:type="gramStart"/>
      <w:r w:rsidRPr="00883BAD">
        <w:rPr>
          <w:rFonts w:ascii="Times New Roman" w:eastAsia="Arial" w:hAnsi="Times New Roman" w:cs="Times New Roman"/>
          <w:b/>
          <w:bCs/>
          <w:color w:val="000000" w:themeColor="text1"/>
          <w:sz w:val="25"/>
          <w:szCs w:val="25"/>
        </w:rPr>
        <w:t>4.2  Theoretical</w:t>
      </w:r>
      <w:proofErr w:type="gramEnd"/>
      <w:r w:rsidRPr="00883BAD">
        <w:rPr>
          <w:rFonts w:ascii="Times New Roman" w:eastAsia="Arial" w:hAnsi="Times New Roman" w:cs="Times New Roman"/>
          <w:b/>
          <w:bCs/>
          <w:color w:val="000000" w:themeColor="text1"/>
          <w:sz w:val="25"/>
          <w:szCs w:val="25"/>
        </w:rPr>
        <w:t xml:space="preserve"> Frameworks and Sustainability Implications</w:t>
      </w:r>
      <w:bookmarkEnd w:id="12"/>
    </w:p>
    <w:p w14:paraId="24431020"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Ricardo's (1817) theory of diminishing returns provides a useful frame: as competition for finite productive resources intensifies, returns decline and costs escalate, concentrating wealth whilst reducing the public fiscal surplus available for long-term investment. Romer (1990) challenges this through endogenous growth theory, arguing that technological innovation continuously expands the productivity frontier; but in energy, food, and mineral extraction — the sectors most disrupted by geoeconomic confrontation — Ricardian constraints remain empirically relevant, as rising extraction costs for lower-grade ores confirm (IRENA, 2023). The SDG financing gap stands at $4.2 trillion annually (UNCTAD, 2023), and strong sustainability challenges the weak sustainability assumption that private capital can substitute for that gap. Private capital systematically avoids non-substitutable natural capital — biodiversity, carbon sinks, soil health — because these assets generate no market return, and this category contracts most severely during downturns (Costanza &amp; Daly, 1992). The 2008–</w:t>
      </w:r>
      <w:r w:rsidRPr="00883BAD">
        <w:rPr>
          <w:rFonts w:ascii="Times New Roman" w:eastAsia="Arial" w:hAnsi="Times New Roman" w:cs="Times New Roman"/>
          <w:color w:val="000000" w:themeColor="text1"/>
        </w:rPr>
        <w:lastRenderedPageBreak/>
        <w:t>2009 financial crisis increased inequality in 21 of 31 OECD countries within three years (Atkinson &amp; Morelli, 2011; OECD, 2011), and Pigou's (1920) externalities framework identifies the underlying market failure: inadequately priced carbon and biodiversity loss mean market signals incentivise risk accumulation precisely when political pressure to reduce corrective regulation is strongest.</w:t>
      </w:r>
    </w:p>
    <w:p w14:paraId="3BCE7491"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13" w:name="_Toc229475327"/>
      <w:proofErr w:type="gramStart"/>
      <w:r w:rsidRPr="00883BAD">
        <w:rPr>
          <w:rFonts w:ascii="Times New Roman" w:eastAsia="Arial" w:hAnsi="Times New Roman" w:cs="Times New Roman"/>
          <w:b/>
          <w:bCs/>
          <w:color w:val="000000" w:themeColor="text1"/>
          <w:sz w:val="25"/>
          <w:szCs w:val="25"/>
        </w:rPr>
        <w:t>4.3  Critical</w:t>
      </w:r>
      <w:proofErr w:type="gramEnd"/>
      <w:r w:rsidRPr="00883BAD">
        <w:rPr>
          <w:rFonts w:ascii="Times New Roman" w:eastAsia="Arial" w:hAnsi="Times New Roman" w:cs="Times New Roman"/>
          <w:b/>
          <w:bCs/>
          <w:color w:val="000000" w:themeColor="text1"/>
          <w:sz w:val="25"/>
          <w:szCs w:val="25"/>
        </w:rPr>
        <w:t xml:space="preserve"> Assessment</w:t>
      </w:r>
      <w:bookmarkEnd w:id="13"/>
    </w:p>
    <w:p w14:paraId="7A5AA973"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 xml:space="preserve">The WEF's implicit treatment of economic stability as a prerequisite for environmental action inverts the causal relationship that ecological economics identifies. Ecosystem collapse generates direct economic shocks through agricultural productivity losses, infrastructure damage, and forced migration (Daly &amp; Farley, 2011); the World Bank (2021) estimates that nature-related economic losses could reach $2.7 trillion annually by 2030 under a partial ecosystem collapse scenario. In this assessment, the WEF's separation of economic and environmental risk categories is not merely a presentational choice — it is a substantive analytical error that leads decision-makers to sequence environmental action after economic stabilisation, when </w:t>
      </w:r>
      <w:proofErr w:type="gramStart"/>
      <w:r w:rsidRPr="00883BAD">
        <w:rPr>
          <w:rFonts w:ascii="Times New Roman" w:eastAsia="Arial" w:hAnsi="Times New Roman" w:cs="Times New Roman"/>
          <w:color w:val="000000" w:themeColor="text1"/>
        </w:rPr>
        <w:t>in reality the</w:t>
      </w:r>
      <w:proofErr w:type="gramEnd"/>
      <w:r w:rsidRPr="00883BAD">
        <w:rPr>
          <w:rFonts w:ascii="Times New Roman" w:eastAsia="Arial" w:hAnsi="Times New Roman" w:cs="Times New Roman"/>
          <w:color w:val="000000" w:themeColor="text1"/>
        </w:rPr>
        <w:t xml:space="preserve"> two are inseparable. Investors applying weak sustainability screens will systematically misjudge the systemic risk embedded in portfolios with high natural capital exposure, including energy, agriculture, and water infrastructure. Romer's (1990) optimism about technological substitution is defensible for renewable energy hardware; it does not extend to the biodiversity, soil health, and hydrological stability on which all productive systems ultimately depend.</w:t>
      </w:r>
    </w:p>
    <w:p w14:paraId="7548194E" w14:textId="77777777" w:rsidR="00883BAD" w:rsidRDefault="00883BAD" w:rsidP="00883BAD">
      <w:pPr>
        <w:spacing w:line="480" w:lineRule="auto"/>
        <w:rPr>
          <w:rFonts w:ascii="Times New Roman" w:eastAsia="Arial" w:hAnsi="Times New Roman" w:cs="Times New Roman"/>
          <w:b/>
          <w:bCs/>
          <w:color w:val="000000" w:themeColor="text1"/>
          <w:sz w:val="28"/>
          <w:szCs w:val="28"/>
        </w:rPr>
      </w:pPr>
      <w:bookmarkStart w:id="14" w:name="_Toc229475328"/>
      <w:r>
        <w:rPr>
          <w:rFonts w:ascii="Times New Roman" w:eastAsia="Arial" w:hAnsi="Times New Roman" w:cs="Times New Roman"/>
          <w:b/>
          <w:bCs/>
          <w:color w:val="000000" w:themeColor="text1"/>
          <w:sz w:val="28"/>
          <w:szCs w:val="28"/>
        </w:rPr>
        <w:br w:type="page"/>
      </w:r>
    </w:p>
    <w:p w14:paraId="0323ABA0" w14:textId="2CFCB212" w:rsidR="00883BAD" w:rsidRPr="00883BAD" w:rsidRDefault="00883BAD" w:rsidP="00883BAD">
      <w:pPr>
        <w:pStyle w:val="Heading1"/>
        <w:spacing w:line="480" w:lineRule="auto"/>
        <w:rPr>
          <w:rFonts w:ascii="Times New Roman" w:hAnsi="Times New Roman" w:cs="Times New Roman"/>
          <w:color w:val="000000" w:themeColor="text1"/>
        </w:rPr>
      </w:pPr>
      <w:proofErr w:type="gramStart"/>
      <w:r w:rsidRPr="00883BAD">
        <w:rPr>
          <w:rFonts w:ascii="Times New Roman" w:eastAsia="Arial" w:hAnsi="Times New Roman" w:cs="Times New Roman"/>
          <w:b/>
          <w:bCs/>
          <w:color w:val="000000" w:themeColor="text1"/>
          <w:sz w:val="28"/>
          <w:szCs w:val="28"/>
        </w:rPr>
        <w:lastRenderedPageBreak/>
        <w:t>5.0  Discussion</w:t>
      </w:r>
      <w:proofErr w:type="gramEnd"/>
      <w:r w:rsidRPr="00883BAD">
        <w:rPr>
          <w:rFonts w:ascii="Times New Roman" w:eastAsia="Arial" w:hAnsi="Times New Roman" w:cs="Times New Roman"/>
          <w:b/>
          <w:bCs/>
          <w:color w:val="000000" w:themeColor="text1"/>
          <w:sz w:val="28"/>
          <w:szCs w:val="28"/>
        </w:rPr>
        <w:t>: Interconnections and Sustainability Implications</w:t>
      </w:r>
      <w:bookmarkEnd w:id="14"/>
    </w:p>
    <w:p w14:paraId="0A7BBC92"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The three risks form an interconnected system rather than a set of parallel threats, and Table 1 below maps their individual implications across SDG 13, SDG 10, and SDG 16. Geoeconomic confrontation fuels economic instability through supply chain disruption and technology access restrictions; economic instability intensifies societal polarisation, creating conditions conducive to misinformation; and misinformation reduces governments' capacity to coordinate the multilateral responses that both risks demand. This positive feedback loop collectively degrades the institutional prerequisites for sustainable development (Daly &amp; Farley, 2011).</w:t>
      </w:r>
    </w:p>
    <w:p w14:paraId="47FDDD4C" w14:textId="77777777" w:rsidR="00883BAD" w:rsidRPr="00883BAD" w:rsidRDefault="00883BAD" w:rsidP="00883BAD">
      <w:pPr>
        <w:spacing w:after="100" w:line="480" w:lineRule="auto"/>
        <w:jc w:val="center"/>
        <w:rPr>
          <w:rFonts w:ascii="Times New Roman" w:hAnsi="Times New Roman" w:cs="Times New Roman"/>
          <w:color w:val="000000" w:themeColor="text1"/>
        </w:rPr>
      </w:pPr>
      <w:r w:rsidRPr="00883BAD">
        <w:rPr>
          <w:rFonts w:ascii="Times New Roman" w:eastAsia="Arial" w:hAnsi="Times New Roman" w:cs="Times New Roman"/>
          <w:i/>
          <w:iCs/>
          <w:color w:val="000000" w:themeColor="text1"/>
          <w:sz w:val="20"/>
          <w:szCs w:val="20"/>
        </w:rPr>
        <w:t>Table 1. Mapping of top three two-year WEF risks against key Sustainable Development Goals (Author's own, based on WEF, 2026; UN, 2015)</w:t>
      </w:r>
    </w:p>
    <w:tbl>
      <w:tblPr>
        <w:tblW w:w="9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240"/>
        <w:gridCol w:w="2240"/>
        <w:gridCol w:w="2240"/>
      </w:tblGrid>
      <w:tr w:rsidR="00883BAD" w:rsidRPr="00883BAD" w14:paraId="77E87967" w14:textId="77777777" w:rsidTr="00F425E0">
        <w:tblPrEx>
          <w:tblCellMar>
            <w:top w:w="0" w:type="dxa"/>
            <w:bottom w:w="0" w:type="dxa"/>
          </w:tblCellMar>
        </w:tblPrEx>
        <w:tc>
          <w:tcPr>
            <w:tcW w:w="2600" w:type="dxa"/>
            <w:tcBorders>
              <w:top w:val="single" w:sz="4" w:space="0" w:color="AAAAAA"/>
              <w:left w:val="single" w:sz="4" w:space="0" w:color="AAAAAA"/>
              <w:bottom w:val="single" w:sz="4" w:space="0" w:color="AAAAAA"/>
              <w:right w:val="single" w:sz="4" w:space="0" w:color="AAAAAA"/>
            </w:tcBorders>
            <w:shd w:val="clear" w:color="auto" w:fill="D5E0F3"/>
            <w:tcMar>
              <w:top w:w="80" w:type="dxa"/>
              <w:left w:w="120" w:type="dxa"/>
              <w:bottom w:w="80" w:type="dxa"/>
              <w:right w:w="120" w:type="dxa"/>
            </w:tcMar>
          </w:tcPr>
          <w:p w14:paraId="711F762D"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b/>
                <w:bCs/>
                <w:color w:val="000000" w:themeColor="text1"/>
                <w:sz w:val="20"/>
                <w:szCs w:val="20"/>
              </w:rPr>
              <w:t>Risk</w:t>
            </w:r>
          </w:p>
        </w:tc>
        <w:tc>
          <w:tcPr>
            <w:tcW w:w="2240" w:type="dxa"/>
            <w:tcBorders>
              <w:top w:val="single" w:sz="4" w:space="0" w:color="AAAAAA"/>
              <w:left w:val="single" w:sz="4" w:space="0" w:color="AAAAAA"/>
              <w:bottom w:val="single" w:sz="4" w:space="0" w:color="AAAAAA"/>
              <w:right w:val="single" w:sz="4" w:space="0" w:color="AAAAAA"/>
            </w:tcBorders>
            <w:shd w:val="clear" w:color="auto" w:fill="D5E0F3"/>
            <w:tcMar>
              <w:top w:w="80" w:type="dxa"/>
              <w:left w:w="120" w:type="dxa"/>
              <w:bottom w:w="80" w:type="dxa"/>
              <w:right w:w="120" w:type="dxa"/>
            </w:tcMar>
          </w:tcPr>
          <w:p w14:paraId="5F059B80"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b/>
                <w:bCs/>
                <w:color w:val="000000" w:themeColor="text1"/>
                <w:sz w:val="20"/>
                <w:szCs w:val="20"/>
              </w:rPr>
              <w:t>SDG 13 — Climate Action</w:t>
            </w:r>
          </w:p>
        </w:tc>
        <w:tc>
          <w:tcPr>
            <w:tcW w:w="2240" w:type="dxa"/>
            <w:tcBorders>
              <w:top w:val="single" w:sz="4" w:space="0" w:color="AAAAAA"/>
              <w:left w:val="single" w:sz="4" w:space="0" w:color="AAAAAA"/>
              <w:bottom w:val="single" w:sz="4" w:space="0" w:color="AAAAAA"/>
              <w:right w:val="single" w:sz="4" w:space="0" w:color="AAAAAA"/>
            </w:tcBorders>
            <w:shd w:val="clear" w:color="auto" w:fill="D5E0F3"/>
            <w:tcMar>
              <w:top w:w="80" w:type="dxa"/>
              <w:left w:w="120" w:type="dxa"/>
              <w:bottom w:w="80" w:type="dxa"/>
              <w:right w:w="120" w:type="dxa"/>
            </w:tcMar>
          </w:tcPr>
          <w:p w14:paraId="752B60C7"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b/>
                <w:bCs/>
                <w:color w:val="000000" w:themeColor="text1"/>
                <w:sz w:val="20"/>
                <w:szCs w:val="20"/>
              </w:rPr>
              <w:t>SDG 10 — Reduced Inequalities</w:t>
            </w:r>
          </w:p>
        </w:tc>
        <w:tc>
          <w:tcPr>
            <w:tcW w:w="2240" w:type="dxa"/>
            <w:tcBorders>
              <w:top w:val="single" w:sz="4" w:space="0" w:color="AAAAAA"/>
              <w:left w:val="single" w:sz="4" w:space="0" w:color="AAAAAA"/>
              <w:bottom w:val="single" w:sz="4" w:space="0" w:color="AAAAAA"/>
              <w:right w:val="single" w:sz="4" w:space="0" w:color="AAAAAA"/>
            </w:tcBorders>
            <w:shd w:val="clear" w:color="auto" w:fill="D5E0F3"/>
            <w:tcMar>
              <w:top w:w="80" w:type="dxa"/>
              <w:left w:w="120" w:type="dxa"/>
              <w:bottom w:w="80" w:type="dxa"/>
              <w:right w:w="120" w:type="dxa"/>
            </w:tcMar>
          </w:tcPr>
          <w:p w14:paraId="1C2CA5FC"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b/>
                <w:bCs/>
                <w:color w:val="000000" w:themeColor="text1"/>
                <w:sz w:val="20"/>
                <w:szCs w:val="20"/>
              </w:rPr>
              <w:t>SDG 16 — Peace, Justice &amp; Institutions</w:t>
            </w:r>
          </w:p>
        </w:tc>
      </w:tr>
      <w:tr w:rsidR="00883BAD" w:rsidRPr="00883BAD" w14:paraId="62A94CDA" w14:textId="77777777" w:rsidTr="00F425E0">
        <w:tblPrEx>
          <w:tblCellMar>
            <w:top w:w="0" w:type="dxa"/>
            <w:bottom w:w="0" w:type="dxa"/>
          </w:tblCellMar>
        </w:tblPrEx>
        <w:tc>
          <w:tcPr>
            <w:tcW w:w="2600" w:type="dxa"/>
            <w:tcBorders>
              <w:top w:val="single" w:sz="4" w:space="0" w:color="AAAAAA"/>
              <w:left w:val="single" w:sz="4" w:space="0" w:color="AAAAAA"/>
              <w:bottom w:val="single" w:sz="4" w:space="0" w:color="AAAAAA"/>
              <w:right w:val="single" w:sz="4" w:space="0" w:color="AAAAAA"/>
            </w:tcBorders>
            <w:shd w:val="clear" w:color="auto" w:fill="EEF4FB"/>
            <w:tcMar>
              <w:top w:w="80" w:type="dxa"/>
              <w:left w:w="120" w:type="dxa"/>
              <w:bottom w:w="80" w:type="dxa"/>
              <w:right w:w="120" w:type="dxa"/>
            </w:tcMar>
          </w:tcPr>
          <w:p w14:paraId="2C8661D9"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Geoeconomic Confrontation</w:t>
            </w:r>
          </w:p>
        </w:tc>
        <w:tc>
          <w:tcPr>
            <w:tcW w:w="2240" w:type="dxa"/>
            <w:tcBorders>
              <w:top w:val="single" w:sz="4" w:space="0" w:color="AAAAAA"/>
              <w:left w:val="single" w:sz="4" w:space="0" w:color="AAAAAA"/>
              <w:bottom w:val="single" w:sz="4" w:space="0" w:color="AAAAAA"/>
              <w:right w:val="single" w:sz="4" w:space="0" w:color="AAAAAA"/>
            </w:tcBorders>
            <w:shd w:val="clear" w:color="auto" w:fill="EEF4FB"/>
            <w:tcMar>
              <w:top w:w="80" w:type="dxa"/>
              <w:left w:w="120" w:type="dxa"/>
              <w:bottom w:w="80" w:type="dxa"/>
              <w:right w:w="120" w:type="dxa"/>
            </w:tcMar>
          </w:tcPr>
          <w:p w14:paraId="3A649E38"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Delays low-carbon investment; fragments technology transfer</w:t>
            </w:r>
          </w:p>
        </w:tc>
        <w:tc>
          <w:tcPr>
            <w:tcW w:w="2240" w:type="dxa"/>
            <w:tcBorders>
              <w:top w:val="single" w:sz="4" w:space="0" w:color="AAAAAA"/>
              <w:left w:val="single" w:sz="4" w:space="0" w:color="AAAAAA"/>
              <w:bottom w:val="single" w:sz="4" w:space="0" w:color="AAAAAA"/>
              <w:right w:val="single" w:sz="4" w:space="0" w:color="AAAAAA"/>
            </w:tcBorders>
            <w:shd w:val="clear" w:color="auto" w:fill="EEF4FB"/>
            <w:tcMar>
              <w:top w:w="80" w:type="dxa"/>
              <w:left w:w="120" w:type="dxa"/>
              <w:bottom w:w="80" w:type="dxa"/>
              <w:right w:w="120" w:type="dxa"/>
            </w:tcMar>
          </w:tcPr>
          <w:p w14:paraId="4116A2C2"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Commodity shocks hit lowest-HDI quartile hardest</w:t>
            </w:r>
          </w:p>
        </w:tc>
        <w:tc>
          <w:tcPr>
            <w:tcW w:w="2240" w:type="dxa"/>
            <w:tcBorders>
              <w:top w:val="single" w:sz="4" w:space="0" w:color="AAAAAA"/>
              <w:left w:val="single" w:sz="4" w:space="0" w:color="AAAAAA"/>
              <w:bottom w:val="single" w:sz="4" w:space="0" w:color="AAAAAA"/>
              <w:right w:val="single" w:sz="4" w:space="0" w:color="AAAAAA"/>
            </w:tcBorders>
            <w:shd w:val="clear" w:color="auto" w:fill="EEF4FB"/>
            <w:tcMar>
              <w:top w:w="80" w:type="dxa"/>
              <w:left w:w="120" w:type="dxa"/>
              <w:bottom w:w="80" w:type="dxa"/>
              <w:right w:w="120" w:type="dxa"/>
            </w:tcMar>
          </w:tcPr>
          <w:p w14:paraId="1C6ED335"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Erodes multilateral rules-based order</w:t>
            </w:r>
          </w:p>
        </w:tc>
      </w:tr>
      <w:tr w:rsidR="00883BAD" w:rsidRPr="00883BAD" w14:paraId="39CC50B9" w14:textId="77777777" w:rsidTr="00F425E0">
        <w:tblPrEx>
          <w:tblCellMar>
            <w:top w:w="0" w:type="dxa"/>
            <w:bottom w:w="0" w:type="dxa"/>
          </w:tblCellMar>
        </w:tblPrEx>
        <w:tc>
          <w:tcPr>
            <w:tcW w:w="2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3F634AB"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Misinformation &amp; Disinformation</w:t>
            </w:r>
          </w:p>
        </w:tc>
        <w:tc>
          <w:tcPr>
            <w:tcW w:w="224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74F460E"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Sustains climate scepticism; reduces policy mandate</w:t>
            </w:r>
          </w:p>
        </w:tc>
        <w:tc>
          <w:tcPr>
            <w:tcW w:w="224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73F814B"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Amplifies polarisation; mutes marginalised voices</w:t>
            </w:r>
          </w:p>
        </w:tc>
        <w:tc>
          <w:tcPr>
            <w:tcW w:w="224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A4FFDE8"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Degrades trust, rule-of-law, democratic accountability</w:t>
            </w:r>
          </w:p>
        </w:tc>
      </w:tr>
      <w:tr w:rsidR="00883BAD" w:rsidRPr="00883BAD" w14:paraId="65467C84" w14:textId="77777777" w:rsidTr="00F425E0">
        <w:tblPrEx>
          <w:tblCellMar>
            <w:top w:w="0" w:type="dxa"/>
            <w:bottom w:w="0" w:type="dxa"/>
          </w:tblCellMar>
        </w:tblPrEx>
        <w:tc>
          <w:tcPr>
            <w:tcW w:w="2600" w:type="dxa"/>
            <w:tcBorders>
              <w:top w:val="single" w:sz="4" w:space="0" w:color="AAAAAA"/>
              <w:left w:val="single" w:sz="4" w:space="0" w:color="AAAAAA"/>
              <w:bottom w:val="single" w:sz="4" w:space="0" w:color="AAAAAA"/>
              <w:right w:val="single" w:sz="4" w:space="0" w:color="AAAAAA"/>
            </w:tcBorders>
            <w:shd w:val="clear" w:color="auto" w:fill="EEF4FB"/>
            <w:tcMar>
              <w:top w:w="80" w:type="dxa"/>
              <w:left w:w="120" w:type="dxa"/>
              <w:bottom w:w="80" w:type="dxa"/>
              <w:right w:w="120" w:type="dxa"/>
            </w:tcMar>
          </w:tcPr>
          <w:p w14:paraId="6E419FD2"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Economic Downturn</w:t>
            </w:r>
          </w:p>
        </w:tc>
        <w:tc>
          <w:tcPr>
            <w:tcW w:w="2240" w:type="dxa"/>
            <w:tcBorders>
              <w:top w:val="single" w:sz="4" w:space="0" w:color="AAAAAA"/>
              <w:left w:val="single" w:sz="4" w:space="0" w:color="AAAAAA"/>
              <w:bottom w:val="single" w:sz="4" w:space="0" w:color="AAAAAA"/>
              <w:right w:val="single" w:sz="4" w:space="0" w:color="AAAAAA"/>
            </w:tcBorders>
            <w:shd w:val="clear" w:color="auto" w:fill="EEF4FB"/>
            <w:tcMar>
              <w:top w:w="80" w:type="dxa"/>
              <w:left w:w="120" w:type="dxa"/>
              <w:bottom w:w="80" w:type="dxa"/>
              <w:right w:w="120" w:type="dxa"/>
            </w:tcMar>
          </w:tcPr>
          <w:p w14:paraId="669D3A97"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Cuts sustainability investment; weakens carbon pricing</w:t>
            </w:r>
          </w:p>
        </w:tc>
        <w:tc>
          <w:tcPr>
            <w:tcW w:w="2240" w:type="dxa"/>
            <w:tcBorders>
              <w:top w:val="single" w:sz="4" w:space="0" w:color="AAAAAA"/>
              <w:left w:val="single" w:sz="4" w:space="0" w:color="AAAAAA"/>
              <w:bottom w:val="single" w:sz="4" w:space="0" w:color="AAAAAA"/>
              <w:right w:val="single" w:sz="4" w:space="0" w:color="AAAAAA"/>
            </w:tcBorders>
            <w:shd w:val="clear" w:color="auto" w:fill="EEF4FB"/>
            <w:tcMar>
              <w:top w:w="80" w:type="dxa"/>
              <w:left w:w="120" w:type="dxa"/>
              <w:bottom w:w="80" w:type="dxa"/>
              <w:right w:w="120" w:type="dxa"/>
            </w:tcMar>
          </w:tcPr>
          <w:p w14:paraId="38DDA413"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Raises Gini; concentrates austerity on vulnerable groups</w:t>
            </w:r>
          </w:p>
        </w:tc>
        <w:tc>
          <w:tcPr>
            <w:tcW w:w="2240" w:type="dxa"/>
            <w:tcBorders>
              <w:top w:val="single" w:sz="4" w:space="0" w:color="AAAAAA"/>
              <w:left w:val="single" w:sz="4" w:space="0" w:color="AAAAAA"/>
              <w:bottom w:val="single" w:sz="4" w:space="0" w:color="AAAAAA"/>
              <w:right w:val="single" w:sz="4" w:space="0" w:color="AAAAAA"/>
            </w:tcBorders>
            <w:shd w:val="clear" w:color="auto" w:fill="EEF4FB"/>
            <w:tcMar>
              <w:top w:w="80" w:type="dxa"/>
              <w:left w:w="120" w:type="dxa"/>
              <w:bottom w:w="80" w:type="dxa"/>
              <w:right w:w="120" w:type="dxa"/>
            </w:tcMar>
          </w:tcPr>
          <w:p w14:paraId="29EC31FD" w14:textId="77777777" w:rsidR="00883BAD" w:rsidRPr="00883BAD" w:rsidRDefault="00883BAD" w:rsidP="00883BAD">
            <w:pPr>
              <w:spacing w:line="480" w:lineRule="auto"/>
              <w:rPr>
                <w:rFonts w:ascii="Times New Roman" w:hAnsi="Times New Roman" w:cs="Times New Roman"/>
                <w:color w:val="000000" w:themeColor="text1"/>
              </w:rPr>
            </w:pPr>
            <w:r w:rsidRPr="00883BAD">
              <w:rPr>
                <w:rFonts w:ascii="Times New Roman" w:eastAsia="Arial" w:hAnsi="Times New Roman" w:cs="Times New Roman"/>
                <w:color w:val="000000" w:themeColor="text1"/>
                <w:sz w:val="20"/>
                <w:szCs w:val="20"/>
              </w:rPr>
              <w:t>Fiscal stress weakens institutional capacity</w:t>
            </w:r>
          </w:p>
        </w:tc>
      </w:tr>
    </w:tbl>
    <w:p w14:paraId="5C23CA57" w14:textId="77777777" w:rsidR="00883BAD" w:rsidRPr="00883BAD" w:rsidRDefault="00883BAD" w:rsidP="00883BAD">
      <w:pPr>
        <w:spacing w:after="200" w:line="480" w:lineRule="auto"/>
        <w:rPr>
          <w:rFonts w:ascii="Times New Roman" w:hAnsi="Times New Roman" w:cs="Times New Roman"/>
          <w:color w:val="000000" w:themeColor="text1"/>
        </w:rPr>
      </w:pPr>
    </w:p>
    <w:p w14:paraId="64164525"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 xml:space="preserve">The weak versus strong sustainability distinction clarifies what is at stake. Weak sustainability would permit substitution of depleted natural capital with manufactured alternatives provided </w:t>
      </w:r>
      <w:r w:rsidRPr="00883BAD">
        <w:rPr>
          <w:rFonts w:ascii="Times New Roman" w:eastAsia="Arial" w:hAnsi="Times New Roman" w:cs="Times New Roman"/>
          <w:color w:val="000000" w:themeColor="text1"/>
        </w:rPr>
        <w:lastRenderedPageBreak/>
        <w:t xml:space="preserve">economic growth continues (Solow, 1974; Hartwick, 1977). The convergence of these three risks makes even this weaker standard unattainable: geoeconomic confrontation restricts the technology transfer required for substitution; economic downturn reduces the capital to fund it; and misinformation undermines the democratic consensus to mandate it. </w:t>
      </w:r>
      <w:proofErr w:type="spellStart"/>
      <w:r w:rsidRPr="00883BAD">
        <w:rPr>
          <w:rFonts w:ascii="Times New Roman" w:eastAsia="Arial" w:hAnsi="Times New Roman" w:cs="Times New Roman"/>
          <w:color w:val="000000" w:themeColor="text1"/>
        </w:rPr>
        <w:t>Dyllick</w:t>
      </w:r>
      <w:proofErr w:type="spellEnd"/>
      <w:r w:rsidRPr="00883BAD">
        <w:rPr>
          <w:rFonts w:ascii="Times New Roman" w:eastAsia="Arial" w:hAnsi="Times New Roman" w:cs="Times New Roman"/>
          <w:color w:val="000000" w:themeColor="text1"/>
        </w:rPr>
        <w:t xml:space="preserve"> and Muff (2016) argue that genuinely sustainable business — Business Sustainability 3.0 — defines value in terms of societal contribution rather than capital substitution. The current risk environment makes that framing not idealistic but structurally necessary. The WEF's own identification of inequality as the most interconnected global risk for the second consecutive year (WEF, 2026) points toward a conclusion the report stops short of drawing: that reducing inequality, strengthening institutions, and protecting natural capital are not separate policy domains but components of a single systemic response.</w:t>
      </w:r>
    </w:p>
    <w:p w14:paraId="4567789A"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This report's independent assessment is that the WEF 2026 edition is analytically strongest on risk description and weakest on structural prescription. Its governance recommendations are constrained by the composition of its authoring network, its categorisation of risks as parallel rather than causally linked understates their combined severity, and its implicit sequencing — stabilise economics first, then address sustainability — is precisely the logic that produced the current impasse. The report's most valuable contribution is empirical: the GRPS data, the quantification of institutional erosion, and the identification of inequality as the meta-risk are genuine advances in how the risk landscape is understood. The analytical framework in which those data are embedded is less coherent.</w:t>
      </w:r>
    </w:p>
    <w:p w14:paraId="10535E76" w14:textId="77777777" w:rsidR="00883BAD" w:rsidRDefault="00883BAD" w:rsidP="00883BAD">
      <w:pPr>
        <w:spacing w:line="480" w:lineRule="auto"/>
        <w:rPr>
          <w:rFonts w:ascii="Times New Roman" w:eastAsia="Arial" w:hAnsi="Times New Roman" w:cs="Times New Roman"/>
          <w:b/>
          <w:bCs/>
          <w:color w:val="000000" w:themeColor="text1"/>
          <w:sz w:val="28"/>
          <w:szCs w:val="28"/>
        </w:rPr>
      </w:pPr>
      <w:bookmarkStart w:id="15" w:name="_Toc229475329"/>
      <w:r>
        <w:rPr>
          <w:rFonts w:ascii="Times New Roman" w:eastAsia="Arial" w:hAnsi="Times New Roman" w:cs="Times New Roman"/>
          <w:b/>
          <w:bCs/>
          <w:color w:val="000000" w:themeColor="text1"/>
          <w:sz w:val="28"/>
          <w:szCs w:val="28"/>
        </w:rPr>
        <w:br w:type="page"/>
      </w:r>
    </w:p>
    <w:p w14:paraId="2D8A95D2" w14:textId="69FFAB16" w:rsidR="00883BAD" w:rsidRPr="00883BAD" w:rsidRDefault="00883BAD" w:rsidP="00883BAD">
      <w:pPr>
        <w:pStyle w:val="Heading1"/>
        <w:spacing w:line="480" w:lineRule="auto"/>
        <w:rPr>
          <w:rFonts w:ascii="Times New Roman" w:hAnsi="Times New Roman" w:cs="Times New Roman"/>
          <w:color w:val="000000" w:themeColor="text1"/>
        </w:rPr>
      </w:pPr>
      <w:proofErr w:type="gramStart"/>
      <w:r w:rsidRPr="00883BAD">
        <w:rPr>
          <w:rFonts w:ascii="Times New Roman" w:eastAsia="Arial" w:hAnsi="Times New Roman" w:cs="Times New Roman"/>
          <w:b/>
          <w:bCs/>
          <w:color w:val="000000" w:themeColor="text1"/>
          <w:sz w:val="28"/>
          <w:szCs w:val="28"/>
        </w:rPr>
        <w:lastRenderedPageBreak/>
        <w:t>6.0  Recommendations</w:t>
      </w:r>
      <w:bookmarkEnd w:id="15"/>
      <w:proofErr w:type="gramEnd"/>
    </w:p>
    <w:p w14:paraId="38A26604"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16" w:name="_Toc229475330"/>
      <w:proofErr w:type="gramStart"/>
      <w:r w:rsidRPr="00883BAD">
        <w:rPr>
          <w:rFonts w:ascii="Times New Roman" w:eastAsia="Arial" w:hAnsi="Times New Roman" w:cs="Times New Roman"/>
          <w:b/>
          <w:bCs/>
          <w:color w:val="000000" w:themeColor="text1"/>
          <w:sz w:val="25"/>
          <w:szCs w:val="25"/>
        </w:rPr>
        <w:t>6.1  Internalise</w:t>
      </w:r>
      <w:proofErr w:type="gramEnd"/>
      <w:r w:rsidRPr="00883BAD">
        <w:rPr>
          <w:rFonts w:ascii="Times New Roman" w:eastAsia="Arial" w:hAnsi="Times New Roman" w:cs="Times New Roman"/>
          <w:b/>
          <w:bCs/>
          <w:color w:val="000000" w:themeColor="text1"/>
          <w:sz w:val="25"/>
          <w:szCs w:val="25"/>
        </w:rPr>
        <w:t xml:space="preserve"> Environmental Externalities Across Corporate Strategy</w:t>
      </w:r>
      <w:bookmarkEnd w:id="16"/>
    </w:p>
    <w:p w14:paraId="4930814B"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Carbon pricing currently covers 23% of global greenhouse gas emissions (World Bank, 2023b). Porter and van der Linde (1995) demonstrate that well-designed environmental regulation stimulates innovation rather than suppressing it, making green industrial policy commercially rational as well as strategically necessary. Businesses should align capital allocation with science-based targets verified through the SBTi (2023) and advocate for extended producer responsibility covering critical minerals and battery technologies. Apple's transition to 100% recycled aluminium in its MacBook line — reducing upstream mining pressure without sacrificing product performance — illustrates that this move is operationally feasible at scale, not aspirational (Apple, 2023). Internalising lifecycle costs is the first and most impactful lever, because it converts the mispricing that Pigou (1920) identified from an externality into a boardroom variable.</w:t>
      </w:r>
    </w:p>
    <w:p w14:paraId="64DCEBEA"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17" w:name="_Toc229475331"/>
      <w:proofErr w:type="gramStart"/>
      <w:r w:rsidRPr="00883BAD">
        <w:rPr>
          <w:rFonts w:ascii="Times New Roman" w:eastAsia="Arial" w:hAnsi="Times New Roman" w:cs="Times New Roman"/>
          <w:b/>
          <w:bCs/>
          <w:color w:val="000000" w:themeColor="text1"/>
          <w:sz w:val="25"/>
          <w:szCs w:val="25"/>
        </w:rPr>
        <w:t>6.2  Transition</w:t>
      </w:r>
      <w:proofErr w:type="gramEnd"/>
      <w:r w:rsidRPr="00883BAD">
        <w:rPr>
          <w:rFonts w:ascii="Times New Roman" w:eastAsia="Arial" w:hAnsi="Times New Roman" w:cs="Times New Roman"/>
          <w:b/>
          <w:bCs/>
          <w:color w:val="000000" w:themeColor="text1"/>
          <w:sz w:val="25"/>
          <w:szCs w:val="25"/>
        </w:rPr>
        <w:t xml:space="preserve"> Supply Chains to Circular Industrial Ecology Models</w:t>
      </w:r>
      <w:bookmarkEnd w:id="17"/>
    </w:p>
    <w:p w14:paraId="0A536FC4"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Graedel and Allenby (2010) argue that industrial systems should close material loops so that all outputs serve as inputs elsewhere. The Ellen MacArthur Foundation (2019) estimates circular transitions could reduce global material consumption by 28% by 2050 whilst sustaining growth. Procurement directors should, as a near-term action, map Tier 2 and Tier 3 supply chain dependencies on geopolitically concentrated minerals and invest in alternative sourcing. Renault's refurbishment factory in Flins — which remanufactures end-of-life vehicle components rather than extracting virgin materials — provides a replicable model: by retaining material value within a closed loop, the plant reduces both geopolitical supply exposure and embodied carbon (Renault Group, 2022).</w:t>
      </w:r>
    </w:p>
    <w:p w14:paraId="3DF35A11"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18" w:name="_Toc229475332"/>
      <w:proofErr w:type="gramStart"/>
      <w:r w:rsidRPr="00883BAD">
        <w:rPr>
          <w:rFonts w:ascii="Times New Roman" w:eastAsia="Arial" w:hAnsi="Times New Roman" w:cs="Times New Roman"/>
          <w:b/>
          <w:bCs/>
          <w:color w:val="000000" w:themeColor="text1"/>
          <w:sz w:val="25"/>
          <w:szCs w:val="25"/>
        </w:rPr>
        <w:lastRenderedPageBreak/>
        <w:t>6.3  Reform</w:t>
      </w:r>
      <w:proofErr w:type="gramEnd"/>
      <w:r w:rsidRPr="00883BAD">
        <w:rPr>
          <w:rFonts w:ascii="Times New Roman" w:eastAsia="Arial" w:hAnsi="Times New Roman" w:cs="Times New Roman"/>
          <w:b/>
          <w:bCs/>
          <w:color w:val="000000" w:themeColor="text1"/>
          <w:sz w:val="25"/>
          <w:szCs w:val="25"/>
        </w:rPr>
        <w:t xml:space="preserve"> Digital Platform Governance Through Structural Regulation</w:t>
      </w:r>
      <w:bookmarkEnd w:id="18"/>
    </w:p>
    <w:p w14:paraId="3BD309EE"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 xml:space="preserve">Digital literacy programmes address the demand side of misinformation without reforming the supply-side incentives generating it. Ostrom's (1990) governance principles provide a framework for regulating digital information ecosystems as common-pool resources: mandatory algorithmic transparency and liability for amplified disinformation would reform structural incentives rather than manage their consequences, directly supporting SDG 16. The EU Digital Services Act (2022) establishes precisely this model — requiring platforms to audit algorithmic systems, disclose recommender logic, and accept liability for systemic harms — and businesses operating in EU markets should treat compliance as a minimum rather than a burden. Narrative attack scenarios should be incorporated into reputational risk assessments given misinformation's status as a </w:t>
      </w:r>
      <w:proofErr w:type="gramStart"/>
      <w:r w:rsidRPr="00883BAD">
        <w:rPr>
          <w:rFonts w:ascii="Times New Roman" w:eastAsia="Arial" w:hAnsi="Times New Roman" w:cs="Times New Roman"/>
          <w:color w:val="000000" w:themeColor="text1"/>
        </w:rPr>
        <w:t>top-five</w:t>
      </w:r>
      <w:proofErr w:type="gramEnd"/>
      <w:r w:rsidRPr="00883BAD">
        <w:rPr>
          <w:rFonts w:ascii="Times New Roman" w:eastAsia="Arial" w:hAnsi="Times New Roman" w:cs="Times New Roman"/>
          <w:color w:val="000000" w:themeColor="text1"/>
        </w:rPr>
        <w:t xml:space="preserve"> risk across all WEF time horizons.</w:t>
      </w:r>
    </w:p>
    <w:p w14:paraId="2A30BB71" w14:textId="77777777" w:rsidR="00883BAD" w:rsidRPr="00883BAD" w:rsidRDefault="00883BAD" w:rsidP="00883BAD">
      <w:pPr>
        <w:pStyle w:val="Heading2"/>
        <w:spacing w:line="480" w:lineRule="auto"/>
        <w:rPr>
          <w:rFonts w:ascii="Times New Roman" w:hAnsi="Times New Roman" w:cs="Times New Roman"/>
          <w:color w:val="000000" w:themeColor="text1"/>
        </w:rPr>
      </w:pPr>
      <w:bookmarkStart w:id="19" w:name="_Toc229475333"/>
      <w:proofErr w:type="gramStart"/>
      <w:r w:rsidRPr="00883BAD">
        <w:rPr>
          <w:rFonts w:ascii="Times New Roman" w:eastAsia="Arial" w:hAnsi="Times New Roman" w:cs="Times New Roman"/>
          <w:b/>
          <w:bCs/>
          <w:color w:val="000000" w:themeColor="text1"/>
          <w:sz w:val="25"/>
          <w:szCs w:val="25"/>
        </w:rPr>
        <w:t>6.4  Protect</w:t>
      </w:r>
      <w:proofErr w:type="gramEnd"/>
      <w:r w:rsidRPr="00883BAD">
        <w:rPr>
          <w:rFonts w:ascii="Times New Roman" w:eastAsia="Arial" w:hAnsi="Times New Roman" w:cs="Times New Roman"/>
          <w:b/>
          <w:bCs/>
          <w:color w:val="000000" w:themeColor="text1"/>
          <w:sz w:val="25"/>
          <w:szCs w:val="25"/>
        </w:rPr>
        <w:t xml:space="preserve"> Sustainability Investment Through Counter-Cyclical Finance</w:t>
      </w:r>
      <w:bookmarkEnd w:id="19"/>
    </w:p>
    <w:p w14:paraId="2A939892"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Counter-cyclical green spending rules — analogous to automatic fiscal stabilisers but directed at sustainability investment floors — would prevent the rollback of SDG-aligned expenditure during recessions. Multilateral development banks should expand concessional climate finance for lower-HDI countries facing debt distress, using the Bridgetown Initiative (Barbados, 2022) as the structural template for embedding climate resilience in sovereign debt restructuring. The priority should be strong sustainability investments — ecosystem protection, natural capital accounting, and payments for ecosystem services — rather than solely manufactured green infrastructure. Weak sustainability frameworks over-weight the latter because it generates measurable returns; strong sustainability requires resisting that bias precisely when fiscal pressure is greatest.</w:t>
      </w:r>
    </w:p>
    <w:p w14:paraId="77034FB7" w14:textId="77777777" w:rsidR="00883BAD" w:rsidRDefault="00883BAD" w:rsidP="00883BAD">
      <w:pPr>
        <w:spacing w:line="480" w:lineRule="auto"/>
        <w:rPr>
          <w:rFonts w:ascii="Times New Roman" w:eastAsia="Arial" w:hAnsi="Times New Roman" w:cs="Times New Roman"/>
          <w:b/>
          <w:bCs/>
          <w:color w:val="000000" w:themeColor="text1"/>
          <w:sz w:val="28"/>
          <w:szCs w:val="28"/>
        </w:rPr>
      </w:pPr>
      <w:bookmarkStart w:id="20" w:name="_Toc229475334"/>
      <w:r>
        <w:rPr>
          <w:rFonts w:ascii="Times New Roman" w:eastAsia="Arial" w:hAnsi="Times New Roman" w:cs="Times New Roman"/>
          <w:b/>
          <w:bCs/>
          <w:color w:val="000000" w:themeColor="text1"/>
          <w:sz w:val="28"/>
          <w:szCs w:val="28"/>
        </w:rPr>
        <w:br w:type="page"/>
      </w:r>
    </w:p>
    <w:p w14:paraId="7B50ED8E" w14:textId="695B84D2" w:rsidR="00883BAD" w:rsidRPr="00883BAD" w:rsidRDefault="00883BAD" w:rsidP="00883BAD">
      <w:pPr>
        <w:pStyle w:val="Heading1"/>
        <w:spacing w:line="480" w:lineRule="auto"/>
        <w:rPr>
          <w:rFonts w:ascii="Times New Roman" w:hAnsi="Times New Roman" w:cs="Times New Roman"/>
          <w:color w:val="000000" w:themeColor="text1"/>
        </w:rPr>
      </w:pPr>
      <w:proofErr w:type="gramStart"/>
      <w:r w:rsidRPr="00883BAD">
        <w:rPr>
          <w:rFonts w:ascii="Times New Roman" w:eastAsia="Arial" w:hAnsi="Times New Roman" w:cs="Times New Roman"/>
          <w:b/>
          <w:bCs/>
          <w:color w:val="000000" w:themeColor="text1"/>
          <w:sz w:val="28"/>
          <w:szCs w:val="28"/>
        </w:rPr>
        <w:lastRenderedPageBreak/>
        <w:t>7.0  Conclusion</w:t>
      </w:r>
      <w:bookmarkEnd w:id="20"/>
      <w:proofErr w:type="gramEnd"/>
    </w:p>
    <w:p w14:paraId="6AB65C97"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 xml:space="preserve">The WEF Global Risks Report 2026 documents a juncture at which short-term crisis management is displacing long-term sustainability action across all three risk categories analysed here. Geoeconomic confrontation dismantles the institutional prerequisites for environmental governance; economic instability reduces fiscal capacity for sustainability investment; and misinformation corrodes the democratic accountability through which both might otherwise be managed. This report's central assessment is that these risks are not coincidentally occurring together — they are generated by the same institutional failures the SDG framework was designed to </w:t>
      </w:r>
      <w:proofErr w:type="gramStart"/>
      <w:r w:rsidRPr="00883BAD">
        <w:rPr>
          <w:rFonts w:ascii="Times New Roman" w:eastAsia="Arial" w:hAnsi="Times New Roman" w:cs="Times New Roman"/>
          <w:color w:val="000000" w:themeColor="text1"/>
        </w:rPr>
        <w:t>address:</w:t>
      </w:r>
      <w:proofErr w:type="gramEnd"/>
      <w:r w:rsidRPr="00883BAD">
        <w:rPr>
          <w:rFonts w:ascii="Times New Roman" w:eastAsia="Arial" w:hAnsi="Times New Roman" w:cs="Times New Roman"/>
          <w:color w:val="000000" w:themeColor="text1"/>
        </w:rPr>
        <w:t xml:space="preserve"> inadequately priced externalities, fragmented governance, and short-</w:t>
      </w:r>
      <w:proofErr w:type="spellStart"/>
      <w:r w:rsidRPr="00883BAD">
        <w:rPr>
          <w:rFonts w:ascii="Times New Roman" w:eastAsia="Arial" w:hAnsi="Times New Roman" w:cs="Times New Roman"/>
          <w:color w:val="000000" w:themeColor="text1"/>
        </w:rPr>
        <w:t>termist</w:t>
      </w:r>
      <w:proofErr w:type="spellEnd"/>
      <w:r w:rsidRPr="00883BAD">
        <w:rPr>
          <w:rFonts w:ascii="Times New Roman" w:eastAsia="Arial" w:hAnsi="Times New Roman" w:cs="Times New Roman"/>
          <w:color w:val="000000" w:themeColor="text1"/>
        </w:rPr>
        <w:t xml:space="preserve"> political incentives. Addressing them requires treating sustainability not as a separate policy domain to be protected from economic pressures, but as the condition of possibility for the economic and institutional stability that policymakers are trying to protect.</w:t>
      </w:r>
    </w:p>
    <w:p w14:paraId="710AFE5F" w14:textId="77777777" w:rsidR="00883BAD" w:rsidRPr="00883BAD" w:rsidRDefault="00883BAD" w:rsidP="00883BAD">
      <w:pPr>
        <w:spacing w:after="200" w:line="480" w:lineRule="auto"/>
        <w:jc w:val="both"/>
        <w:rPr>
          <w:rFonts w:ascii="Times New Roman" w:hAnsi="Times New Roman" w:cs="Times New Roman"/>
          <w:color w:val="000000" w:themeColor="text1"/>
        </w:rPr>
      </w:pPr>
      <w:r w:rsidRPr="00883BAD">
        <w:rPr>
          <w:rFonts w:ascii="Times New Roman" w:eastAsia="Arial" w:hAnsi="Times New Roman" w:cs="Times New Roman"/>
          <w:color w:val="000000" w:themeColor="text1"/>
        </w:rPr>
        <w:t xml:space="preserve">For businesses, the most consequential implication is strategic rather than operational. Firms that treat the 2026 risk landscape as a series of discrete supply chain, reputational, and regulatory problems will find themselves managing the symptoms of a systemic failure without addressing its causes. The report's finding that inequality is the most interconnected global risk — present in the top ten across all </w:t>
      </w:r>
      <w:proofErr w:type="gramStart"/>
      <w:r w:rsidRPr="00883BAD">
        <w:rPr>
          <w:rFonts w:ascii="Times New Roman" w:eastAsia="Arial" w:hAnsi="Times New Roman" w:cs="Times New Roman"/>
          <w:color w:val="000000" w:themeColor="text1"/>
        </w:rPr>
        <w:t>three time</w:t>
      </w:r>
      <w:proofErr w:type="gramEnd"/>
      <w:r w:rsidRPr="00883BAD">
        <w:rPr>
          <w:rFonts w:ascii="Times New Roman" w:eastAsia="Arial" w:hAnsi="Times New Roman" w:cs="Times New Roman"/>
          <w:color w:val="000000" w:themeColor="text1"/>
        </w:rPr>
        <w:t xml:space="preserve"> horizons — points toward the conclusion that the firms best positioned to navigate this environment are those that have embedded social value creation into their core operating logic rather than appended it as a reporting obligation. Strong sustainability, as </w:t>
      </w:r>
      <w:proofErr w:type="spellStart"/>
      <w:r w:rsidRPr="00883BAD">
        <w:rPr>
          <w:rFonts w:ascii="Times New Roman" w:eastAsia="Arial" w:hAnsi="Times New Roman" w:cs="Times New Roman"/>
          <w:color w:val="000000" w:themeColor="text1"/>
        </w:rPr>
        <w:t>Dyllick</w:t>
      </w:r>
      <w:proofErr w:type="spellEnd"/>
      <w:r w:rsidRPr="00883BAD">
        <w:rPr>
          <w:rFonts w:ascii="Times New Roman" w:eastAsia="Arial" w:hAnsi="Times New Roman" w:cs="Times New Roman"/>
          <w:color w:val="000000" w:themeColor="text1"/>
        </w:rPr>
        <w:t xml:space="preserve"> and Muff (2016) and Daly and Farley (2011) both argue from different directions, is not the more demanding standard: it is the only one whose internal logic is consistent with the world that the WEF 2026 report describes.</w:t>
      </w:r>
    </w:p>
    <w:p w14:paraId="4D00EBCA" w14:textId="77777777" w:rsidR="00883BAD" w:rsidRDefault="00883BAD" w:rsidP="00883BAD">
      <w:pPr>
        <w:spacing w:line="480" w:lineRule="auto"/>
        <w:rPr>
          <w:rFonts w:ascii="Times New Roman" w:eastAsia="Arial" w:hAnsi="Times New Roman" w:cs="Times New Roman"/>
          <w:b/>
          <w:bCs/>
          <w:color w:val="000000" w:themeColor="text1"/>
          <w:sz w:val="28"/>
          <w:szCs w:val="28"/>
        </w:rPr>
      </w:pPr>
      <w:bookmarkStart w:id="21" w:name="_Toc229475335"/>
      <w:r>
        <w:rPr>
          <w:rFonts w:ascii="Times New Roman" w:eastAsia="Arial" w:hAnsi="Times New Roman" w:cs="Times New Roman"/>
          <w:b/>
          <w:bCs/>
          <w:color w:val="000000" w:themeColor="text1"/>
          <w:sz w:val="28"/>
          <w:szCs w:val="28"/>
        </w:rPr>
        <w:br w:type="page"/>
      </w:r>
    </w:p>
    <w:p w14:paraId="4DCD6378" w14:textId="5516211B" w:rsidR="00883BAD" w:rsidRPr="00883BAD" w:rsidRDefault="00883BAD" w:rsidP="00883BAD">
      <w:pPr>
        <w:pStyle w:val="Heading1"/>
        <w:spacing w:line="480" w:lineRule="auto"/>
        <w:rPr>
          <w:rFonts w:ascii="Times New Roman" w:hAnsi="Times New Roman" w:cs="Times New Roman"/>
          <w:color w:val="000000" w:themeColor="text1"/>
        </w:rPr>
      </w:pPr>
      <w:r w:rsidRPr="00883BAD">
        <w:rPr>
          <w:rFonts w:ascii="Times New Roman" w:eastAsia="Arial" w:hAnsi="Times New Roman" w:cs="Times New Roman"/>
          <w:b/>
          <w:bCs/>
          <w:color w:val="000000" w:themeColor="text1"/>
          <w:sz w:val="28"/>
          <w:szCs w:val="28"/>
        </w:rPr>
        <w:lastRenderedPageBreak/>
        <w:t>References</w:t>
      </w:r>
      <w:bookmarkEnd w:id="21"/>
    </w:p>
    <w:p w14:paraId="5B6DCE14"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Apple. (2023). </w:t>
      </w:r>
      <w:r w:rsidRPr="00883BAD">
        <w:rPr>
          <w:rFonts w:ascii="Times New Roman" w:eastAsia="Arial" w:hAnsi="Times New Roman" w:cs="Times New Roman"/>
          <w:i/>
          <w:iCs/>
          <w:color w:val="000000" w:themeColor="text1"/>
          <w:sz w:val="22"/>
          <w:szCs w:val="22"/>
        </w:rPr>
        <w:t>Apple environmental progress report 2023</w:t>
      </w:r>
      <w:r w:rsidRPr="00883BAD">
        <w:rPr>
          <w:rFonts w:ascii="Times New Roman" w:eastAsia="Arial" w:hAnsi="Times New Roman" w:cs="Times New Roman"/>
          <w:color w:val="000000" w:themeColor="text1"/>
          <w:sz w:val="22"/>
          <w:szCs w:val="22"/>
        </w:rPr>
        <w:t xml:space="preserve">. Apple Inc. </w:t>
      </w:r>
      <w:hyperlink r:id="rId7" w:history="1">
        <w:r w:rsidRPr="00883BAD">
          <w:rPr>
            <w:rFonts w:ascii="Times New Roman" w:eastAsia="Arial" w:hAnsi="Times New Roman" w:cs="Times New Roman"/>
            <w:color w:val="000000" w:themeColor="text1"/>
            <w:sz w:val="22"/>
            <w:szCs w:val="22"/>
            <w:u w:val="single"/>
          </w:rPr>
          <w:t>https://www.apple.com/environment/pdf/Apple_Environmental_Progress_Report_2023.pdf</w:t>
        </w:r>
      </w:hyperlink>
    </w:p>
    <w:p w14:paraId="1E87CD27"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Atkinson, A. B., &amp; Morelli, S. (2011). Economic crises and inequality. </w:t>
      </w:r>
      <w:r w:rsidRPr="00883BAD">
        <w:rPr>
          <w:rFonts w:ascii="Times New Roman" w:eastAsia="Arial" w:hAnsi="Times New Roman" w:cs="Times New Roman"/>
          <w:i/>
          <w:iCs/>
          <w:color w:val="000000" w:themeColor="text1"/>
          <w:sz w:val="22"/>
          <w:szCs w:val="22"/>
        </w:rPr>
        <w:t>United Nations Development Programme Human Development Research Paper 2011/06</w:t>
      </w:r>
      <w:r w:rsidRPr="00883BAD">
        <w:rPr>
          <w:rFonts w:ascii="Times New Roman" w:eastAsia="Arial" w:hAnsi="Times New Roman" w:cs="Times New Roman"/>
          <w:color w:val="000000" w:themeColor="text1"/>
          <w:sz w:val="22"/>
          <w:szCs w:val="22"/>
        </w:rPr>
        <w:t xml:space="preserve">. </w:t>
      </w:r>
      <w:hyperlink r:id="rId8" w:history="1">
        <w:r w:rsidRPr="00883BAD">
          <w:rPr>
            <w:rFonts w:ascii="Times New Roman" w:eastAsia="Arial" w:hAnsi="Times New Roman" w:cs="Times New Roman"/>
            <w:color w:val="000000" w:themeColor="text1"/>
            <w:sz w:val="22"/>
            <w:szCs w:val="22"/>
            <w:u w:val="single"/>
          </w:rPr>
          <w:t>https://hdr.undp.org/content/economic-crises-and-inequality</w:t>
        </w:r>
      </w:hyperlink>
    </w:p>
    <w:p w14:paraId="5AD61C9F"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Barbados. (2022). </w:t>
      </w:r>
      <w:r w:rsidRPr="00883BAD">
        <w:rPr>
          <w:rFonts w:ascii="Times New Roman" w:eastAsia="Arial" w:hAnsi="Times New Roman" w:cs="Times New Roman"/>
          <w:i/>
          <w:iCs/>
          <w:color w:val="000000" w:themeColor="text1"/>
          <w:sz w:val="22"/>
          <w:szCs w:val="22"/>
        </w:rPr>
        <w:t>Bridgetown Initiative for the reform of the global financial architecture</w:t>
      </w:r>
      <w:r w:rsidRPr="00883BAD">
        <w:rPr>
          <w:rFonts w:ascii="Times New Roman" w:eastAsia="Arial" w:hAnsi="Times New Roman" w:cs="Times New Roman"/>
          <w:color w:val="000000" w:themeColor="text1"/>
          <w:sz w:val="22"/>
          <w:szCs w:val="22"/>
        </w:rPr>
        <w:t xml:space="preserve">. Government of Barbados. </w:t>
      </w:r>
      <w:hyperlink r:id="rId9" w:history="1">
        <w:r w:rsidRPr="00883BAD">
          <w:rPr>
            <w:rFonts w:ascii="Times New Roman" w:eastAsia="Arial" w:hAnsi="Times New Roman" w:cs="Times New Roman"/>
            <w:color w:val="000000" w:themeColor="text1"/>
            <w:sz w:val="22"/>
            <w:szCs w:val="22"/>
            <w:u w:val="single"/>
          </w:rPr>
          <w:t>https://www.foreign.gov.bb/bridgetown-initiative/</w:t>
        </w:r>
      </w:hyperlink>
    </w:p>
    <w:p w14:paraId="6314D63A"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Brundtland Commission. (1987). </w:t>
      </w:r>
      <w:r w:rsidRPr="00883BAD">
        <w:rPr>
          <w:rFonts w:ascii="Times New Roman" w:eastAsia="Arial" w:hAnsi="Times New Roman" w:cs="Times New Roman"/>
          <w:i/>
          <w:iCs/>
          <w:color w:val="000000" w:themeColor="text1"/>
          <w:sz w:val="22"/>
          <w:szCs w:val="22"/>
        </w:rPr>
        <w:t>Our common future: Report of the World Commission on Environment and Development</w:t>
      </w:r>
      <w:r w:rsidRPr="00883BAD">
        <w:rPr>
          <w:rFonts w:ascii="Times New Roman" w:eastAsia="Arial" w:hAnsi="Times New Roman" w:cs="Times New Roman"/>
          <w:color w:val="000000" w:themeColor="text1"/>
          <w:sz w:val="22"/>
          <w:szCs w:val="22"/>
        </w:rPr>
        <w:t xml:space="preserve">. Oxford University Press. </w:t>
      </w:r>
      <w:hyperlink r:id="rId10" w:history="1">
        <w:r w:rsidRPr="00883BAD">
          <w:rPr>
            <w:rFonts w:ascii="Times New Roman" w:eastAsia="Arial" w:hAnsi="Times New Roman" w:cs="Times New Roman"/>
            <w:color w:val="000000" w:themeColor="text1"/>
            <w:sz w:val="22"/>
            <w:szCs w:val="22"/>
            <w:u w:val="single"/>
          </w:rPr>
          <w:t>https://sustainabledevelopment.un.org/content/documents/5987our-common-future.pdf</w:t>
        </w:r>
      </w:hyperlink>
    </w:p>
    <w:p w14:paraId="316B6070"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Cadwalladr, C. (2019). Facebook's role in Brexit — and the threat to democracy. </w:t>
      </w:r>
      <w:r w:rsidRPr="00883BAD">
        <w:rPr>
          <w:rFonts w:ascii="Times New Roman" w:eastAsia="Arial" w:hAnsi="Times New Roman" w:cs="Times New Roman"/>
          <w:i/>
          <w:iCs/>
          <w:color w:val="000000" w:themeColor="text1"/>
          <w:sz w:val="22"/>
          <w:szCs w:val="22"/>
        </w:rPr>
        <w:t>TED2019</w:t>
      </w:r>
      <w:r w:rsidRPr="00883BAD">
        <w:rPr>
          <w:rFonts w:ascii="Times New Roman" w:eastAsia="Arial" w:hAnsi="Times New Roman" w:cs="Times New Roman"/>
          <w:color w:val="000000" w:themeColor="text1"/>
          <w:sz w:val="22"/>
          <w:szCs w:val="22"/>
        </w:rPr>
        <w:t xml:space="preserve">. </w:t>
      </w:r>
      <w:hyperlink r:id="rId11" w:history="1">
        <w:r w:rsidRPr="00883BAD">
          <w:rPr>
            <w:rFonts w:ascii="Times New Roman" w:eastAsia="Arial" w:hAnsi="Times New Roman" w:cs="Times New Roman"/>
            <w:color w:val="000000" w:themeColor="text1"/>
            <w:sz w:val="22"/>
            <w:szCs w:val="22"/>
            <w:u w:val="single"/>
          </w:rPr>
          <w:t>https://www.ted.com/talks/carole_cadwalladr_facebook_s_role_in_brexit_and_the_threat_to_democracy</w:t>
        </w:r>
      </w:hyperlink>
    </w:p>
    <w:p w14:paraId="7F5F7BB4"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Cook, J., Nuccitelli, D., Green, S. A., Richardson, M., Winkler, B., Painting, R., Way, R., Jacobs, P., &amp; Skuce, A. (2013). Quantifying the consensus on anthropogenic global warming in the scientific literature. </w:t>
      </w:r>
      <w:r w:rsidRPr="00883BAD">
        <w:rPr>
          <w:rFonts w:ascii="Times New Roman" w:eastAsia="Arial" w:hAnsi="Times New Roman" w:cs="Times New Roman"/>
          <w:i/>
          <w:iCs/>
          <w:color w:val="000000" w:themeColor="text1"/>
          <w:sz w:val="22"/>
          <w:szCs w:val="22"/>
        </w:rPr>
        <w:t>Environmental Research Letters, 8</w:t>
      </w:r>
      <w:r w:rsidRPr="00883BAD">
        <w:rPr>
          <w:rFonts w:ascii="Times New Roman" w:eastAsia="Arial" w:hAnsi="Times New Roman" w:cs="Times New Roman"/>
          <w:color w:val="000000" w:themeColor="text1"/>
          <w:sz w:val="22"/>
          <w:szCs w:val="22"/>
        </w:rPr>
        <w:t xml:space="preserve">(2), 024024. </w:t>
      </w:r>
      <w:hyperlink r:id="rId12" w:history="1">
        <w:r w:rsidRPr="00883BAD">
          <w:rPr>
            <w:rFonts w:ascii="Times New Roman" w:eastAsia="Arial" w:hAnsi="Times New Roman" w:cs="Times New Roman"/>
            <w:color w:val="000000" w:themeColor="text1"/>
            <w:sz w:val="22"/>
            <w:szCs w:val="22"/>
            <w:u w:val="single"/>
          </w:rPr>
          <w:t>https://doi.org/10.1088/1748-9326/8/2/024024</w:t>
        </w:r>
      </w:hyperlink>
    </w:p>
    <w:p w14:paraId="0D19B27D"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Costanza, R., &amp; Daly, H. E. (1992). Natural capital and sustainable development. </w:t>
      </w:r>
      <w:r w:rsidRPr="00883BAD">
        <w:rPr>
          <w:rFonts w:ascii="Times New Roman" w:eastAsia="Arial" w:hAnsi="Times New Roman" w:cs="Times New Roman"/>
          <w:i/>
          <w:iCs/>
          <w:color w:val="000000" w:themeColor="text1"/>
          <w:sz w:val="22"/>
          <w:szCs w:val="22"/>
        </w:rPr>
        <w:t>Conservation Biology, 6</w:t>
      </w:r>
      <w:r w:rsidRPr="00883BAD">
        <w:rPr>
          <w:rFonts w:ascii="Times New Roman" w:eastAsia="Arial" w:hAnsi="Times New Roman" w:cs="Times New Roman"/>
          <w:color w:val="000000" w:themeColor="text1"/>
          <w:sz w:val="22"/>
          <w:szCs w:val="22"/>
        </w:rPr>
        <w:t xml:space="preserve">(1), 37–46. </w:t>
      </w:r>
      <w:hyperlink r:id="rId13" w:history="1">
        <w:r w:rsidRPr="00883BAD">
          <w:rPr>
            <w:rFonts w:ascii="Times New Roman" w:eastAsia="Arial" w:hAnsi="Times New Roman" w:cs="Times New Roman"/>
            <w:color w:val="000000" w:themeColor="text1"/>
            <w:sz w:val="22"/>
            <w:szCs w:val="22"/>
            <w:u w:val="single"/>
          </w:rPr>
          <w:t>https://doi.org/10.1046/j.1523-1739.1992.610037.x</w:t>
        </w:r>
      </w:hyperlink>
    </w:p>
    <w:p w14:paraId="2DE10FE5"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Daly, H. E. (1990). Toward some operational principles of sustainable development. </w:t>
      </w:r>
      <w:r w:rsidRPr="00883BAD">
        <w:rPr>
          <w:rFonts w:ascii="Times New Roman" w:eastAsia="Arial" w:hAnsi="Times New Roman" w:cs="Times New Roman"/>
          <w:i/>
          <w:iCs/>
          <w:color w:val="000000" w:themeColor="text1"/>
          <w:sz w:val="22"/>
          <w:szCs w:val="22"/>
        </w:rPr>
        <w:t>Ecological Economics, 2</w:t>
      </w:r>
      <w:r w:rsidRPr="00883BAD">
        <w:rPr>
          <w:rFonts w:ascii="Times New Roman" w:eastAsia="Arial" w:hAnsi="Times New Roman" w:cs="Times New Roman"/>
          <w:color w:val="000000" w:themeColor="text1"/>
          <w:sz w:val="22"/>
          <w:szCs w:val="22"/>
        </w:rPr>
        <w:t xml:space="preserve">(1), 1–6. </w:t>
      </w:r>
      <w:hyperlink r:id="rId14" w:history="1">
        <w:r w:rsidRPr="00883BAD">
          <w:rPr>
            <w:rFonts w:ascii="Times New Roman" w:eastAsia="Arial" w:hAnsi="Times New Roman" w:cs="Times New Roman"/>
            <w:color w:val="000000" w:themeColor="text1"/>
            <w:sz w:val="22"/>
            <w:szCs w:val="22"/>
            <w:u w:val="single"/>
          </w:rPr>
          <w:t>https://doi.org/10.1016/0921-8009(90)90010-R</w:t>
        </w:r>
      </w:hyperlink>
    </w:p>
    <w:p w14:paraId="2E2B9DA8"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Daly, H. E., &amp; Farley, J. (2011). </w:t>
      </w:r>
      <w:r w:rsidRPr="00883BAD">
        <w:rPr>
          <w:rFonts w:ascii="Times New Roman" w:eastAsia="Arial" w:hAnsi="Times New Roman" w:cs="Times New Roman"/>
          <w:i/>
          <w:iCs/>
          <w:color w:val="000000" w:themeColor="text1"/>
          <w:sz w:val="22"/>
          <w:szCs w:val="22"/>
        </w:rPr>
        <w:t>Ecological economics: Principles and applications</w:t>
      </w:r>
      <w:r w:rsidRPr="00883BAD">
        <w:rPr>
          <w:rFonts w:ascii="Times New Roman" w:eastAsia="Arial" w:hAnsi="Times New Roman" w:cs="Times New Roman"/>
          <w:color w:val="000000" w:themeColor="text1"/>
          <w:sz w:val="22"/>
          <w:szCs w:val="22"/>
        </w:rPr>
        <w:t xml:space="preserve"> (2nd ed.). Island Press. </w:t>
      </w:r>
      <w:hyperlink r:id="rId15" w:history="1">
        <w:r w:rsidRPr="00883BAD">
          <w:rPr>
            <w:rFonts w:ascii="Times New Roman" w:eastAsia="Arial" w:hAnsi="Times New Roman" w:cs="Times New Roman"/>
            <w:color w:val="000000" w:themeColor="text1"/>
            <w:sz w:val="22"/>
            <w:szCs w:val="22"/>
            <w:u w:val="single"/>
          </w:rPr>
          <w:t>https://islandpress.org/books/ecological-economics-second-edition</w:t>
        </w:r>
      </w:hyperlink>
    </w:p>
    <w:p w14:paraId="5A4C0B39"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lastRenderedPageBreak/>
        <w:t xml:space="preserve">Dinda, S. (2004). Environmental Kuznets Curve hypothesis: A survey. </w:t>
      </w:r>
      <w:r w:rsidRPr="00883BAD">
        <w:rPr>
          <w:rFonts w:ascii="Times New Roman" w:eastAsia="Arial" w:hAnsi="Times New Roman" w:cs="Times New Roman"/>
          <w:i/>
          <w:iCs/>
          <w:color w:val="000000" w:themeColor="text1"/>
          <w:sz w:val="22"/>
          <w:szCs w:val="22"/>
        </w:rPr>
        <w:t>Ecological Economics, 49</w:t>
      </w:r>
      <w:r w:rsidRPr="00883BAD">
        <w:rPr>
          <w:rFonts w:ascii="Times New Roman" w:eastAsia="Arial" w:hAnsi="Times New Roman" w:cs="Times New Roman"/>
          <w:color w:val="000000" w:themeColor="text1"/>
          <w:sz w:val="22"/>
          <w:szCs w:val="22"/>
        </w:rPr>
        <w:t xml:space="preserve">(4), 431–455. </w:t>
      </w:r>
      <w:hyperlink r:id="rId16" w:history="1">
        <w:r w:rsidRPr="00883BAD">
          <w:rPr>
            <w:rFonts w:ascii="Times New Roman" w:eastAsia="Arial" w:hAnsi="Times New Roman" w:cs="Times New Roman"/>
            <w:color w:val="000000" w:themeColor="text1"/>
            <w:sz w:val="22"/>
            <w:szCs w:val="22"/>
            <w:u w:val="single"/>
          </w:rPr>
          <w:t>https://doi.org/10.1016/j.ecolecon.2004.02.011</w:t>
        </w:r>
      </w:hyperlink>
    </w:p>
    <w:p w14:paraId="325777B4"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Dyllick, T., &amp; Muff, K. (2016). Clarifying the meaning of sustainable business. </w:t>
      </w:r>
      <w:r w:rsidRPr="00883BAD">
        <w:rPr>
          <w:rFonts w:ascii="Times New Roman" w:eastAsia="Arial" w:hAnsi="Times New Roman" w:cs="Times New Roman"/>
          <w:i/>
          <w:iCs/>
          <w:color w:val="000000" w:themeColor="text1"/>
          <w:sz w:val="22"/>
          <w:szCs w:val="22"/>
        </w:rPr>
        <w:t>Organization &amp; Environment, 29</w:t>
      </w:r>
      <w:r w:rsidRPr="00883BAD">
        <w:rPr>
          <w:rFonts w:ascii="Times New Roman" w:eastAsia="Arial" w:hAnsi="Times New Roman" w:cs="Times New Roman"/>
          <w:color w:val="000000" w:themeColor="text1"/>
          <w:sz w:val="22"/>
          <w:szCs w:val="22"/>
        </w:rPr>
        <w:t xml:space="preserve">(2), 156–174. </w:t>
      </w:r>
      <w:hyperlink r:id="rId17" w:history="1">
        <w:r w:rsidRPr="00883BAD">
          <w:rPr>
            <w:rFonts w:ascii="Times New Roman" w:eastAsia="Arial" w:hAnsi="Times New Roman" w:cs="Times New Roman"/>
            <w:color w:val="000000" w:themeColor="text1"/>
            <w:sz w:val="22"/>
            <w:szCs w:val="22"/>
            <w:u w:val="single"/>
          </w:rPr>
          <w:t>https://doi.org/10.1177/1086026615575176</w:t>
        </w:r>
      </w:hyperlink>
    </w:p>
    <w:p w14:paraId="609800BE"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Ellen MacArthur Foundation. (2019). </w:t>
      </w:r>
      <w:r w:rsidRPr="00883BAD">
        <w:rPr>
          <w:rFonts w:ascii="Times New Roman" w:eastAsia="Arial" w:hAnsi="Times New Roman" w:cs="Times New Roman"/>
          <w:i/>
          <w:iCs/>
          <w:color w:val="000000" w:themeColor="text1"/>
          <w:sz w:val="22"/>
          <w:szCs w:val="22"/>
        </w:rPr>
        <w:t>Completing the picture: How the circular economy tackles climate change</w:t>
      </w:r>
      <w:r w:rsidRPr="00883BAD">
        <w:rPr>
          <w:rFonts w:ascii="Times New Roman" w:eastAsia="Arial" w:hAnsi="Times New Roman" w:cs="Times New Roman"/>
          <w:color w:val="000000" w:themeColor="text1"/>
          <w:sz w:val="22"/>
          <w:szCs w:val="22"/>
        </w:rPr>
        <w:t xml:space="preserve">. </w:t>
      </w:r>
      <w:hyperlink r:id="rId18" w:history="1">
        <w:r w:rsidRPr="00883BAD">
          <w:rPr>
            <w:rFonts w:ascii="Times New Roman" w:eastAsia="Arial" w:hAnsi="Times New Roman" w:cs="Times New Roman"/>
            <w:color w:val="000000" w:themeColor="text1"/>
            <w:sz w:val="22"/>
            <w:szCs w:val="22"/>
            <w:u w:val="single"/>
          </w:rPr>
          <w:t>https://ellenmacarthurfoundation.org/completing-the-picture</w:t>
        </w:r>
      </w:hyperlink>
    </w:p>
    <w:p w14:paraId="42615662"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European Commission. (2023). </w:t>
      </w:r>
      <w:r w:rsidRPr="00883BAD">
        <w:rPr>
          <w:rFonts w:ascii="Times New Roman" w:eastAsia="Arial" w:hAnsi="Times New Roman" w:cs="Times New Roman"/>
          <w:i/>
          <w:iCs/>
          <w:color w:val="000000" w:themeColor="text1"/>
          <w:sz w:val="22"/>
          <w:szCs w:val="22"/>
        </w:rPr>
        <w:t>Critical Raw Materials Act</w:t>
      </w:r>
      <w:r w:rsidRPr="00883BAD">
        <w:rPr>
          <w:rFonts w:ascii="Times New Roman" w:eastAsia="Arial" w:hAnsi="Times New Roman" w:cs="Times New Roman"/>
          <w:color w:val="000000" w:themeColor="text1"/>
          <w:sz w:val="22"/>
          <w:szCs w:val="22"/>
        </w:rPr>
        <w:t xml:space="preserve">. European Commission. </w:t>
      </w:r>
      <w:hyperlink r:id="rId19" w:history="1">
        <w:r w:rsidRPr="00883BAD">
          <w:rPr>
            <w:rFonts w:ascii="Times New Roman" w:eastAsia="Arial" w:hAnsi="Times New Roman" w:cs="Times New Roman"/>
            <w:color w:val="000000" w:themeColor="text1"/>
            <w:sz w:val="22"/>
            <w:szCs w:val="22"/>
            <w:u w:val="single"/>
          </w:rPr>
          <w:t>https://single-market-economy.ec.europa.eu/sectors/raw-materials/areas-specific-interest/critical-raw-materials/critical-raw-materials-act_en</w:t>
        </w:r>
      </w:hyperlink>
    </w:p>
    <w:p w14:paraId="2B3BD3E1"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European Union. (2022). </w:t>
      </w:r>
      <w:r w:rsidRPr="00883BAD">
        <w:rPr>
          <w:rFonts w:ascii="Times New Roman" w:eastAsia="Arial" w:hAnsi="Times New Roman" w:cs="Times New Roman"/>
          <w:i/>
          <w:iCs/>
          <w:color w:val="000000" w:themeColor="text1"/>
          <w:sz w:val="22"/>
          <w:szCs w:val="22"/>
        </w:rPr>
        <w:t>Regulation (EU) 2022/2065 of the European Parliament and of the Council — Digital Services Act</w:t>
      </w:r>
      <w:r w:rsidRPr="00883BAD">
        <w:rPr>
          <w:rFonts w:ascii="Times New Roman" w:eastAsia="Arial" w:hAnsi="Times New Roman" w:cs="Times New Roman"/>
          <w:color w:val="000000" w:themeColor="text1"/>
          <w:sz w:val="22"/>
          <w:szCs w:val="22"/>
        </w:rPr>
        <w:t xml:space="preserve">. Official Journal of the European Union. </w:t>
      </w:r>
      <w:hyperlink r:id="rId20" w:history="1">
        <w:r w:rsidRPr="00883BAD">
          <w:rPr>
            <w:rFonts w:ascii="Times New Roman" w:eastAsia="Arial" w:hAnsi="Times New Roman" w:cs="Times New Roman"/>
            <w:color w:val="000000" w:themeColor="text1"/>
            <w:sz w:val="22"/>
            <w:szCs w:val="22"/>
            <w:u w:val="single"/>
          </w:rPr>
          <w:t>https://eur-lex.europa.eu/legal-content/EN/TXT/?uri=CELEX%3A32022R2065</w:t>
        </w:r>
      </w:hyperlink>
    </w:p>
    <w:p w14:paraId="313C3641"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Graedel, T. E., &amp; Allenby, B. R. (2010). </w:t>
      </w:r>
      <w:r w:rsidRPr="00883BAD">
        <w:rPr>
          <w:rFonts w:ascii="Times New Roman" w:eastAsia="Arial" w:hAnsi="Times New Roman" w:cs="Times New Roman"/>
          <w:i/>
          <w:iCs/>
          <w:color w:val="000000" w:themeColor="text1"/>
          <w:sz w:val="22"/>
          <w:szCs w:val="22"/>
        </w:rPr>
        <w:t>Industrial ecology and sustainable engineering</w:t>
      </w:r>
      <w:r w:rsidRPr="00883BAD">
        <w:rPr>
          <w:rFonts w:ascii="Times New Roman" w:eastAsia="Arial" w:hAnsi="Times New Roman" w:cs="Times New Roman"/>
          <w:color w:val="000000" w:themeColor="text1"/>
          <w:sz w:val="22"/>
          <w:szCs w:val="22"/>
        </w:rPr>
        <w:t>. Prentice Hall.</w:t>
      </w:r>
    </w:p>
    <w:p w14:paraId="6DFA3B72"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Hartwick, J. M. (1977). Intergenerational equity and the investing of rents from exhaustible resources. </w:t>
      </w:r>
      <w:r w:rsidRPr="00883BAD">
        <w:rPr>
          <w:rFonts w:ascii="Times New Roman" w:eastAsia="Arial" w:hAnsi="Times New Roman" w:cs="Times New Roman"/>
          <w:i/>
          <w:iCs/>
          <w:color w:val="000000" w:themeColor="text1"/>
          <w:sz w:val="22"/>
          <w:szCs w:val="22"/>
        </w:rPr>
        <w:t>American Economic Review, 67</w:t>
      </w:r>
      <w:r w:rsidRPr="00883BAD">
        <w:rPr>
          <w:rFonts w:ascii="Times New Roman" w:eastAsia="Arial" w:hAnsi="Times New Roman" w:cs="Times New Roman"/>
          <w:color w:val="000000" w:themeColor="text1"/>
          <w:sz w:val="22"/>
          <w:szCs w:val="22"/>
        </w:rPr>
        <w:t xml:space="preserve">(5), 972–974. </w:t>
      </w:r>
      <w:hyperlink r:id="rId21" w:history="1">
        <w:r w:rsidRPr="00883BAD">
          <w:rPr>
            <w:rFonts w:ascii="Times New Roman" w:eastAsia="Arial" w:hAnsi="Times New Roman" w:cs="Times New Roman"/>
            <w:color w:val="000000" w:themeColor="text1"/>
            <w:sz w:val="22"/>
            <w:szCs w:val="22"/>
            <w:u w:val="single"/>
          </w:rPr>
          <w:t>https://www.jstor.org/stable/1828079</w:t>
        </w:r>
      </w:hyperlink>
    </w:p>
    <w:p w14:paraId="33C76A78"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International Energy Agency. (2021). </w:t>
      </w:r>
      <w:r w:rsidRPr="00883BAD">
        <w:rPr>
          <w:rFonts w:ascii="Times New Roman" w:eastAsia="Arial" w:hAnsi="Times New Roman" w:cs="Times New Roman"/>
          <w:i/>
          <w:iCs/>
          <w:color w:val="000000" w:themeColor="text1"/>
          <w:sz w:val="22"/>
          <w:szCs w:val="22"/>
        </w:rPr>
        <w:t>The role of critical minerals in clean energy transitions</w:t>
      </w:r>
      <w:r w:rsidRPr="00883BAD">
        <w:rPr>
          <w:rFonts w:ascii="Times New Roman" w:eastAsia="Arial" w:hAnsi="Times New Roman" w:cs="Times New Roman"/>
          <w:color w:val="000000" w:themeColor="text1"/>
          <w:sz w:val="22"/>
          <w:szCs w:val="22"/>
        </w:rPr>
        <w:t xml:space="preserve">. IEA. </w:t>
      </w:r>
      <w:hyperlink r:id="rId22" w:history="1">
        <w:r w:rsidRPr="00883BAD">
          <w:rPr>
            <w:rFonts w:ascii="Times New Roman" w:eastAsia="Arial" w:hAnsi="Times New Roman" w:cs="Times New Roman"/>
            <w:color w:val="000000" w:themeColor="text1"/>
            <w:sz w:val="22"/>
            <w:szCs w:val="22"/>
            <w:u w:val="single"/>
          </w:rPr>
          <w:t>https://www.iea.org/reports/the-role-of-critical-minerals-in-clean-energy-transitions</w:t>
        </w:r>
      </w:hyperlink>
    </w:p>
    <w:p w14:paraId="044C4035"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International Energy Agency. (2023). </w:t>
      </w:r>
      <w:r w:rsidRPr="00883BAD">
        <w:rPr>
          <w:rFonts w:ascii="Times New Roman" w:eastAsia="Arial" w:hAnsi="Times New Roman" w:cs="Times New Roman"/>
          <w:i/>
          <w:iCs/>
          <w:color w:val="000000" w:themeColor="text1"/>
          <w:sz w:val="22"/>
          <w:szCs w:val="22"/>
        </w:rPr>
        <w:t>CO₂ emissions in 2022</w:t>
      </w:r>
      <w:r w:rsidRPr="00883BAD">
        <w:rPr>
          <w:rFonts w:ascii="Times New Roman" w:eastAsia="Arial" w:hAnsi="Times New Roman" w:cs="Times New Roman"/>
          <w:color w:val="000000" w:themeColor="text1"/>
          <w:sz w:val="22"/>
          <w:szCs w:val="22"/>
        </w:rPr>
        <w:t xml:space="preserve">. IEA. </w:t>
      </w:r>
      <w:hyperlink r:id="rId23" w:history="1">
        <w:r w:rsidRPr="00883BAD">
          <w:rPr>
            <w:rFonts w:ascii="Times New Roman" w:eastAsia="Arial" w:hAnsi="Times New Roman" w:cs="Times New Roman"/>
            <w:color w:val="000000" w:themeColor="text1"/>
            <w:sz w:val="22"/>
            <w:szCs w:val="22"/>
            <w:u w:val="single"/>
          </w:rPr>
          <w:t>https://www.iea.org/reports/co2-emissions-in-2022</w:t>
        </w:r>
      </w:hyperlink>
    </w:p>
    <w:p w14:paraId="7C47F715"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International Renewable Energy Agency. (2023). </w:t>
      </w:r>
      <w:r w:rsidRPr="00883BAD">
        <w:rPr>
          <w:rFonts w:ascii="Times New Roman" w:eastAsia="Arial" w:hAnsi="Times New Roman" w:cs="Times New Roman"/>
          <w:i/>
          <w:iCs/>
          <w:color w:val="000000" w:themeColor="text1"/>
          <w:sz w:val="22"/>
          <w:szCs w:val="22"/>
        </w:rPr>
        <w:t>Renewable power generation costs in 2022</w:t>
      </w:r>
      <w:r w:rsidRPr="00883BAD">
        <w:rPr>
          <w:rFonts w:ascii="Times New Roman" w:eastAsia="Arial" w:hAnsi="Times New Roman" w:cs="Times New Roman"/>
          <w:color w:val="000000" w:themeColor="text1"/>
          <w:sz w:val="22"/>
          <w:szCs w:val="22"/>
        </w:rPr>
        <w:t xml:space="preserve">. IRENA. </w:t>
      </w:r>
      <w:hyperlink r:id="rId24" w:history="1">
        <w:r w:rsidRPr="00883BAD">
          <w:rPr>
            <w:rFonts w:ascii="Times New Roman" w:eastAsia="Arial" w:hAnsi="Times New Roman" w:cs="Times New Roman"/>
            <w:color w:val="000000" w:themeColor="text1"/>
            <w:sz w:val="22"/>
            <w:szCs w:val="22"/>
            <w:u w:val="single"/>
          </w:rPr>
          <w:t>https://www.irena.org/publications/2023/Aug/Renewable-Power-Generation-Costs-in-2022</w:t>
        </w:r>
      </w:hyperlink>
    </w:p>
    <w:p w14:paraId="6FDEEBEB"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Kuznets, S. (1955). Economic growth and income inequality. </w:t>
      </w:r>
      <w:r w:rsidRPr="00883BAD">
        <w:rPr>
          <w:rFonts w:ascii="Times New Roman" w:eastAsia="Arial" w:hAnsi="Times New Roman" w:cs="Times New Roman"/>
          <w:i/>
          <w:iCs/>
          <w:color w:val="000000" w:themeColor="text1"/>
          <w:sz w:val="22"/>
          <w:szCs w:val="22"/>
        </w:rPr>
        <w:t>American Economic Review, 45</w:t>
      </w:r>
      <w:r w:rsidRPr="00883BAD">
        <w:rPr>
          <w:rFonts w:ascii="Times New Roman" w:eastAsia="Arial" w:hAnsi="Times New Roman" w:cs="Times New Roman"/>
          <w:color w:val="000000" w:themeColor="text1"/>
          <w:sz w:val="22"/>
          <w:szCs w:val="22"/>
        </w:rPr>
        <w:t xml:space="preserve">(1), 1–28. </w:t>
      </w:r>
      <w:hyperlink r:id="rId25" w:history="1">
        <w:r w:rsidRPr="00883BAD">
          <w:rPr>
            <w:rFonts w:ascii="Times New Roman" w:eastAsia="Arial" w:hAnsi="Times New Roman" w:cs="Times New Roman"/>
            <w:color w:val="000000" w:themeColor="text1"/>
            <w:sz w:val="22"/>
            <w:szCs w:val="22"/>
            <w:u w:val="single"/>
          </w:rPr>
          <w:t>https://www.jstor.org/stable/1811581</w:t>
        </w:r>
      </w:hyperlink>
    </w:p>
    <w:p w14:paraId="560D89FC"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lastRenderedPageBreak/>
        <w:t xml:space="preserve">Meadows, D. H., Meadows, D. L., Randers, J., &amp; Behrens, W. W. (1972). </w:t>
      </w:r>
      <w:r w:rsidRPr="00883BAD">
        <w:rPr>
          <w:rFonts w:ascii="Times New Roman" w:eastAsia="Arial" w:hAnsi="Times New Roman" w:cs="Times New Roman"/>
          <w:i/>
          <w:iCs/>
          <w:color w:val="000000" w:themeColor="text1"/>
          <w:sz w:val="22"/>
          <w:szCs w:val="22"/>
        </w:rPr>
        <w:t>The limits to growth</w:t>
      </w:r>
      <w:r w:rsidRPr="00883BAD">
        <w:rPr>
          <w:rFonts w:ascii="Times New Roman" w:eastAsia="Arial" w:hAnsi="Times New Roman" w:cs="Times New Roman"/>
          <w:color w:val="000000" w:themeColor="text1"/>
          <w:sz w:val="22"/>
          <w:szCs w:val="22"/>
        </w:rPr>
        <w:t xml:space="preserve">. Universe Books. </w:t>
      </w:r>
      <w:hyperlink r:id="rId26" w:history="1">
        <w:r w:rsidRPr="00883BAD">
          <w:rPr>
            <w:rFonts w:ascii="Times New Roman" w:eastAsia="Arial" w:hAnsi="Times New Roman" w:cs="Times New Roman"/>
            <w:color w:val="000000" w:themeColor="text1"/>
            <w:sz w:val="22"/>
            <w:szCs w:val="22"/>
            <w:u w:val="single"/>
          </w:rPr>
          <w:t>https://www.clubofrome.org/publication/the-limits-to-growth/</w:t>
        </w:r>
      </w:hyperlink>
    </w:p>
    <w:p w14:paraId="60736CE0"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OECD. (2011). </w:t>
      </w:r>
      <w:r w:rsidRPr="00883BAD">
        <w:rPr>
          <w:rFonts w:ascii="Times New Roman" w:eastAsia="Arial" w:hAnsi="Times New Roman" w:cs="Times New Roman"/>
          <w:i/>
          <w:iCs/>
          <w:color w:val="000000" w:themeColor="text1"/>
          <w:sz w:val="22"/>
          <w:szCs w:val="22"/>
        </w:rPr>
        <w:t>Divided we stand: Why inequality keeps rising</w:t>
      </w:r>
      <w:r w:rsidRPr="00883BAD">
        <w:rPr>
          <w:rFonts w:ascii="Times New Roman" w:eastAsia="Arial" w:hAnsi="Times New Roman" w:cs="Times New Roman"/>
          <w:color w:val="000000" w:themeColor="text1"/>
          <w:sz w:val="22"/>
          <w:szCs w:val="22"/>
        </w:rPr>
        <w:t xml:space="preserve">. OECD Publishing. </w:t>
      </w:r>
      <w:hyperlink r:id="rId27" w:history="1">
        <w:r w:rsidRPr="00883BAD">
          <w:rPr>
            <w:rFonts w:ascii="Times New Roman" w:eastAsia="Arial" w:hAnsi="Times New Roman" w:cs="Times New Roman"/>
            <w:color w:val="000000" w:themeColor="text1"/>
            <w:sz w:val="22"/>
            <w:szCs w:val="22"/>
            <w:u w:val="single"/>
          </w:rPr>
          <w:t>https://doi.org/10.1787/9789264119536-en</w:t>
        </w:r>
      </w:hyperlink>
    </w:p>
    <w:p w14:paraId="4724AF88"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Ostrom, E. (1990). </w:t>
      </w:r>
      <w:r w:rsidRPr="00883BAD">
        <w:rPr>
          <w:rFonts w:ascii="Times New Roman" w:eastAsia="Arial" w:hAnsi="Times New Roman" w:cs="Times New Roman"/>
          <w:i/>
          <w:iCs/>
          <w:color w:val="000000" w:themeColor="text1"/>
          <w:sz w:val="22"/>
          <w:szCs w:val="22"/>
        </w:rPr>
        <w:t>Governing the commons: The evolution of institutions for collective action</w:t>
      </w:r>
      <w:r w:rsidRPr="00883BAD">
        <w:rPr>
          <w:rFonts w:ascii="Times New Roman" w:eastAsia="Arial" w:hAnsi="Times New Roman" w:cs="Times New Roman"/>
          <w:color w:val="000000" w:themeColor="text1"/>
          <w:sz w:val="22"/>
          <w:szCs w:val="22"/>
        </w:rPr>
        <w:t xml:space="preserve">. Cambridge University Press. </w:t>
      </w:r>
      <w:hyperlink r:id="rId28" w:history="1">
        <w:r w:rsidRPr="00883BAD">
          <w:rPr>
            <w:rFonts w:ascii="Times New Roman" w:eastAsia="Arial" w:hAnsi="Times New Roman" w:cs="Times New Roman"/>
            <w:color w:val="000000" w:themeColor="text1"/>
            <w:sz w:val="22"/>
            <w:szCs w:val="22"/>
            <w:u w:val="single"/>
          </w:rPr>
          <w:t>https://doi.org/10.1017/CBO9781316423936</w:t>
        </w:r>
      </w:hyperlink>
    </w:p>
    <w:p w14:paraId="656ECC4C"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Pigou, A. C. (1920). </w:t>
      </w:r>
      <w:r w:rsidRPr="00883BAD">
        <w:rPr>
          <w:rFonts w:ascii="Times New Roman" w:eastAsia="Arial" w:hAnsi="Times New Roman" w:cs="Times New Roman"/>
          <w:i/>
          <w:iCs/>
          <w:color w:val="000000" w:themeColor="text1"/>
          <w:sz w:val="22"/>
          <w:szCs w:val="22"/>
        </w:rPr>
        <w:t>The economics of welfare</w:t>
      </w:r>
      <w:r w:rsidRPr="00883BAD">
        <w:rPr>
          <w:rFonts w:ascii="Times New Roman" w:eastAsia="Arial" w:hAnsi="Times New Roman" w:cs="Times New Roman"/>
          <w:color w:val="000000" w:themeColor="text1"/>
          <w:sz w:val="22"/>
          <w:szCs w:val="22"/>
        </w:rPr>
        <w:t xml:space="preserve">. Macmillan. </w:t>
      </w:r>
      <w:hyperlink r:id="rId29" w:history="1">
        <w:r w:rsidRPr="00883BAD">
          <w:rPr>
            <w:rFonts w:ascii="Times New Roman" w:eastAsia="Arial" w:hAnsi="Times New Roman" w:cs="Times New Roman"/>
            <w:color w:val="000000" w:themeColor="text1"/>
            <w:sz w:val="22"/>
            <w:szCs w:val="22"/>
            <w:u w:val="single"/>
          </w:rPr>
          <w:t>https://archive.org/details/in.ernet.dli.2015.218874</w:t>
        </w:r>
      </w:hyperlink>
    </w:p>
    <w:p w14:paraId="66A05BEB"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Porter, M. E., &amp; van der Linde, C. (1995). Toward a new conception of the environment-competitiveness relationship. </w:t>
      </w:r>
      <w:r w:rsidRPr="00883BAD">
        <w:rPr>
          <w:rFonts w:ascii="Times New Roman" w:eastAsia="Arial" w:hAnsi="Times New Roman" w:cs="Times New Roman"/>
          <w:i/>
          <w:iCs/>
          <w:color w:val="000000" w:themeColor="text1"/>
          <w:sz w:val="22"/>
          <w:szCs w:val="22"/>
        </w:rPr>
        <w:t>Journal of Economic Perspectives, 9</w:t>
      </w:r>
      <w:r w:rsidRPr="00883BAD">
        <w:rPr>
          <w:rFonts w:ascii="Times New Roman" w:eastAsia="Arial" w:hAnsi="Times New Roman" w:cs="Times New Roman"/>
          <w:color w:val="000000" w:themeColor="text1"/>
          <w:sz w:val="22"/>
          <w:szCs w:val="22"/>
        </w:rPr>
        <w:t xml:space="preserve">(4), 97–118. </w:t>
      </w:r>
      <w:hyperlink r:id="rId30" w:history="1">
        <w:r w:rsidRPr="00883BAD">
          <w:rPr>
            <w:rFonts w:ascii="Times New Roman" w:eastAsia="Arial" w:hAnsi="Times New Roman" w:cs="Times New Roman"/>
            <w:color w:val="000000" w:themeColor="text1"/>
            <w:sz w:val="22"/>
            <w:szCs w:val="22"/>
            <w:u w:val="single"/>
          </w:rPr>
          <w:t>https://doi.org/10.1257/jep.9.4.97</w:t>
        </w:r>
      </w:hyperlink>
    </w:p>
    <w:p w14:paraId="30F33E2F"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Renault Group. (2022). </w:t>
      </w:r>
      <w:r w:rsidRPr="00883BAD">
        <w:rPr>
          <w:rFonts w:ascii="Times New Roman" w:eastAsia="Arial" w:hAnsi="Times New Roman" w:cs="Times New Roman"/>
          <w:i/>
          <w:iCs/>
          <w:color w:val="000000" w:themeColor="text1"/>
          <w:sz w:val="22"/>
          <w:szCs w:val="22"/>
        </w:rPr>
        <w:t xml:space="preserve">The </w:t>
      </w:r>
      <w:proofErr w:type="spellStart"/>
      <w:r w:rsidRPr="00883BAD">
        <w:rPr>
          <w:rFonts w:ascii="Times New Roman" w:eastAsia="Arial" w:hAnsi="Times New Roman" w:cs="Times New Roman"/>
          <w:i/>
          <w:iCs/>
          <w:color w:val="000000" w:themeColor="text1"/>
          <w:sz w:val="22"/>
          <w:szCs w:val="22"/>
        </w:rPr>
        <w:t>Refactory</w:t>
      </w:r>
      <w:proofErr w:type="spellEnd"/>
      <w:r w:rsidRPr="00883BAD">
        <w:rPr>
          <w:rFonts w:ascii="Times New Roman" w:eastAsia="Arial" w:hAnsi="Times New Roman" w:cs="Times New Roman"/>
          <w:i/>
          <w:iCs/>
          <w:color w:val="000000" w:themeColor="text1"/>
          <w:sz w:val="22"/>
          <w:szCs w:val="22"/>
        </w:rPr>
        <w:t>: Circular economy at the heart of Renault Group's strategy</w:t>
      </w:r>
      <w:r w:rsidRPr="00883BAD">
        <w:rPr>
          <w:rFonts w:ascii="Times New Roman" w:eastAsia="Arial" w:hAnsi="Times New Roman" w:cs="Times New Roman"/>
          <w:color w:val="000000" w:themeColor="text1"/>
          <w:sz w:val="22"/>
          <w:szCs w:val="22"/>
        </w:rPr>
        <w:t xml:space="preserve">. </w:t>
      </w:r>
      <w:hyperlink r:id="rId31" w:history="1">
        <w:r w:rsidRPr="00883BAD">
          <w:rPr>
            <w:rFonts w:ascii="Times New Roman" w:eastAsia="Arial" w:hAnsi="Times New Roman" w:cs="Times New Roman"/>
            <w:color w:val="000000" w:themeColor="text1"/>
            <w:sz w:val="22"/>
            <w:szCs w:val="22"/>
            <w:u w:val="single"/>
          </w:rPr>
          <w:t>https://www.renaultgroup.com/en/news-on-air/news/the-refactory-circular-economy-at-the-heart-of-renault-groups-strategy/</w:t>
        </w:r>
      </w:hyperlink>
    </w:p>
    <w:p w14:paraId="7EA5558E"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Reuters Institute. (2025). </w:t>
      </w:r>
      <w:r w:rsidRPr="00883BAD">
        <w:rPr>
          <w:rFonts w:ascii="Times New Roman" w:eastAsia="Arial" w:hAnsi="Times New Roman" w:cs="Times New Roman"/>
          <w:i/>
          <w:iCs/>
          <w:color w:val="000000" w:themeColor="text1"/>
          <w:sz w:val="22"/>
          <w:szCs w:val="22"/>
        </w:rPr>
        <w:t>Digital news report 2025</w:t>
      </w:r>
      <w:r w:rsidRPr="00883BAD">
        <w:rPr>
          <w:rFonts w:ascii="Times New Roman" w:eastAsia="Arial" w:hAnsi="Times New Roman" w:cs="Times New Roman"/>
          <w:color w:val="000000" w:themeColor="text1"/>
          <w:sz w:val="22"/>
          <w:szCs w:val="22"/>
        </w:rPr>
        <w:t xml:space="preserve">. Reuters Institute for the Study of Journalism, University of Oxford. </w:t>
      </w:r>
      <w:hyperlink r:id="rId32" w:history="1">
        <w:r w:rsidRPr="00883BAD">
          <w:rPr>
            <w:rFonts w:ascii="Times New Roman" w:eastAsia="Arial" w:hAnsi="Times New Roman" w:cs="Times New Roman"/>
            <w:color w:val="000000" w:themeColor="text1"/>
            <w:sz w:val="22"/>
            <w:szCs w:val="22"/>
            <w:u w:val="single"/>
          </w:rPr>
          <w:t>https://reutersinstitute.politics.ox.ac.uk/digital-news-report/2025</w:t>
        </w:r>
      </w:hyperlink>
    </w:p>
    <w:p w14:paraId="27D0298A"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Ricardo, D. (1817). </w:t>
      </w:r>
      <w:r w:rsidRPr="00883BAD">
        <w:rPr>
          <w:rFonts w:ascii="Times New Roman" w:eastAsia="Arial" w:hAnsi="Times New Roman" w:cs="Times New Roman"/>
          <w:i/>
          <w:iCs/>
          <w:color w:val="000000" w:themeColor="text1"/>
          <w:sz w:val="22"/>
          <w:szCs w:val="22"/>
        </w:rPr>
        <w:t>On the principles of political economy and taxation</w:t>
      </w:r>
      <w:r w:rsidRPr="00883BAD">
        <w:rPr>
          <w:rFonts w:ascii="Times New Roman" w:eastAsia="Arial" w:hAnsi="Times New Roman" w:cs="Times New Roman"/>
          <w:color w:val="000000" w:themeColor="text1"/>
          <w:sz w:val="22"/>
          <w:szCs w:val="22"/>
        </w:rPr>
        <w:t xml:space="preserve">. John Murray. </w:t>
      </w:r>
      <w:hyperlink r:id="rId33" w:history="1">
        <w:r w:rsidRPr="00883BAD">
          <w:rPr>
            <w:rFonts w:ascii="Times New Roman" w:eastAsia="Arial" w:hAnsi="Times New Roman" w:cs="Times New Roman"/>
            <w:color w:val="000000" w:themeColor="text1"/>
            <w:sz w:val="22"/>
            <w:szCs w:val="22"/>
            <w:u w:val="single"/>
          </w:rPr>
          <w:t>https://www.econlib.org/library/Ricardo/ricP.html</w:t>
        </w:r>
      </w:hyperlink>
    </w:p>
    <w:p w14:paraId="77D65DD5"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Romer, P. M. (1990). Endogenous technological change. </w:t>
      </w:r>
      <w:r w:rsidRPr="00883BAD">
        <w:rPr>
          <w:rFonts w:ascii="Times New Roman" w:eastAsia="Arial" w:hAnsi="Times New Roman" w:cs="Times New Roman"/>
          <w:i/>
          <w:iCs/>
          <w:color w:val="000000" w:themeColor="text1"/>
          <w:sz w:val="22"/>
          <w:szCs w:val="22"/>
        </w:rPr>
        <w:t>Journal of Political Economy, 98</w:t>
      </w:r>
      <w:r w:rsidRPr="00883BAD">
        <w:rPr>
          <w:rFonts w:ascii="Times New Roman" w:eastAsia="Arial" w:hAnsi="Times New Roman" w:cs="Times New Roman"/>
          <w:color w:val="000000" w:themeColor="text1"/>
          <w:sz w:val="22"/>
          <w:szCs w:val="22"/>
        </w:rPr>
        <w:t xml:space="preserve">(5), S71–S102. </w:t>
      </w:r>
      <w:hyperlink r:id="rId34" w:history="1">
        <w:r w:rsidRPr="00883BAD">
          <w:rPr>
            <w:rFonts w:ascii="Times New Roman" w:eastAsia="Arial" w:hAnsi="Times New Roman" w:cs="Times New Roman"/>
            <w:color w:val="000000" w:themeColor="text1"/>
            <w:sz w:val="22"/>
            <w:szCs w:val="22"/>
            <w:u w:val="single"/>
          </w:rPr>
          <w:t>https://doi.org/10.1086/261725</w:t>
        </w:r>
      </w:hyperlink>
    </w:p>
    <w:p w14:paraId="75DAB840" w14:textId="77777777" w:rsidR="00883BAD" w:rsidRPr="00883BAD" w:rsidRDefault="00883BAD" w:rsidP="00883BAD">
      <w:pPr>
        <w:spacing w:line="480" w:lineRule="auto"/>
        <w:ind w:left="720" w:hanging="720"/>
        <w:rPr>
          <w:rFonts w:ascii="Times New Roman" w:hAnsi="Times New Roman" w:cs="Times New Roman"/>
          <w:color w:val="000000" w:themeColor="text1"/>
        </w:rPr>
      </w:pPr>
      <w:proofErr w:type="spellStart"/>
      <w:r w:rsidRPr="00883BAD">
        <w:rPr>
          <w:rFonts w:ascii="Times New Roman" w:eastAsia="Arial" w:hAnsi="Times New Roman" w:cs="Times New Roman"/>
          <w:color w:val="000000" w:themeColor="text1"/>
          <w:sz w:val="22"/>
          <w:szCs w:val="22"/>
        </w:rPr>
        <w:t>Roozenbeek</w:t>
      </w:r>
      <w:proofErr w:type="spellEnd"/>
      <w:r w:rsidRPr="00883BAD">
        <w:rPr>
          <w:rFonts w:ascii="Times New Roman" w:eastAsia="Arial" w:hAnsi="Times New Roman" w:cs="Times New Roman"/>
          <w:color w:val="000000" w:themeColor="text1"/>
          <w:sz w:val="22"/>
          <w:szCs w:val="22"/>
        </w:rPr>
        <w:t xml:space="preserve">, J., Schneider, C. R., </w:t>
      </w:r>
      <w:proofErr w:type="spellStart"/>
      <w:r w:rsidRPr="00883BAD">
        <w:rPr>
          <w:rFonts w:ascii="Times New Roman" w:eastAsia="Arial" w:hAnsi="Times New Roman" w:cs="Times New Roman"/>
          <w:color w:val="000000" w:themeColor="text1"/>
          <w:sz w:val="22"/>
          <w:szCs w:val="22"/>
        </w:rPr>
        <w:t>Dryhurst</w:t>
      </w:r>
      <w:proofErr w:type="spellEnd"/>
      <w:r w:rsidRPr="00883BAD">
        <w:rPr>
          <w:rFonts w:ascii="Times New Roman" w:eastAsia="Arial" w:hAnsi="Times New Roman" w:cs="Times New Roman"/>
          <w:color w:val="000000" w:themeColor="text1"/>
          <w:sz w:val="22"/>
          <w:szCs w:val="22"/>
        </w:rPr>
        <w:t xml:space="preserve">, S., Kerr, J., Freeman, A. L. J., Recchia, G., van der Bles, A. M., &amp; van der Linden, S. (2020). Susceptibility to misinformation about COVID-19 across 26 countries. </w:t>
      </w:r>
      <w:r w:rsidRPr="00883BAD">
        <w:rPr>
          <w:rFonts w:ascii="Times New Roman" w:eastAsia="Arial" w:hAnsi="Times New Roman" w:cs="Times New Roman"/>
          <w:i/>
          <w:iCs/>
          <w:color w:val="000000" w:themeColor="text1"/>
          <w:sz w:val="22"/>
          <w:szCs w:val="22"/>
        </w:rPr>
        <w:t>Royal Society Open Science, 7</w:t>
      </w:r>
      <w:r w:rsidRPr="00883BAD">
        <w:rPr>
          <w:rFonts w:ascii="Times New Roman" w:eastAsia="Arial" w:hAnsi="Times New Roman" w:cs="Times New Roman"/>
          <w:color w:val="000000" w:themeColor="text1"/>
          <w:sz w:val="22"/>
          <w:szCs w:val="22"/>
        </w:rPr>
        <w:t xml:space="preserve">(10), 201199. </w:t>
      </w:r>
      <w:hyperlink r:id="rId35" w:history="1">
        <w:r w:rsidRPr="00883BAD">
          <w:rPr>
            <w:rFonts w:ascii="Times New Roman" w:eastAsia="Arial" w:hAnsi="Times New Roman" w:cs="Times New Roman"/>
            <w:color w:val="000000" w:themeColor="text1"/>
            <w:sz w:val="22"/>
            <w:szCs w:val="22"/>
            <w:u w:val="single"/>
          </w:rPr>
          <w:t>https://doi.org/10.1098/rsos.201199</w:t>
        </w:r>
      </w:hyperlink>
    </w:p>
    <w:p w14:paraId="62DB6376"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lastRenderedPageBreak/>
        <w:t xml:space="preserve">Science Based Targets initiative. (2023). </w:t>
      </w:r>
      <w:r w:rsidRPr="00883BAD">
        <w:rPr>
          <w:rFonts w:ascii="Times New Roman" w:eastAsia="Arial" w:hAnsi="Times New Roman" w:cs="Times New Roman"/>
          <w:i/>
          <w:iCs/>
          <w:color w:val="000000" w:themeColor="text1"/>
          <w:sz w:val="22"/>
          <w:szCs w:val="22"/>
        </w:rPr>
        <w:t>SBTi corporate manual</w:t>
      </w:r>
      <w:r w:rsidRPr="00883BAD">
        <w:rPr>
          <w:rFonts w:ascii="Times New Roman" w:eastAsia="Arial" w:hAnsi="Times New Roman" w:cs="Times New Roman"/>
          <w:color w:val="000000" w:themeColor="text1"/>
          <w:sz w:val="22"/>
          <w:szCs w:val="22"/>
        </w:rPr>
        <w:t xml:space="preserve">. </w:t>
      </w:r>
      <w:hyperlink r:id="rId36" w:history="1">
        <w:r w:rsidRPr="00883BAD">
          <w:rPr>
            <w:rFonts w:ascii="Times New Roman" w:eastAsia="Arial" w:hAnsi="Times New Roman" w:cs="Times New Roman"/>
            <w:color w:val="000000" w:themeColor="text1"/>
            <w:sz w:val="22"/>
            <w:szCs w:val="22"/>
            <w:u w:val="single"/>
          </w:rPr>
          <w:t>https://sciencebasedtargets.org/resources/files/SBTi-Corporate-Manual.pdf</w:t>
        </w:r>
      </w:hyperlink>
    </w:p>
    <w:p w14:paraId="15839B95"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Simon, J. L. (1981). </w:t>
      </w:r>
      <w:r w:rsidRPr="00883BAD">
        <w:rPr>
          <w:rFonts w:ascii="Times New Roman" w:eastAsia="Arial" w:hAnsi="Times New Roman" w:cs="Times New Roman"/>
          <w:i/>
          <w:iCs/>
          <w:color w:val="000000" w:themeColor="text1"/>
          <w:sz w:val="22"/>
          <w:szCs w:val="22"/>
        </w:rPr>
        <w:t>The ultimate resource</w:t>
      </w:r>
      <w:r w:rsidRPr="00883BAD">
        <w:rPr>
          <w:rFonts w:ascii="Times New Roman" w:eastAsia="Arial" w:hAnsi="Times New Roman" w:cs="Times New Roman"/>
          <w:color w:val="000000" w:themeColor="text1"/>
          <w:sz w:val="22"/>
          <w:szCs w:val="22"/>
        </w:rPr>
        <w:t xml:space="preserve">. Princeton University Press. </w:t>
      </w:r>
      <w:hyperlink r:id="rId37" w:history="1">
        <w:r w:rsidRPr="00883BAD">
          <w:rPr>
            <w:rFonts w:ascii="Times New Roman" w:eastAsia="Arial" w:hAnsi="Times New Roman" w:cs="Times New Roman"/>
            <w:color w:val="000000" w:themeColor="text1"/>
            <w:sz w:val="22"/>
            <w:szCs w:val="22"/>
            <w:u w:val="single"/>
          </w:rPr>
          <w:t>https://press.princeton.edu/books/paperback/9780691003818/the-ultimate-resource-2</w:t>
        </w:r>
      </w:hyperlink>
    </w:p>
    <w:p w14:paraId="74F46450"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Solow, R. M. (1974). Intergenerational equity and exhaustible resources. </w:t>
      </w:r>
      <w:r w:rsidRPr="00883BAD">
        <w:rPr>
          <w:rFonts w:ascii="Times New Roman" w:eastAsia="Arial" w:hAnsi="Times New Roman" w:cs="Times New Roman"/>
          <w:i/>
          <w:iCs/>
          <w:color w:val="000000" w:themeColor="text1"/>
          <w:sz w:val="22"/>
          <w:szCs w:val="22"/>
        </w:rPr>
        <w:t>Review of Economic Studies, 41</w:t>
      </w:r>
      <w:r w:rsidRPr="00883BAD">
        <w:rPr>
          <w:rFonts w:ascii="Times New Roman" w:eastAsia="Arial" w:hAnsi="Times New Roman" w:cs="Times New Roman"/>
          <w:color w:val="000000" w:themeColor="text1"/>
          <w:sz w:val="22"/>
          <w:szCs w:val="22"/>
        </w:rPr>
        <w:t xml:space="preserve">, 29–45. </w:t>
      </w:r>
      <w:hyperlink r:id="rId38" w:history="1">
        <w:r w:rsidRPr="00883BAD">
          <w:rPr>
            <w:rFonts w:ascii="Times New Roman" w:eastAsia="Arial" w:hAnsi="Times New Roman" w:cs="Times New Roman"/>
            <w:color w:val="000000" w:themeColor="text1"/>
            <w:sz w:val="22"/>
            <w:szCs w:val="22"/>
            <w:u w:val="single"/>
          </w:rPr>
          <w:t>https://doi.org/10.2307/2296370</w:t>
        </w:r>
      </w:hyperlink>
    </w:p>
    <w:p w14:paraId="5EB95250"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Stern, D. I. (2004). The rise and fall of the Environmental Kuznets Curve. </w:t>
      </w:r>
      <w:r w:rsidRPr="00883BAD">
        <w:rPr>
          <w:rFonts w:ascii="Times New Roman" w:eastAsia="Arial" w:hAnsi="Times New Roman" w:cs="Times New Roman"/>
          <w:i/>
          <w:iCs/>
          <w:color w:val="000000" w:themeColor="text1"/>
          <w:sz w:val="22"/>
          <w:szCs w:val="22"/>
        </w:rPr>
        <w:t>World Development, 32</w:t>
      </w:r>
      <w:r w:rsidRPr="00883BAD">
        <w:rPr>
          <w:rFonts w:ascii="Times New Roman" w:eastAsia="Arial" w:hAnsi="Times New Roman" w:cs="Times New Roman"/>
          <w:color w:val="000000" w:themeColor="text1"/>
          <w:sz w:val="22"/>
          <w:szCs w:val="22"/>
        </w:rPr>
        <w:t xml:space="preserve">(8), 1419–1439. </w:t>
      </w:r>
      <w:hyperlink r:id="rId39" w:history="1">
        <w:r w:rsidRPr="00883BAD">
          <w:rPr>
            <w:rFonts w:ascii="Times New Roman" w:eastAsia="Arial" w:hAnsi="Times New Roman" w:cs="Times New Roman"/>
            <w:color w:val="000000" w:themeColor="text1"/>
            <w:sz w:val="22"/>
            <w:szCs w:val="22"/>
            <w:u w:val="single"/>
          </w:rPr>
          <w:t>https://doi.org/10.1016/j.worlddev.2004.03.004</w:t>
        </w:r>
      </w:hyperlink>
    </w:p>
    <w:p w14:paraId="0697ADA5" w14:textId="77777777" w:rsidR="00883BAD" w:rsidRPr="00883BAD" w:rsidRDefault="00883BAD" w:rsidP="00883BAD">
      <w:pPr>
        <w:spacing w:line="480" w:lineRule="auto"/>
        <w:ind w:left="720" w:hanging="720"/>
        <w:rPr>
          <w:rFonts w:ascii="Times New Roman" w:hAnsi="Times New Roman" w:cs="Times New Roman"/>
          <w:color w:val="000000" w:themeColor="text1"/>
        </w:rPr>
      </w:pPr>
      <w:proofErr w:type="spellStart"/>
      <w:r w:rsidRPr="00883BAD">
        <w:rPr>
          <w:rFonts w:ascii="Times New Roman" w:eastAsia="Arial" w:hAnsi="Times New Roman" w:cs="Times New Roman"/>
          <w:color w:val="000000" w:themeColor="text1"/>
          <w:sz w:val="22"/>
          <w:szCs w:val="22"/>
        </w:rPr>
        <w:t>Supran</w:t>
      </w:r>
      <w:proofErr w:type="spellEnd"/>
      <w:r w:rsidRPr="00883BAD">
        <w:rPr>
          <w:rFonts w:ascii="Times New Roman" w:eastAsia="Arial" w:hAnsi="Times New Roman" w:cs="Times New Roman"/>
          <w:color w:val="000000" w:themeColor="text1"/>
          <w:sz w:val="22"/>
          <w:szCs w:val="22"/>
        </w:rPr>
        <w:t xml:space="preserve">, G., &amp; Oreskes, N. (2017). Assessing ExxonMobil's climate change communications (1977–2014). </w:t>
      </w:r>
      <w:r w:rsidRPr="00883BAD">
        <w:rPr>
          <w:rFonts w:ascii="Times New Roman" w:eastAsia="Arial" w:hAnsi="Times New Roman" w:cs="Times New Roman"/>
          <w:i/>
          <w:iCs/>
          <w:color w:val="000000" w:themeColor="text1"/>
          <w:sz w:val="22"/>
          <w:szCs w:val="22"/>
        </w:rPr>
        <w:t>Environmental Research Letters, 12</w:t>
      </w:r>
      <w:r w:rsidRPr="00883BAD">
        <w:rPr>
          <w:rFonts w:ascii="Times New Roman" w:eastAsia="Arial" w:hAnsi="Times New Roman" w:cs="Times New Roman"/>
          <w:color w:val="000000" w:themeColor="text1"/>
          <w:sz w:val="22"/>
          <w:szCs w:val="22"/>
        </w:rPr>
        <w:t xml:space="preserve">(8), 084019. </w:t>
      </w:r>
      <w:hyperlink r:id="rId40" w:history="1">
        <w:r w:rsidRPr="00883BAD">
          <w:rPr>
            <w:rFonts w:ascii="Times New Roman" w:eastAsia="Arial" w:hAnsi="Times New Roman" w:cs="Times New Roman"/>
            <w:color w:val="000000" w:themeColor="text1"/>
            <w:sz w:val="22"/>
            <w:szCs w:val="22"/>
            <w:u w:val="single"/>
          </w:rPr>
          <w:t>https://doi.org/10.1088/1748-9326/aa815f</w:t>
        </w:r>
      </w:hyperlink>
    </w:p>
    <w:p w14:paraId="03ED399C"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UNCTAD. (2023). </w:t>
      </w:r>
      <w:r w:rsidRPr="00883BAD">
        <w:rPr>
          <w:rFonts w:ascii="Times New Roman" w:eastAsia="Arial" w:hAnsi="Times New Roman" w:cs="Times New Roman"/>
          <w:i/>
          <w:iCs/>
          <w:color w:val="000000" w:themeColor="text1"/>
          <w:sz w:val="22"/>
          <w:szCs w:val="22"/>
        </w:rPr>
        <w:t>World investment report 2023: Investing in sustainable energy for all</w:t>
      </w:r>
      <w:r w:rsidRPr="00883BAD">
        <w:rPr>
          <w:rFonts w:ascii="Times New Roman" w:eastAsia="Arial" w:hAnsi="Times New Roman" w:cs="Times New Roman"/>
          <w:color w:val="000000" w:themeColor="text1"/>
          <w:sz w:val="22"/>
          <w:szCs w:val="22"/>
        </w:rPr>
        <w:t xml:space="preserve">. United Nations Conference on Trade and Development. </w:t>
      </w:r>
      <w:hyperlink r:id="rId41" w:history="1">
        <w:r w:rsidRPr="00883BAD">
          <w:rPr>
            <w:rFonts w:ascii="Times New Roman" w:eastAsia="Arial" w:hAnsi="Times New Roman" w:cs="Times New Roman"/>
            <w:color w:val="000000" w:themeColor="text1"/>
            <w:sz w:val="22"/>
            <w:szCs w:val="22"/>
            <w:u w:val="single"/>
          </w:rPr>
          <w:t>https://unctad.org/publication/world-investment-report-2023</w:t>
        </w:r>
      </w:hyperlink>
    </w:p>
    <w:p w14:paraId="3EC7BEA8"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United Nations. (2015). </w:t>
      </w:r>
      <w:r w:rsidRPr="00883BAD">
        <w:rPr>
          <w:rFonts w:ascii="Times New Roman" w:eastAsia="Arial" w:hAnsi="Times New Roman" w:cs="Times New Roman"/>
          <w:i/>
          <w:iCs/>
          <w:color w:val="000000" w:themeColor="text1"/>
          <w:sz w:val="22"/>
          <w:szCs w:val="22"/>
        </w:rPr>
        <w:t>Transforming our world: The 2030 agenda for sustainable development</w:t>
      </w:r>
      <w:r w:rsidRPr="00883BAD">
        <w:rPr>
          <w:rFonts w:ascii="Times New Roman" w:eastAsia="Arial" w:hAnsi="Times New Roman" w:cs="Times New Roman"/>
          <w:color w:val="000000" w:themeColor="text1"/>
          <w:sz w:val="22"/>
          <w:szCs w:val="22"/>
        </w:rPr>
        <w:t xml:space="preserve">. </w:t>
      </w:r>
      <w:hyperlink r:id="rId42" w:history="1">
        <w:r w:rsidRPr="00883BAD">
          <w:rPr>
            <w:rFonts w:ascii="Times New Roman" w:eastAsia="Arial" w:hAnsi="Times New Roman" w:cs="Times New Roman"/>
            <w:color w:val="000000" w:themeColor="text1"/>
            <w:sz w:val="22"/>
            <w:szCs w:val="22"/>
            <w:u w:val="single"/>
          </w:rPr>
          <w:t>https://sdgs.un.org/2030agenda</w:t>
        </w:r>
      </w:hyperlink>
    </w:p>
    <w:p w14:paraId="0FEA1A96"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United Nations Development Programme. (2024). </w:t>
      </w:r>
      <w:r w:rsidRPr="00883BAD">
        <w:rPr>
          <w:rFonts w:ascii="Times New Roman" w:eastAsia="Arial" w:hAnsi="Times New Roman" w:cs="Times New Roman"/>
          <w:i/>
          <w:iCs/>
          <w:color w:val="000000" w:themeColor="text1"/>
          <w:sz w:val="22"/>
          <w:szCs w:val="22"/>
        </w:rPr>
        <w:t>Human development report 2023/2024</w:t>
      </w:r>
      <w:r w:rsidRPr="00883BAD">
        <w:rPr>
          <w:rFonts w:ascii="Times New Roman" w:eastAsia="Arial" w:hAnsi="Times New Roman" w:cs="Times New Roman"/>
          <w:color w:val="000000" w:themeColor="text1"/>
          <w:sz w:val="22"/>
          <w:szCs w:val="22"/>
        </w:rPr>
        <w:t xml:space="preserve">. </w:t>
      </w:r>
      <w:hyperlink r:id="rId43" w:history="1">
        <w:r w:rsidRPr="00883BAD">
          <w:rPr>
            <w:rFonts w:ascii="Times New Roman" w:eastAsia="Arial" w:hAnsi="Times New Roman" w:cs="Times New Roman"/>
            <w:color w:val="000000" w:themeColor="text1"/>
            <w:sz w:val="22"/>
            <w:szCs w:val="22"/>
            <w:u w:val="single"/>
          </w:rPr>
          <w:t>https://hdr.undp.org/content/human-development-report-2023-24</w:t>
        </w:r>
      </w:hyperlink>
    </w:p>
    <w:p w14:paraId="230AA105"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UN Sustainable Development Solutions Network. (2024). </w:t>
      </w:r>
      <w:r w:rsidRPr="00883BAD">
        <w:rPr>
          <w:rFonts w:ascii="Times New Roman" w:eastAsia="Arial" w:hAnsi="Times New Roman" w:cs="Times New Roman"/>
          <w:i/>
          <w:iCs/>
          <w:color w:val="000000" w:themeColor="text1"/>
          <w:sz w:val="22"/>
          <w:szCs w:val="22"/>
        </w:rPr>
        <w:t>Sustainable development report 2024</w:t>
      </w:r>
      <w:r w:rsidRPr="00883BAD">
        <w:rPr>
          <w:rFonts w:ascii="Times New Roman" w:eastAsia="Arial" w:hAnsi="Times New Roman" w:cs="Times New Roman"/>
          <w:color w:val="000000" w:themeColor="text1"/>
          <w:sz w:val="22"/>
          <w:szCs w:val="22"/>
        </w:rPr>
        <w:t xml:space="preserve">. </w:t>
      </w:r>
      <w:hyperlink r:id="rId44" w:history="1">
        <w:r w:rsidRPr="00883BAD">
          <w:rPr>
            <w:rFonts w:ascii="Times New Roman" w:eastAsia="Arial" w:hAnsi="Times New Roman" w:cs="Times New Roman"/>
            <w:color w:val="000000" w:themeColor="text1"/>
            <w:sz w:val="22"/>
            <w:szCs w:val="22"/>
            <w:u w:val="single"/>
          </w:rPr>
          <w:t>https://dashboards.sdgindex.org/</w:t>
        </w:r>
      </w:hyperlink>
    </w:p>
    <w:p w14:paraId="69CFFCF4"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Vosoughi, S., Roy, D., &amp; Aral, S. (2018). The spread of true and false news online. </w:t>
      </w:r>
      <w:r w:rsidRPr="00883BAD">
        <w:rPr>
          <w:rFonts w:ascii="Times New Roman" w:eastAsia="Arial" w:hAnsi="Times New Roman" w:cs="Times New Roman"/>
          <w:i/>
          <w:iCs/>
          <w:color w:val="000000" w:themeColor="text1"/>
          <w:sz w:val="22"/>
          <w:szCs w:val="22"/>
        </w:rPr>
        <w:t>Science, 359</w:t>
      </w:r>
      <w:r w:rsidRPr="00883BAD">
        <w:rPr>
          <w:rFonts w:ascii="Times New Roman" w:eastAsia="Arial" w:hAnsi="Times New Roman" w:cs="Times New Roman"/>
          <w:color w:val="000000" w:themeColor="text1"/>
          <w:sz w:val="22"/>
          <w:szCs w:val="22"/>
        </w:rPr>
        <w:t xml:space="preserve">(6380), 1146–1151. </w:t>
      </w:r>
      <w:hyperlink r:id="rId45" w:history="1">
        <w:r w:rsidRPr="00883BAD">
          <w:rPr>
            <w:rFonts w:ascii="Times New Roman" w:eastAsia="Arial" w:hAnsi="Times New Roman" w:cs="Times New Roman"/>
            <w:color w:val="000000" w:themeColor="text1"/>
            <w:sz w:val="22"/>
            <w:szCs w:val="22"/>
            <w:u w:val="single"/>
          </w:rPr>
          <w:t>https://doi.org/10.1126/science.aap9559</w:t>
        </w:r>
      </w:hyperlink>
    </w:p>
    <w:p w14:paraId="6B28090F"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World Bank. (2021). </w:t>
      </w:r>
      <w:r w:rsidRPr="00883BAD">
        <w:rPr>
          <w:rFonts w:ascii="Times New Roman" w:eastAsia="Arial" w:hAnsi="Times New Roman" w:cs="Times New Roman"/>
          <w:i/>
          <w:iCs/>
          <w:color w:val="000000" w:themeColor="text1"/>
          <w:sz w:val="22"/>
          <w:szCs w:val="22"/>
        </w:rPr>
        <w:t>The changing wealth of nations 2021: Managing assets for the future</w:t>
      </w:r>
      <w:r w:rsidRPr="00883BAD">
        <w:rPr>
          <w:rFonts w:ascii="Times New Roman" w:eastAsia="Arial" w:hAnsi="Times New Roman" w:cs="Times New Roman"/>
          <w:color w:val="000000" w:themeColor="text1"/>
          <w:sz w:val="22"/>
          <w:szCs w:val="22"/>
        </w:rPr>
        <w:t xml:space="preserve">. World Bank Group. </w:t>
      </w:r>
      <w:hyperlink r:id="rId46" w:history="1">
        <w:r w:rsidRPr="00883BAD">
          <w:rPr>
            <w:rFonts w:ascii="Times New Roman" w:eastAsia="Arial" w:hAnsi="Times New Roman" w:cs="Times New Roman"/>
            <w:color w:val="000000" w:themeColor="text1"/>
            <w:sz w:val="22"/>
            <w:szCs w:val="22"/>
            <w:u w:val="single"/>
          </w:rPr>
          <w:t>https://openknowledge.worldbank.org/handle/10986/36400</w:t>
        </w:r>
      </w:hyperlink>
    </w:p>
    <w:p w14:paraId="79F07E48"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lastRenderedPageBreak/>
        <w:t xml:space="preserve">World Bank. (2023a). </w:t>
      </w:r>
      <w:r w:rsidRPr="00883BAD">
        <w:rPr>
          <w:rFonts w:ascii="Times New Roman" w:eastAsia="Arial" w:hAnsi="Times New Roman" w:cs="Times New Roman"/>
          <w:i/>
          <w:iCs/>
          <w:color w:val="000000" w:themeColor="text1"/>
          <w:sz w:val="22"/>
          <w:szCs w:val="22"/>
        </w:rPr>
        <w:t>Poverty and inequality platform: Gini index</w:t>
      </w:r>
      <w:r w:rsidRPr="00883BAD">
        <w:rPr>
          <w:rFonts w:ascii="Times New Roman" w:eastAsia="Arial" w:hAnsi="Times New Roman" w:cs="Times New Roman"/>
          <w:color w:val="000000" w:themeColor="text1"/>
          <w:sz w:val="22"/>
          <w:szCs w:val="22"/>
        </w:rPr>
        <w:t xml:space="preserve">. </w:t>
      </w:r>
      <w:hyperlink r:id="rId47" w:history="1">
        <w:r w:rsidRPr="00883BAD">
          <w:rPr>
            <w:rFonts w:ascii="Times New Roman" w:eastAsia="Arial" w:hAnsi="Times New Roman" w:cs="Times New Roman"/>
            <w:color w:val="000000" w:themeColor="text1"/>
            <w:sz w:val="22"/>
            <w:szCs w:val="22"/>
            <w:u w:val="single"/>
          </w:rPr>
          <w:t>https://pip.worldbank.org/</w:t>
        </w:r>
      </w:hyperlink>
    </w:p>
    <w:p w14:paraId="1A297756"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World Bank. (2023b). </w:t>
      </w:r>
      <w:r w:rsidRPr="00883BAD">
        <w:rPr>
          <w:rFonts w:ascii="Times New Roman" w:eastAsia="Arial" w:hAnsi="Times New Roman" w:cs="Times New Roman"/>
          <w:i/>
          <w:iCs/>
          <w:color w:val="000000" w:themeColor="text1"/>
          <w:sz w:val="22"/>
          <w:szCs w:val="22"/>
        </w:rPr>
        <w:t>State and trends of carbon pricing 2023</w:t>
      </w:r>
      <w:r w:rsidRPr="00883BAD">
        <w:rPr>
          <w:rFonts w:ascii="Times New Roman" w:eastAsia="Arial" w:hAnsi="Times New Roman" w:cs="Times New Roman"/>
          <w:color w:val="000000" w:themeColor="text1"/>
          <w:sz w:val="22"/>
          <w:szCs w:val="22"/>
        </w:rPr>
        <w:t xml:space="preserve">. </w:t>
      </w:r>
      <w:hyperlink r:id="rId48" w:history="1">
        <w:r w:rsidRPr="00883BAD">
          <w:rPr>
            <w:rFonts w:ascii="Times New Roman" w:eastAsia="Arial" w:hAnsi="Times New Roman" w:cs="Times New Roman"/>
            <w:color w:val="000000" w:themeColor="text1"/>
            <w:sz w:val="22"/>
            <w:szCs w:val="22"/>
            <w:u w:val="single"/>
          </w:rPr>
          <w:t>https://openknowledge.worldbank.org/handle/10986/39796</w:t>
        </w:r>
      </w:hyperlink>
    </w:p>
    <w:p w14:paraId="43D3D65D"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World Economic Forum. (2020). </w:t>
      </w:r>
      <w:r w:rsidRPr="00883BAD">
        <w:rPr>
          <w:rFonts w:ascii="Times New Roman" w:eastAsia="Arial" w:hAnsi="Times New Roman" w:cs="Times New Roman"/>
          <w:i/>
          <w:iCs/>
          <w:color w:val="000000" w:themeColor="text1"/>
          <w:sz w:val="22"/>
          <w:szCs w:val="22"/>
        </w:rPr>
        <w:t>Half of world's GDP moderately or highly dependent on nature</w:t>
      </w:r>
      <w:r w:rsidRPr="00883BAD">
        <w:rPr>
          <w:rFonts w:ascii="Times New Roman" w:eastAsia="Arial" w:hAnsi="Times New Roman" w:cs="Times New Roman"/>
          <w:color w:val="000000" w:themeColor="text1"/>
          <w:sz w:val="22"/>
          <w:szCs w:val="22"/>
        </w:rPr>
        <w:t xml:space="preserve">. </w:t>
      </w:r>
      <w:hyperlink r:id="rId49" w:history="1">
        <w:r w:rsidRPr="00883BAD">
          <w:rPr>
            <w:rFonts w:ascii="Times New Roman" w:eastAsia="Arial" w:hAnsi="Times New Roman" w:cs="Times New Roman"/>
            <w:color w:val="000000" w:themeColor="text1"/>
            <w:sz w:val="22"/>
            <w:szCs w:val="22"/>
            <w:u w:val="single"/>
          </w:rPr>
          <w:t>https://www.weforum.org/press/2020/01/half-of-world-s-gdp-moderately-or-highly-dependent-on-nature-says-new-report/</w:t>
        </w:r>
      </w:hyperlink>
    </w:p>
    <w:p w14:paraId="30D38980"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World Economic Forum. (2026). </w:t>
      </w:r>
      <w:r w:rsidRPr="00883BAD">
        <w:rPr>
          <w:rFonts w:ascii="Times New Roman" w:eastAsia="Arial" w:hAnsi="Times New Roman" w:cs="Times New Roman"/>
          <w:i/>
          <w:iCs/>
          <w:color w:val="000000" w:themeColor="text1"/>
          <w:sz w:val="22"/>
          <w:szCs w:val="22"/>
        </w:rPr>
        <w:t>Global risks report 2026</w:t>
      </w:r>
      <w:r w:rsidRPr="00883BAD">
        <w:rPr>
          <w:rFonts w:ascii="Times New Roman" w:eastAsia="Arial" w:hAnsi="Times New Roman" w:cs="Times New Roman"/>
          <w:color w:val="000000" w:themeColor="text1"/>
          <w:sz w:val="22"/>
          <w:szCs w:val="22"/>
        </w:rPr>
        <w:t xml:space="preserve">. </w:t>
      </w:r>
      <w:hyperlink r:id="rId50" w:history="1">
        <w:r w:rsidRPr="00883BAD">
          <w:rPr>
            <w:rFonts w:ascii="Times New Roman" w:eastAsia="Arial" w:hAnsi="Times New Roman" w:cs="Times New Roman"/>
            <w:color w:val="000000" w:themeColor="text1"/>
            <w:sz w:val="22"/>
            <w:szCs w:val="22"/>
            <w:u w:val="single"/>
          </w:rPr>
          <w:t>https://www.weforum.org/publications/global-risks-report-2026/</w:t>
        </w:r>
      </w:hyperlink>
    </w:p>
    <w:p w14:paraId="3E4EB390" w14:textId="77777777" w:rsidR="00883BAD" w:rsidRPr="00883BAD" w:rsidRDefault="00883BAD" w:rsidP="00883BAD">
      <w:pPr>
        <w:spacing w:line="480" w:lineRule="auto"/>
        <w:ind w:left="720" w:hanging="720"/>
        <w:rPr>
          <w:rFonts w:ascii="Times New Roman" w:hAnsi="Times New Roman" w:cs="Times New Roman"/>
          <w:color w:val="000000" w:themeColor="text1"/>
        </w:rPr>
      </w:pPr>
      <w:r w:rsidRPr="00883BAD">
        <w:rPr>
          <w:rFonts w:ascii="Times New Roman" w:eastAsia="Arial" w:hAnsi="Times New Roman" w:cs="Times New Roman"/>
          <w:color w:val="000000" w:themeColor="text1"/>
          <w:sz w:val="22"/>
          <w:szCs w:val="22"/>
        </w:rPr>
        <w:t xml:space="preserve">Zuboff, S. (2019). </w:t>
      </w:r>
      <w:r w:rsidRPr="00883BAD">
        <w:rPr>
          <w:rFonts w:ascii="Times New Roman" w:eastAsia="Arial" w:hAnsi="Times New Roman" w:cs="Times New Roman"/>
          <w:i/>
          <w:iCs/>
          <w:color w:val="000000" w:themeColor="text1"/>
          <w:sz w:val="22"/>
          <w:szCs w:val="22"/>
        </w:rPr>
        <w:t>The age of surveillance capitalism: The fight for a human future at the new frontier of power</w:t>
      </w:r>
      <w:r w:rsidRPr="00883BAD">
        <w:rPr>
          <w:rFonts w:ascii="Times New Roman" w:eastAsia="Arial" w:hAnsi="Times New Roman" w:cs="Times New Roman"/>
          <w:color w:val="000000" w:themeColor="text1"/>
          <w:sz w:val="22"/>
          <w:szCs w:val="22"/>
        </w:rPr>
        <w:t xml:space="preserve">. PublicAffairs. </w:t>
      </w:r>
      <w:hyperlink r:id="rId51" w:history="1">
        <w:r w:rsidRPr="00883BAD">
          <w:rPr>
            <w:rFonts w:ascii="Times New Roman" w:eastAsia="Arial" w:hAnsi="Times New Roman" w:cs="Times New Roman"/>
            <w:color w:val="000000" w:themeColor="text1"/>
            <w:sz w:val="22"/>
            <w:szCs w:val="22"/>
            <w:u w:val="single"/>
          </w:rPr>
          <w:t>https://www.publicaffairsbooks.com/titles/shoshana-zuboff/the-age-of-surveillance-capitalism/9781610395694/</w:t>
        </w:r>
      </w:hyperlink>
    </w:p>
    <w:p w14:paraId="556EBD26" w14:textId="5E0F263C" w:rsidR="0017368F" w:rsidRPr="00731FE3" w:rsidRDefault="0017368F" w:rsidP="0048488F">
      <w:pPr>
        <w:ind w:firstLine="720"/>
        <w:rPr>
          <w:color w:val="7030A0"/>
        </w:rPr>
      </w:pPr>
    </w:p>
    <w:sectPr w:rsidR="0017368F" w:rsidRPr="00731FE3">
      <w:footerReference w:type="even"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C6715" w14:textId="77777777" w:rsidR="00B60508" w:rsidRDefault="00B60508" w:rsidP="0074107A">
      <w:pPr>
        <w:spacing w:after="0" w:line="240" w:lineRule="auto"/>
      </w:pPr>
      <w:r>
        <w:separator/>
      </w:r>
    </w:p>
  </w:endnote>
  <w:endnote w:type="continuationSeparator" w:id="0">
    <w:p w14:paraId="67D29C0D" w14:textId="77777777" w:rsidR="00B60508" w:rsidRDefault="00B60508" w:rsidP="00741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934245"/>
      <w:docPartObj>
        <w:docPartGallery w:val="Page Numbers (Bottom of Page)"/>
        <w:docPartUnique/>
      </w:docPartObj>
    </w:sdtPr>
    <w:sdtContent>
      <w:p w14:paraId="09B86638" w14:textId="6FEE96A2" w:rsidR="0074107A" w:rsidRDefault="0074107A" w:rsidP="009668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35E74EC" w14:textId="77777777" w:rsidR="0074107A" w:rsidRDefault="0074107A" w:rsidP="007410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5728337"/>
      <w:docPartObj>
        <w:docPartGallery w:val="Page Numbers (Bottom of Page)"/>
        <w:docPartUnique/>
      </w:docPartObj>
    </w:sdtPr>
    <w:sdtContent>
      <w:p w14:paraId="711CE6F2" w14:textId="738694D5" w:rsidR="0074107A" w:rsidRDefault="0074107A" w:rsidP="009668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F43EDF" w14:textId="77777777" w:rsidR="0074107A" w:rsidRDefault="0074107A" w:rsidP="007410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FF064" w14:textId="77777777" w:rsidR="00B60508" w:rsidRDefault="00B60508" w:rsidP="0074107A">
      <w:pPr>
        <w:spacing w:after="0" w:line="240" w:lineRule="auto"/>
      </w:pPr>
      <w:r>
        <w:separator/>
      </w:r>
    </w:p>
  </w:footnote>
  <w:footnote w:type="continuationSeparator" w:id="0">
    <w:p w14:paraId="4C067889" w14:textId="77777777" w:rsidR="00B60508" w:rsidRDefault="00B60508" w:rsidP="007410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79C"/>
    <w:rsid w:val="00011833"/>
    <w:rsid w:val="0007759A"/>
    <w:rsid w:val="00091955"/>
    <w:rsid w:val="000D206B"/>
    <w:rsid w:val="00130ED1"/>
    <w:rsid w:val="0017368F"/>
    <w:rsid w:val="00173AD9"/>
    <w:rsid w:val="00221845"/>
    <w:rsid w:val="002614EE"/>
    <w:rsid w:val="002A3D37"/>
    <w:rsid w:val="002B3C88"/>
    <w:rsid w:val="002F67F9"/>
    <w:rsid w:val="003217F8"/>
    <w:rsid w:val="004509EC"/>
    <w:rsid w:val="0048488F"/>
    <w:rsid w:val="004B6B51"/>
    <w:rsid w:val="004E1C50"/>
    <w:rsid w:val="00517890"/>
    <w:rsid w:val="00602649"/>
    <w:rsid w:val="006543F6"/>
    <w:rsid w:val="0069737E"/>
    <w:rsid w:val="006D25F3"/>
    <w:rsid w:val="00707293"/>
    <w:rsid w:val="00731FE3"/>
    <w:rsid w:val="0074107A"/>
    <w:rsid w:val="007569C3"/>
    <w:rsid w:val="007D1F3D"/>
    <w:rsid w:val="007F479C"/>
    <w:rsid w:val="00883BAD"/>
    <w:rsid w:val="008F1380"/>
    <w:rsid w:val="008F7BC3"/>
    <w:rsid w:val="009967D4"/>
    <w:rsid w:val="009B001D"/>
    <w:rsid w:val="009D204F"/>
    <w:rsid w:val="009E3E2E"/>
    <w:rsid w:val="00AA2B5F"/>
    <w:rsid w:val="00AD2946"/>
    <w:rsid w:val="00AF040C"/>
    <w:rsid w:val="00B60508"/>
    <w:rsid w:val="00BA14FC"/>
    <w:rsid w:val="00BC3ABD"/>
    <w:rsid w:val="00C1648C"/>
    <w:rsid w:val="00D94506"/>
    <w:rsid w:val="00DC613B"/>
    <w:rsid w:val="00DD63A3"/>
    <w:rsid w:val="00DE43FE"/>
    <w:rsid w:val="00E234D7"/>
    <w:rsid w:val="00E75F3A"/>
    <w:rsid w:val="00F5134A"/>
    <w:rsid w:val="00F56A97"/>
    <w:rsid w:val="00FC598D"/>
    <w:rsid w:val="00FF6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1BD2E"/>
  <w15:chartTrackingRefBased/>
  <w15:docId w15:val="{EA3D8EC1-5905-9C40-9C35-55146F325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7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47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47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47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7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7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7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7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7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7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47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47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47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47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47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7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7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79C"/>
    <w:rPr>
      <w:rFonts w:eastAsiaTheme="majorEastAsia" w:cstheme="majorBidi"/>
      <w:color w:val="272727" w:themeColor="text1" w:themeTint="D8"/>
    </w:rPr>
  </w:style>
  <w:style w:type="paragraph" w:styleId="Title">
    <w:name w:val="Title"/>
    <w:basedOn w:val="Normal"/>
    <w:next w:val="Normal"/>
    <w:link w:val="TitleChar"/>
    <w:uiPriority w:val="10"/>
    <w:qFormat/>
    <w:rsid w:val="007F47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7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7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7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79C"/>
    <w:pPr>
      <w:spacing w:before="160"/>
      <w:jc w:val="center"/>
    </w:pPr>
    <w:rPr>
      <w:i/>
      <w:iCs/>
      <w:color w:val="404040" w:themeColor="text1" w:themeTint="BF"/>
    </w:rPr>
  </w:style>
  <w:style w:type="character" w:customStyle="1" w:styleId="QuoteChar">
    <w:name w:val="Quote Char"/>
    <w:basedOn w:val="DefaultParagraphFont"/>
    <w:link w:val="Quote"/>
    <w:uiPriority w:val="29"/>
    <w:rsid w:val="007F479C"/>
    <w:rPr>
      <w:i/>
      <w:iCs/>
      <w:color w:val="404040" w:themeColor="text1" w:themeTint="BF"/>
    </w:rPr>
  </w:style>
  <w:style w:type="paragraph" w:styleId="ListParagraph">
    <w:name w:val="List Paragraph"/>
    <w:basedOn w:val="Normal"/>
    <w:uiPriority w:val="34"/>
    <w:qFormat/>
    <w:rsid w:val="007F479C"/>
    <w:pPr>
      <w:ind w:left="720"/>
      <w:contextualSpacing/>
    </w:pPr>
  </w:style>
  <w:style w:type="character" w:styleId="IntenseEmphasis">
    <w:name w:val="Intense Emphasis"/>
    <w:basedOn w:val="DefaultParagraphFont"/>
    <w:uiPriority w:val="21"/>
    <w:qFormat/>
    <w:rsid w:val="007F479C"/>
    <w:rPr>
      <w:i/>
      <w:iCs/>
      <w:color w:val="0F4761" w:themeColor="accent1" w:themeShade="BF"/>
    </w:rPr>
  </w:style>
  <w:style w:type="paragraph" w:styleId="IntenseQuote">
    <w:name w:val="Intense Quote"/>
    <w:basedOn w:val="Normal"/>
    <w:next w:val="Normal"/>
    <w:link w:val="IntenseQuoteChar"/>
    <w:uiPriority w:val="30"/>
    <w:qFormat/>
    <w:rsid w:val="007F47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479C"/>
    <w:rPr>
      <w:i/>
      <w:iCs/>
      <w:color w:val="0F4761" w:themeColor="accent1" w:themeShade="BF"/>
    </w:rPr>
  </w:style>
  <w:style w:type="character" w:styleId="IntenseReference">
    <w:name w:val="Intense Reference"/>
    <w:basedOn w:val="DefaultParagraphFont"/>
    <w:uiPriority w:val="32"/>
    <w:qFormat/>
    <w:rsid w:val="007F479C"/>
    <w:rPr>
      <w:b/>
      <w:bCs/>
      <w:smallCaps/>
      <w:color w:val="0F4761" w:themeColor="accent1" w:themeShade="BF"/>
      <w:spacing w:val="5"/>
    </w:rPr>
  </w:style>
  <w:style w:type="paragraph" w:styleId="TOCHeading">
    <w:name w:val="TOC Heading"/>
    <w:basedOn w:val="Heading1"/>
    <w:next w:val="Normal"/>
    <w:uiPriority w:val="39"/>
    <w:unhideWhenUsed/>
    <w:qFormat/>
    <w:rsid w:val="00DD63A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D63A3"/>
    <w:pPr>
      <w:spacing w:before="120" w:after="0"/>
    </w:pPr>
    <w:rPr>
      <w:b/>
      <w:bCs/>
      <w:i/>
      <w:iCs/>
    </w:rPr>
  </w:style>
  <w:style w:type="paragraph" w:styleId="TOC2">
    <w:name w:val="toc 2"/>
    <w:basedOn w:val="Normal"/>
    <w:next w:val="Normal"/>
    <w:autoRedefine/>
    <w:uiPriority w:val="39"/>
    <w:unhideWhenUsed/>
    <w:rsid w:val="00DD63A3"/>
    <w:pPr>
      <w:spacing w:before="120" w:after="0"/>
      <w:ind w:left="240"/>
    </w:pPr>
    <w:rPr>
      <w:b/>
      <w:bCs/>
      <w:sz w:val="22"/>
      <w:szCs w:val="22"/>
    </w:rPr>
  </w:style>
  <w:style w:type="paragraph" w:styleId="TOC3">
    <w:name w:val="toc 3"/>
    <w:basedOn w:val="Normal"/>
    <w:next w:val="Normal"/>
    <w:autoRedefine/>
    <w:uiPriority w:val="39"/>
    <w:semiHidden/>
    <w:unhideWhenUsed/>
    <w:rsid w:val="00DD63A3"/>
    <w:pPr>
      <w:spacing w:after="0"/>
      <w:ind w:left="480"/>
    </w:pPr>
    <w:rPr>
      <w:sz w:val="20"/>
      <w:szCs w:val="20"/>
    </w:rPr>
  </w:style>
  <w:style w:type="paragraph" w:styleId="TOC4">
    <w:name w:val="toc 4"/>
    <w:basedOn w:val="Normal"/>
    <w:next w:val="Normal"/>
    <w:autoRedefine/>
    <w:uiPriority w:val="39"/>
    <w:semiHidden/>
    <w:unhideWhenUsed/>
    <w:rsid w:val="00DD63A3"/>
    <w:pPr>
      <w:spacing w:after="0"/>
      <w:ind w:left="720"/>
    </w:pPr>
    <w:rPr>
      <w:sz w:val="20"/>
      <w:szCs w:val="20"/>
    </w:rPr>
  </w:style>
  <w:style w:type="paragraph" w:styleId="TOC5">
    <w:name w:val="toc 5"/>
    <w:basedOn w:val="Normal"/>
    <w:next w:val="Normal"/>
    <w:autoRedefine/>
    <w:uiPriority w:val="39"/>
    <w:semiHidden/>
    <w:unhideWhenUsed/>
    <w:rsid w:val="00DD63A3"/>
    <w:pPr>
      <w:spacing w:after="0"/>
      <w:ind w:left="960"/>
    </w:pPr>
    <w:rPr>
      <w:sz w:val="20"/>
      <w:szCs w:val="20"/>
    </w:rPr>
  </w:style>
  <w:style w:type="paragraph" w:styleId="TOC6">
    <w:name w:val="toc 6"/>
    <w:basedOn w:val="Normal"/>
    <w:next w:val="Normal"/>
    <w:autoRedefine/>
    <w:uiPriority w:val="39"/>
    <w:semiHidden/>
    <w:unhideWhenUsed/>
    <w:rsid w:val="00DD63A3"/>
    <w:pPr>
      <w:spacing w:after="0"/>
      <w:ind w:left="1200"/>
    </w:pPr>
    <w:rPr>
      <w:sz w:val="20"/>
      <w:szCs w:val="20"/>
    </w:rPr>
  </w:style>
  <w:style w:type="paragraph" w:styleId="TOC7">
    <w:name w:val="toc 7"/>
    <w:basedOn w:val="Normal"/>
    <w:next w:val="Normal"/>
    <w:autoRedefine/>
    <w:uiPriority w:val="39"/>
    <w:semiHidden/>
    <w:unhideWhenUsed/>
    <w:rsid w:val="00DD63A3"/>
    <w:pPr>
      <w:spacing w:after="0"/>
      <w:ind w:left="1440"/>
    </w:pPr>
    <w:rPr>
      <w:sz w:val="20"/>
      <w:szCs w:val="20"/>
    </w:rPr>
  </w:style>
  <w:style w:type="paragraph" w:styleId="TOC8">
    <w:name w:val="toc 8"/>
    <w:basedOn w:val="Normal"/>
    <w:next w:val="Normal"/>
    <w:autoRedefine/>
    <w:uiPriority w:val="39"/>
    <w:semiHidden/>
    <w:unhideWhenUsed/>
    <w:rsid w:val="00DD63A3"/>
    <w:pPr>
      <w:spacing w:after="0"/>
      <w:ind w:left="1680"/>
    </w:pPr>
    <w:rPr>
      <w:sz w:val="20"/>
      <w:szCs w:val="20"/>
    </w:rPr>
  </w:style>
  <w:style w:type="paragraph" w:styleId="TOC9">
    <w:name w:val="toc 9"/>
    <w:basedOn w:val="Normal"/>
    <w:next w:val="Normal"/>
    <w:autoRedefine/>
    <w:uiPriority w:val="39"/>
    <w:semiHidden/>
    <w:unhideWhenUsed/>
    <w:rsid w:val="00DD63A3"/>
    <w:pPr>
      <w:spacing w:after="0"/>
      <w:ind w:left="1920"/>
    </w:pPr>
    <w:rPr>
      <w:sz w:val="20"/>
      <w:szCs w:val="20"/>
    </w:rPr>
  </w:style>
  <w:style w:type="character" w:styleId="Hyperlink">
    <w:name w:val="Hyperlink"/>
    <w:basedOn w:val="DefaultParagraphFont"/>
    <w:uiPriority w:val="99"/>
    <w:unhideWhenUsed/>
    <w:rsid w:val="00DD63A3"/>
    <w:rPr>
      <w:color w:val="467886" w:themeColor="hyperlink"/>
      <w:u w:val="single"/>
    </w:rPr>
  </w:style>
  <w:style w:type="paragraph" w:styleId="Footer">
    <w:name w:val="footer"/>
    <w:basedOn w:val="Normal"/>
    <w:link w:val="FooterChar"/>
    <w:uiPriority w:val="99"/>
    <w:unhideWhenUsed/>
    <w:rsid w:val="00741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07A"/>
  </w:style>
  <w:style w:type="character" w:styleId="PageNumber">
    <w:name w:val="page number"/>
    <w:basedOn w:val="DefaultParagraphFont"/>
    <w:uiPriority w:val="99"/>
    <w:semiHidden/>
    <w:unhideWhenUsed/>
    <w:rsid w:val="0074107A"/>
  </w:style>
  <w:style w:type="character" w:styleId="UnresolvedMention">
    <w:name w:val="Unresolved Mention"/>
    <w:basedOn w:val="DefaultParagraphFont"/>
    <w:uiPriority w:val="99"/>
    <w:semiHidden/>
    <w:unhideWhenUsed/>
    <w:rsid w:val="00707293"/>
    <w:rPr>
      <w:color w:val="605E5C"/>
      <w:shd w:val="clear" w:color="auto" w:fill="E1DFDD"/>
    </w:rPr>
  </w:style>
  <w:style w:type="character" w:styleId="FollowedHyperlink">
    <w:name w:val="FollowedHyperlink"/>
    <w:basedOn w:val="DefaultParagraphFont"/>
    <w:uiPriority w:val="99"/>
    <w:semiHidden/>
    <w:unhideWhenUsed/>
    <w:rsid w:val="0048488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46/j.1523-1739.1992.610037.x" TargetMode="External"/><Relationship Id="rId18" Type="http://schemas.openxmlformats.org/officeDocument/2006/relationships/hyperlink" Target="https://ellenmacarthurfoundation.org/completing-the-picture" TargetMode="External"/><Relationship Id="rId26" Type="http://schemas.openxmlformats.org/officeDocument/2006/relationships/hyperlink" Target="https://www.clubofrome.org/publication/the-limits-to-growth/" TargetMode="External"/><Relationship Id="rId39" Type="http://schemas.openxmlformats.org/officeDocument/2006/relationships/hyperlink" Target="https://doi.org/10.1016/j.worlddev.2004.03.004" TargetMode="External"/><Relationship Id="rId21" Type="http://schemas.openxmlformats.org/officeDocument/2006/relationships/hyperlink" Target="https://www.jstor.org/stable/1828079" TargetMode="External"/><Relationship Id="rId34" Type="http://schemas.openxmlformats.org/officeDocument/2006/relationships/hyperlink" Target="https://doi.org/10.1086/261725" TargetMode="External"/><Relationship Id="rId42" Type="http://schemas.openxmlformats.org/officeDocument/2006/relationships/hyperlink" Target="https://sdgs.un.org/2030agenda" TargetMode="External"/><Relationship Id="rId47" Type="http://schemas.openxmlformats.org/officeDocument/2006/relationships/hyperlink" Target="https://pip.worldbank.org/" TargetMode="External"/><Relationship Id="rId50" Type="http://schemas.openxmlformats.org/officeDocument/2006/relationships/hyperlink" Target="https://www.weforum.org/publications/global-risks-report-2026/" TargetMode="External"/><Relationship Id="rId55" Type="http://schemas.openxmlformats.org/officeDocument/2006/relationships/theme" Target="theme/theme1.xml"/><Relationship Id="rId7" Type="http://schemas.openxmlformats.org/officeDocument/2006/relationships/hyperlink" Target="https://www.apple.com/environment/pdf/Apple_Environmental_Progress_Report_2023.pdf" TargetMode="External"/><Relationship Id="rId2" Type="http://schemas.openxmlformats.org/officeDocument/2006/relationships/styles" Target="styles.xml"/><Relationship Id="rId16" Type="http://schemas.openxmlformats.org/officeDocument/2006/relationships/hyperlink" Target="https://doi.org/10.1016/j.ecolecon.2004.02.011" TargetMode="External"/><Relationship Id="rId29" Type="http://schemas.openxmlformats.org/officeDocument/2006/relationships/hyperlink" Target="https://archive.org/details/in.ernet.dli.2015.218874" TargetMode="External"/><Relationship Id="rId11" Type="http://schemas.openxmlformats.org/officeDocument/2006/relationships/hyperlink" Target="https://www.ted.com/talks/carole_cadwalladr_facebook_s_role_in_brexit_and_the_threat_to_democracy" TargetMode="External"/><Relationship Id="rId24" Type="http://schemas.openxmlformats.org/officeDocument/2006/relationships/hyperlink" Target="https://www.irena.org/publications/2023/Aug/Renewable-Power-Generation-Costs-in-2022" TargetMode="External"/><Relationship Id="rId32" Type="http://schemas.openxmlformats.org/officeDocument/2006/relationships/hyperlink" Target="https://reutersinstitute.politics.ox.ac.uk/digital-news-report/2025" TargetMode="External"/><Relationship Id="rId37" Type="http://schemas.openxmlformats.org/officeDocument/2006/relationships/hyperlink" Target="https://press.princeton.edu/books/paperback/9780691003818/the-ultimate-resource-2" TargetMode="External"/><Relationship Id="rId40" Type="http://schemas.openxmlformats.org/officeDocument/2006/relationships/hyperlink" Target="https://doi.org/10.1088/1748-9326/aa815f" TargetMode="External"/><Relationship Id="rId45" Type="http://schemas.openxmlformats.org/officeDocument/2006/relationships/hyperlink" Target="https://doi.org/10.1126/science.aap9559"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sustainabledevelopment.un.org/content/documents/5987our-common-future.pdf" TargetMode="External"/><Relationship Id="rId19" Type="http://schemas.openxmlformats.org/officeDocument/2006/relationships/hyperlink" Target="https://single-market-economy.ec.europa.eu/sectors/raw-materials/areas-specific-interest/critical-raw-materials/critical-raw-materials-act_en" TargetMode="External"/><Relationship Id="rId31" Type="http://schemas.openxmlformats.org/officeDocument/2006/relationships/hyperlink" Target="https://www.renaultgroup.com/en/news-on-air/news/the-refactory-circular-economy-at-the-heart-of-renault-groups-strategy/" TargetMode="External"/><Relationship Id="rId44" Type="http://schemas.openxmlformats.org/officeDocument/2006/relationships/hyperlink" Target="https://dashboards.sdgindex.org/"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oreign.gov.bb/bridgetown-initiative/" TargetMode="External"/><Relationship Id="rId14" Type="http://schemas.openxmlformats.org/officeDocument/2006/relationships/hyperlink" Target="https://doi.org/10.1016/0921-8009(90)90010-R" TargetMode="External"/><Relationship Id="rId22" Type="http://schemas.openxmlformats.org/officeDocument/2006/relationships/hyperlink" Target="https://www.iea.org/reports/the-role-of-critical-minerals-in-clean-energy-transitions" TargetMode="External"/><Relationship Id="rId27" Type="http://schemas.openxmlformats.org/officeDocument/2006/relationships/hyperlink" Target="https://doi.org/10.1787/9789264119536-en" TargetMode="External"/><Relationship Id="rId30" Type="http://schemas.openxmlformats.org/officeDocument/2006/relationships/hyperlink" Target="https://doi.org/10.1257/jep.9.4.97" TargetMode="External"/><Relationship Id="rId35" Type="http://schemas.openxmlformats.org/officeDocument/2006/relationships/hyperlink" Target="https://doi.org/10.1098/rsos.201199" TargetMode="External"/><Relationship Id="rId43" Type="http://schemas.openxmlformats.org/officeDocument/2006/relationships/hyperlink" Target="https://hdr.undp.org/content/human-development-report-2023-24" TargetMode="External"/><Relationship Id="rId48" Type="http://schemas.openxmlformats.org/officeDocument/2006/relationships/hyperlink" Target="https://openknowledge.worldbank.org/handle/10986/39796" TargetMode="External"/><Relationship Id="rId8" Type="http://schemas.openxmlformats.org/officeDocument/2006/relationships/hyperlink" Target="https://hdr.undp.org/content/economic-crises-and-inequality" TargetMode="External"/><Relationship Id="rId51" Type="http://schemas.openxmlformats.org/officeDocument/2006/relationships/hyperlink" Target="https://www.publicaffairsbooks.com/titles/shoshana-zuboff/the-age-of-surveillance-capitalism/9781610395694/" TargetMode="External"/><Relationship Id="rId3" Type="http://schemas.openxmlformats.org/officeDocument/2006/relationships/settings" Target="settings.xml"/><Relationship Id="rId12" Type="http://schemas.openxmlformats.org/officeDocument/2006/relationships/hyperlink" Target="https://doi.org/10.1088/1748-9326/8/2/024024" TargetMode="External"/><Relationship Id="rId17" Type="http://schemas.openxmlformats.org/officeDocument/2006/relationships/hyperlink" Target="https://doi.org/10.1177/1086026615575176" TargetMode="External"/><Relationship Id="rId25" Type="http://schemas.openxmlformats.org/officeDocument/2006/relationships/hyperlink" Target="https://www.jstor.org/stable/1811581" TargetMode="External"/><Relationship Id="rId33" Type="http://schemas.openxmlformats.org/officeDocument/2006/relationships/hyperlink" Target="https://www.econlib.org/library/Ricardo/ricP.html" TargetMode="External"/><Relationship Id="rId38" Type="http://schemas.openxmlformats.org/officeDocument/2006/relationships/hyperlink" Target="https://doi.org/10.2307/2296370" TargetMode="External"/><Relationship Id="rId46" Type="http://schemas.openxmlformats.org/officeDocument/2006/relationships/hyperlink" Target="https://openknowledge.worldbank.org/handle/10986/36400" TargetMode="External"/><Relationship Id="rId20" Type="http://schemas.openxmlformats.org/officeDocument/2006/relationships/hyperlink" Target="https://eur-lex.europa.eu/legal-content/EN/TXT/?uri=CELEX%3A32022R2065" TargetMode="External"/><Relationship Id="rId41" Type="http://schemas.openxmlformats.org/officeDocument/2006/relationships/hyperlink" Target="https://unctad.org/publication/world-investment-report-2023"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islandpress.org/books/ecological-economics-second-edition" TargetMode="External"/><Relationship Id="rId23" Type="http://schemas.openxmlformats.org/officeDocument/2006/relationships/hyperlink" Target="https://www.iea.org/reports/co2-emissions-in-2022" TargetMode="External"/><Relationship Id="rId28" Type="http://schemas.openxmlformats.org/officeDocument/2006/relationships/hyperlink" Target="https://doi.org/10.1017/CBO9781316423936" TargetMode="External"/><Relationship Id="rId36" Type="http://schemas.openxmlformats.org/officeDocument/2006/relationships/hyperlink" Target="https://sciencebasedtargets.org/resources/files/SBTi-Corporate-Manual.pdf" TargetMode="External"/><Relationship Id="rId49" Type="http://schemas.openxmlformats.org/officeDocument/2006/relationships/hyperlink" Target="https://www.weforum.org/press/2020/01/half-of-world-s-gdp-moderately-or-highly-dependent-on-nature-says-new-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FC674-D642-D748-9E37-A9E0CCA52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21</Pages>
  <Words>5652</Words>
  <Characters>32220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Taylor-Jayne Rowe</dc:creator>
  <cp:keywords/>
  <dc:description/>
  <cp:lastModifiedBy>Taylor-Jayne Rowe (2507302)</cp:lastModifiedBy>
  <cp:revision>19</cp:revision>
  <dcterms:created xsi:type="dcterms:W3CDTF">2026-03-12T12:21:00Z</dcterms:created>
  <dcterms:modified xsi:type="dcterms:W3CDTF">2026-05-12T09:50:00Z</dcterms:modified>
</cp:coreProperties>
</file>