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FB673C" w14:textId="77777777" w:rsidR="00507EAE" w:rsidRDefault="00507EAE" w:rsidP="00507EAE">
      <w:pPr>
        <w:rPr>
          <w:rFonts w:cstheme="minorHAnsi"/>
        </w:rPr>
      </w:pPr>
    </w:p>
    <w:p w14:paraId="34B451D9" w14:textId="4480F144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Adams, M. and Evans, D. (1996) ‘Teacher Disapproval, Delinquent Peers, and Self-Reported Delinquency: A Longitudinal Test of Labelling Theory’, </w:t>
      </w:r>
      <w:r w:rsidRPr="00FF24ED">
        <w:rPr>
          <w:rFonts w:cstheme="minorHAnsi"/>
          <w:i/>
          <w:iCs/>
        </w:rPr>
        <w:t xml:space="preserve">The Urban Review, </w:t>
      </w:r>
      <w:r w:rsidRPr="00FF24ED">
        <w:rPr>
          <w:rFonts w:cstheme="minorHAnsi"/>
        </w:rPr>
        <w:t xml:space="preserve">28(3), pp.199-211. DOI: </w:t>
      </w:r>
      <w:r w:rsidRPr="00FF24ED">
        <w:rPr>
          <w:rFonts w:cstheme="minorHAnsi"/>
        </w:rPr>
        <w:t>10.1007/BF02355337</w:t>
      </w:r>
    </w:p>
    <w:p w14:paraId="21B4A7CE" w14:textId="77777777" w:rsidR="00507EAE" w:rsidRPr="00507EAE" w:rsidRDefault="00507EAE" w:rsidP="00FF24ED">
      <w:pPr>
        <w:ind w:left="360"/>
        <w:rPr>
          <w:rFonts w:cstheme="minorHAnsi"/>
        </w:rPr>
      </w:pPr>
    </w:p>
    <w:p w14:paraId="04B4BEA3" w14:textId="2A96451B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>Agnew, R. (1992) ‘Foundation for a General Strain Theory of Crime and Delinquency</w:t>
      </w:r>
      <w:proofErr w:type="gramStart"/>
      <w:r w:rsidRPr="00FF24ED">
        <w:rPr>
          <w:rFonts w:cstheme="minorHAnsi"/>
        </w:rPr>
        <w:t xml:space="preserve">’, </w:t>
      </w:r>
      <w:r w:rsidRPr="00FF24ED">
        <w:rPr>
          <w:rFonts w:cstheme="minorHAnsi"/>
          <w:i/>
          <w:iCs/>
        </w:rPr>
        <w:t xml:space="preserve"> Criminology</w:t>
      </w:r>
      <w:proofErr w:type="gramEnd"/>
      <w:r w:rsidRPr="00FF24ED">
        <w:rPr>
          <w:rFonts w:cstheme="minorHAnsi"/>
          <w:i/>
          <w:iCs/>
        </w:rPr>
        <w:t xml:space="preserve">, </w:t>
      </w:r>
      <w:r w:rsidRPr="00FF24ED">
        <w:rPr>
          <w:rFonts w:cstheme="minorHAnsi"/>
        </w:rPr>
        <w:t>30(1), pp.47-87. DOI:</w:t>
      </w:r>
      <w:r w:rsidRPr="00FF24ED">
        <w:rPr>
          <w:rFonts w:ascii="Helvetica" w:eastAsia="Times New Roman" w:hAnsi="Helvetica" w:cs="Times New Roman"/>
          <w:color w:val="333333"/>
          <w:sz w:val="20"/>
          <w:szCs w:val="20"/>
          <w:shd w:val="clear" w:color="auto" w:fill="F6F6F6"/>
          <w:lang w:eastAsia="en-GB"/>
        </w:rPr>
        <w:t xml:space="preserve"> </w:t>
      </w:r>
      <w:r w:rsidRPr="00FF24ED">
        <w:rPr>
          <w:rFonts w:cstheme="minorHAnsi"/>
        </w:rPr>
        <w:t>10.1111/j.1745-</w:t>
      </w:r>
      <w:proofErr w:type="gramStart"/>
      <w:r w:rsidRPr="00FF24ED">
        <w:rPr>
          <w:rFonts w:cstheme="minorHAnsi"/>
        </w:rPr>
        <w:t>9125.1992.tb</w:t>
      </w:r>
      <w:proofErr w:type="gramEnd"/>
      <w:r w:rsidRPr="00FF24ED">
        <w:rPr>
          <w:rFonts w:cstheme="minorHAnsi"/>
        </w:rPr>
        <w:t>01093.x</w:t>
      </w:r>
    </w:p>
    <w:p w14:paraId="61E5EA48" w14:textId="77777777" w:rsidR="00507EAE" w:rsidRPr="00507EAE" w:rsidRDefault="00507EAE" w:rsidP="00FF24ED">
      <w:pPr>
        <w:ind w:left="360"/>
        <w:rPr>
          <w:rFonts w:cstheme="minorHAnsi"/>
        </w:rPr>
      </w:pPr>
    </w:p>
    <w:p w14:paraId="25022DA9" w14:textId="4C59C551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Agnew, R. (2001) ‘Building on the Foundation of General Strain Theory: Specifying the Types of Strain Most Likely to Lead to Crime and Delinquency’, </w:t>
      </w:r>
      <w:r w:rsidRPr="00FF24ED">
        <w:rPr>
          <w:rFonts w:cstheme="minorHAnsi"/>
          <w:i/>
          <w:iCs/>
        </w:rPr>
        <w:t xml:space="preserve">Journal of Research in Crime and Delinquency, </w:t>
      </w:r>
      <w:r w:rsidRPr="00FF24ED">
        <w:rPr>
          <w:rFonts w:cstheme="minorHAnsi"/>
        </w:rPr>
        <w:t xml:space="preserve">38(4), pp.319-361. DOI: </w:t>
      </w:r>
      <w:r w:rsidRPr="00FF24ED">
        <w:rPr>
          <w:rFonts w:cstheme="minorHAnsi"/>
        </w:rPr>
        <w:t>10.1.1.473.6703</w:t>
      </w:r>
    </w:p>
    <w:p w14:paraId="2AF38341" w14:textId="77777777" w:rsidR="00507EAE" w:rsidRPr="00507EAE" w:rsidRDefault="00507EAE" w:rsidP="00FF24ED">
      <w:pPr>
        <w:ind w:left="360"/>
        <w:rPr>
          <w:rFonts w:cstheme="minorHAnsi"/>
        </w:rPr>
      </w:pPr>
    </w:p>
    <w:p w14:paraId="5F9E79F2" w14:textId="5AFF0B62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Becker, H. (2018) </w:t>
      </w:r>
      <w:r w:rsidRPr="00FF24ED">
        <w:rPr>
          <w:rFonts w:cstheme="minorHAnsi"/>
          <w:i/>
          <w:iCs/>
        </w:rPr>
        <w:t xml:space="preserve">Outsiders Studies in the Sociology of Deviance. </w:t>
      </w:r>
      <w:r w:rsidRPr="00FF24ED">
        <w:rPr>
          <w:rFonts w:cstheme="minorHAnsi"/>
        </w:rPr>
        <w:t xml:space="preserve">New York: Free Press. </w:t>
      </w:r>
    </w:p>
    <w:p w14:paraId="0564A657" w14:textId="77777777" w:rsidR="00507EAE" w:rsidRPr="00507EAE" w:rsidRDefault="00507EAE" w:rsidP="00FF24ED">
      <w:pPr>
        <w:ind w:left="360"/>
        <w:rPr>
          <w:rFonts w:cstheme="minorHAnsi"/>
        </w:rPr>
      </w:pPr>
    </w:p>
    <w:p w14:paraId="5DB912AD" w14:textId="014E1520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Bernburg, J.  </w:t>
      </w:r>
      <w:proofErr w:type="spellStart"/>
      <w:r w:rsidRPr="00FF24ED">
        <w:rPr>
          <w:rFonts w:cstheme="minorHAnsi"/>
        </w:rPr>
        <w:t>Krohn</w:t>
      </w:r>
      <w:proofErr w:type="spellEnd"/>
      <w:r w:rsidRPr="00FF24ED">
        <w:rPr>
          <w:rFonts w:cstheme="minorHAnsi"/>
        </w:rPr>
        <w:t xml:space="preserve">, M. And Rivera, C. (2006) ‘Official Labelling, Criminal Embeddedness, and Subsequent Delinquency’, </w:t>
      </w:r>
      <w:r w:rsidRPr="00FF24ED">
        <w:rPr>
          <w:rFonts w:cstheme="minorHAnsi"/>
          <w:i/>
          <w:iCs/>
        </w:rPr>
        <w:t xml:space="preserve">Journal of Research in Crime and Delinquency, </w:t>
      </w:r>
      <w:r w:rsidRPr="00FF24ED">
        <w:rPr>
          <w:rFonts w:cstheme="minorHAnsi"/>
        </w:rPr>
        <w:t>43(1), pp.67-88. DOI:</w:t>
      </w:r>
      <w:r w:rsidRPr="00FF24ED">
        <w:rPr>
          <w:rFonts w:ascii="Times New Roman" w:eastAsia="Times New Roman" w:hAnsi="Times New Roman" w:cs="Times New Roman"/>
          <w:lang w:eastAsia="en-GB"/>
        </w:rPr>
        <w:t xml:space="preserve"> </w:t>
      </w:r>
      <w:hyperlink r:id="rId5" w:history="1">
        <w:r w:rsidRPr="00FF24ED">
          <w:rPr>
            <w:rStyle w:val="Hyperlink"/>
            <w:rFonts w:cstheme="minorHAnsi"/>
          </w:rPr>
          <w:t>10.1177/0022427805280068</w:t>
        </w:r>
      </w:hyperlink>
      <w:r w:rsidRPr="00FF24ED">
        <w:rPr>
          <w:rFonts w:cstheme="minorHAnsi"/>
        </w:rPr>
        <w:t>.</w:t>
      </w:r>
    </w:p>
    <w:p w14:paraId="2B8D24F9" w14:textId="77777777" w:rsidR="00507EAE" w:rsidRPr="00507EAE" w:rsidRDefault="00507EAE" w:rsidP="00FF24ED">
      <w:pPr>
        <w:ind w:left="360"/>
        <w:rPr>
          <w:rFonts w:cstheme="minorHAnsi"/>
        </w:rPr>
      </w:pPr>
    </w:p>
    <w:p w14:paraId="200E67EB" w14:textId="60D02EB6" w:rsidR="00507EAE" w:rsidRPr="00FF24ED" w:rsidRDefault="00507EAE" w:rsidP="00FF24ED">
      <w:pPr>
        <w:ind w:left="360"/>
        <w:rPr>
          <w:rFonts w:cstheme="minorHAnsi"/>
        </w:rPr>
      </w:pPr>
      <w:proofErr w:type="spellStart"/>
      <w:r w:rsidRPr="00FF24ED">
        <w:rPr>
          <w:rFonts w:cstheme="minorHAnsi"/>
        </w:rPr>
        <w:t>Botchkovar</w:t>
      </w:r>
      <w:proofErr w:type="spellEnd"/>
      <w:r w:rsidRPr="00FF24ED">
        <w:rPr>
          <w:rFonts w:cstheme="minorHAnsi"/>
        </w:rPr>
        <w:t xml:space="preserve">, E. Tittle, C. and </w:t>
      </w:r>
      <w:proofErr w:type="spellStart"/>
      <w:r w:rsidRPr="00FF24ED">
        <w:rPr>
          <w:rFonts w:cstheme="minorHAnsi"/>
        </w:rPr>
        <w:t>Antonaccio</w:t>
      </w:r>
      <w:proofErr w:type="spellEnd"/>
      <w:r w:rsidRPr="00FF24ED">
        <w:rPr>
          <w:rFonts w:cstheme="minorHAnsi"/>
        </w:rPr>
        <w:t xml:space="preserve">, O. (2009) ‘General Strain Theory: Additional Evidence Using Cross Cultural Data’, </w:t>
      </w:r>
      <w:r w:rsidRPr="00FF24ED">
        <w:rPr>
          <w:rFonts w:cstheme="minorHAnsi"/>
          <w:i/>
          <w:iCs/>
        </w:rPr>
        <w:t xml:space="preserve">Criminology, </w:t>
      </w:r>
      <w:r w:rsidRPr="00FF24ED">
        <w:rPr>
          <w:rFonts w:cstheme="minorHAnsi"/>
        </w:rPr>
        <w:t xml:space="preserve">47(1), pp.131-179. DOI: </w:t>
      </w:r>
      <w:hyperlink r:id="rId6" w:tgtFrame="_blank" w:history="1">
        <w:r w:rsidRPr="00FF24ED">
          <w:rPr>
            <w:rStyle w:val="Hyperlink"/>
            <w:rFonts w:cstheme="minorHAnsi"/>
            <w:b/>
            <w:bCs/>
          </w:rPr>
          <w:t>10.1111/j.1745-9125.</w:t>
        </w:r>
        <w:proofErr w:type="gramStart"/>
        <w:r w:rsidRPr="00FF24ED">
          <w:rPr>
            <w:rStyle w:val="Hyperlink"/>
            <w:rFonts w:cstheme="minorHAnsi"/>
            <w:b/>
            <w:bCs/>
          </w:rPr>
          <w:t>2009.00141.x</w:t>
        </w:r>
        <w:proofErr w:type="gramEnd"/>
      </w:hyperlink>
    </w:p>
    <w:p w14:paraId="2D9CE1AF" w14:textId="77777777" w:rsidR="00507EAE" w:rsidRPr="00507EAE" w:rsidRDefault="00507EAE" w:rsidP="00FF24ED">
      <w:pPr>
        <w:ind w:left="360"/>
        <w:rPr>
          <w:rFonts w:cstheme="minorHAnsi"/>
        </w:rPr>
      </w:pPr>
    </w:p>
    <w:p w14:paraId="63B55984" w14:textId="768AC565" w:rsidR="00507EAE" w:rsidRPr="00FF24ED" w:rsidRDefault="00507EAE" w:rsidP="00FF24ED">
      <w:pPr>
        <w:ind w:left="360"/>
        <w:rPr>
          <w:rFonts w:cstheme="minorHAnsi"/>
        </w:rPr>
      </w:pPr>
      <w:proofErr w:type="spellStart"/>
      <w:r w:rsidRPr="00FF24ED">
        <w:rPr>
          <w:rFonts w:cstheme="minorHAnsi"/>
        </w:rPr>
        <w:t>Broidy</w:t>
      </w:r>
      <w:proofErr w:type="spellEnd"/>
      <w:r w:rsidRPr="00FF24ED">
        <w:rPr>
          <w:rFonts w:cstheme="minorHAnsi"/>
        </w:rPr>
        <w:t xml:space="preserve">, L. (2001) ‘A Test of General Strain Theory’, </w:t>
      </w:r>
      <w:r w:rsidRPr="00FF24ED">
        <w:rPr>
          <w:rFonts w:cstheme="minorHAnsi"/>
          <w:i/>
          <w:iCs/>
        </w:rPr>
        <w:t xml:space="preserve">Criminology, </w:t>
      </w:r>
      <w:r w:rsidRPr="00FF24ED">
        <w:rPr>
          <w:rFonts w:cstheme="minorHAnsi"/>
        </w:rPr>
        <w:t>39(1), pp.9-36. DOI:</w:t>
      </w:r>
      <w:r w:rsidRPr="00FF24ED">
        <w:rPr>
          <w:rFonts w:ascii="Times New Roman" w:eastAsia="Times New Roman" w:hAnsi="Times New Roman" w:cs="Times New Roman"/>
          <w:lang w:eastAsia="en-GB"/>
        </w:rPr>
        <w:t xml:space="preserve"> </w:t>
      </w:r>
      <w:hyperlink r:id="rId7" w:tgtFrame="_blank" w:history="1">
        <w:r w:rsidRPr="00FF24ED">
          <w:rPr>
            <w:rStyle w:val="Hyperlink"/>
            <w:rFonts w:cstheme="minorHAnsi"/>
            <w:b/>
            <w:bCs/>
          </w:rPr>
          <w:t>10.1111/j.1745-</w:t>
        </w:r>
        <w:r w:rsidRPr="00FF24ED">
          <w:rPr>
            <w:rStyle w:val="Hyperlink"/>
            <w:rFonts w:cstheme="minorHAnsi"/>
            <w:b/>
            <w:bCs/>
          </w:rPr>
          <w:t>9125. 2001.tb</w:t>
        </w:r>
        <w:r w:rsidRPr="00FF24ED">
          <w:rPr>
            <w:rStyle w:val="Hyperlink"/>
            <w:rFonts w:cstheme="minorHAnsi"/>
            <w:b/>
            <w:bCs/>
          </w:rPr>
          <w:t>00915.x</w:t>
        </w:r>
      </w:hyperlink>
    </w:p>
    <w:p w14:paraId="44C3B731" w14:textId="77777777" w:rsidR="00507EAE" w:rsidRPr="00507EAE" w:rsidRDefault="00507EAE" w:rsidP="00FF24ED">
      <w:pPr>
        <w:ind w:left="360"/>
        <w:rPr>
          <w:rFonts w:cstheme="minorHAnsi"/>
        </w:rPr>
      </w:pPr>
    </w:p>
    <w:p w14:paraId="3F38112B" w14:textId="2357A440" w:rsidR="00507EAE" w:rsidRPr="00FF24ED" w:rsidRDefault="00507EAE" w:rsidP="00FF24ED">
      <w:pPr>
        <w:ind w:left="360"/>
        <w:rPr>
          <w:rFonts w:cstheme="minorHAnsi"/>
        </w:rPr>
      </w:pPr>
      <w:proofErr w:type="spellStart"/>
      <w:r w:rsidRPr="00FF24ED">
        <w:rPr>
          <w:rFonts w:cstheme="minorHAnsi"/>
        </w:rPr>
        <w:t>Capowich</w:t>
      </w:r>
      <w:proofErr w:type="spellEnd"/>
      <w:r w:rsidRPr="00FF24ED">
        <w:rPr>
          <w:rFonts w:cstheme="minorHAnsi"/>
        </w:rPr>
        <w:t xml:space="preserve">, G. </w:t>
      </w:r>
      <w:proofErr w:type="spellStart"/>
      <w:r w:rsidRPr="00FF24ED">
        <w:rPr>
          <w:rFonts w:cstheme="minorHAnsi"/>
        </w:rPr>
        <w:t>Maxerolle</w:t>
      </w:r>
      <w:proofErr w:type="spellEnd"/>
      <w:r w:rsidRPr="00FF24ED">
        <w:rPr>
          <w:rFonts w:cstheme="minorHAnsi"/>
        </w:rPr>
        <w:t xml:space="preserve">, P. and </w:t>
      </w:r>
      <w:proofErr w:type="spellStart"/>
      <w:r w:rsidRPr="00FF24ED">
        <w:rPr>
          <w:rFonts w:cstheme="minorHAnsi"/>
        </w:rPr>
        <w:t>Piquro</w:t>
      </w:r>
      <w:proofErr w:type="spellEnd"/>
      <w:r w:rsidRPr="00FF24ED">
        <w:rPr>
          <w:rFonts w:cstheme="minorHAnsi"/>
        </w:rPr>
        <w:t xml:space="preserve">, A. (2001) ‘General Strain Theory, Situational Anger, and Social Networks </w:t>
      </w:r>
      <w:proofErr w:type="gramStart"/>
      <w:r w:rsidRPr="00FF24ED">
        <w:rPr>
          <w:rFonts w:cstheme="minorHAnsi"/>
        </w:rPr>
        <w:t>An</w:t>
      </w:r>
      <w:proofErr w:type="gramEnd"/>
      <w:r w:rsidRPr="00FF24ED">
        <w:rPr>
          <w:rFonts w:cstheme="minorHAnsi"/>
        </w:rPr>
        <w:t xml:space="preserve"> Assessment of Conditioning Influences’, </w:t>
      </w:r>
      <w:r w:rsidRPr="00FF24ED">
        <w:rPr>
          <w:rFonts w:cstheme="minorHAnsi"/>
          <w:i/>
          <w:iCs/>
        </w:rPr>
        <w:t xml:space="preserve">Journal of Criminal Justice, </w:t>
      </w:r>
      <w:r w:rsidRPr="00FF24ED">
        <w:rPr>
          <w:rFonts w:cstheme="minorHAnsi"/>
        </w:rPr>
        <w:t>29(5), pp.445-461. DOI:</w:t>
      </w:r>
      <w:r w:rsidRPr="00FF24ED">
        <w:rPr>
          <w:rFonts w:ascii="Times New Roman" w:eastAsia="Times New Roman" w:hAnsi="Times New Roman" w:cs="Times New Roman"/>
          <w:lang w:eastAsia="en-GB"/>
        </w:rPr>
        <w:t xml:space="preserve"> </w:t>
      </w:r>
      <w:hyperlink r:id="rId8" w:tgtFrame="_blank" w:tooltip="Persistent link using digital object identifier" w:history="1">
        <w:r w:rsidRPr="00FF24ED">
          <w:rPr>
            <w:rStyle w:val="Hyperlink"/>
            <w:rFonts w:cstheme="minorHAnsi"/>
          </w:rPr>
          <w:t>10.1016/S0047-2352(01)00101-5</w:t>
        </w:r>
      </w:hyperlink>
    </w:p>
    <w:p w14:paraId="7444EFBB" w14:textId="77777777" w:rsidR="00507EAE" w:rsidRPr="00507EAE" w:rsidRDefault="00507EAE" w:rsidP="00FF24ED">
      <w:pPr>
        <w:ind w:left="360"/>
        <w:rPr>
          <w:rFonts w:cstheme="minorHAnsi"/>
        </w:rPr>
      </w:pPr>
    </w:p>
    <w:p w14:paraId="64F76DE5" w14:textId="13ADD9E3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Cohen, G. </w:t>
      </w:r>
      <w:proofErr w:type="spellStart"/>
      <w:r w:rsidRPr="00FF24ED">
        <w:rPr>
          <w:rFonts w:cstheme="minorHAnsi"/>
        </w:rPr>
        <w:t>Adashi</w:t>
      </w:r>
      <w:proofErr w:type="spellEnd"/>
      <w:r w:rsidRPr="00FF24ED">
        <w:rPr>
          <w:rFonts w:cstheme="minorHAnsi"/>
        </w:rPr>
        <w:t xml:space="preserve">, E. and </w:t>
      </w:r>
      <w:proofErr w:type="spellStart"/>
      <w:r w:rsidRPr="00FF24ED">
        <w:rPr>
          <w:rFonts w:cstheme="minorHAnsi"/>
        </w:rPr>
        <w:t>Gostin</w:t>
      </w:r>
      <w:proofErr w:type="spellEnd"/>
      <w:r w:rsidRPr="00FF24ED">
        <w:rPr>
          <w:rFonts w:cstheme="minorHAnsi"/>
        </w:rPr>
        <w:t xml:space="preserve">, L. (2021) ‘The Supreme Court, the Texas Abortion Law (SB8) and the Beginning of the End of Roe v Wade?’, </w:t>
      </w:r>
      <w:r w:rsidRPr="00FF24ED">
        <w:rPr>
          <w:rFonts w:cstheme="minorHAnsi"/>
          <w:i/>
          <w:iCs/>
        </w:rPr>
        <w:t xml:space="preserve">JAMA, </w:t>
      </w:r>
      <w:r w:rsidRPr="00FF24ED">
        <w:rPr>
          <w:rFonts w:cstheme="minorHAnsi"/>
        </w:rPr>
        <w:t>326(15), pp.1473-1474. DOI</w:t>
      </w:r>
      <w:r w:rsidRPr="00FF24ED">
        <w:rPr>
          <w:rFonts w:cstheme="minorHAnsi"/>
        </w:rPr>
        <w:t>:10.1001/jama.2021.17639</w:t>
      </w:r>
      <w:r w:rsidRPr="00FF24ED">
        <w:rPr>
          <w:rFonts w:cstheme="minorHAnsi"/>
        </w:rPr>
        <w:t>.</w:t>
      </w:r>
    </w:p>
    <w:p w14:paraId="0F8CA42C" w14:textId="77777777" w:rsidR="00507EAE" w:rsidRPr="00507EAE" w:rsidRDefault="00507EAE" w:rsidP="00FF24ED">
      <w:pPr>
        <w:ind w:left="360"/>
        <w:rPr>
          <w:rFonts w:cstheme="minorHAnsi"/>
        </w:rPr>
      </w:pPr>
    </w:p>
    <w:p w14:paraId="033FCAC7" w14:textId="2182E322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Fitzgerald, C.S. (2011) ‘Historical Theories of Crime and Delinquency’, </w:t>
      </w:r>
      <w:r w:rsidRPr="00FF24ED">
        <w:rPr>
          <w:rFonts w:cstheme="minorHAnsi"/>
          <w:i/>
          <w:iCs/>
        </w:rPr>
        <w:t xml:space="preserve">Journal of Human Behaviour in the Social Environment, </w:t>
      </w:r>
      <w:r w:rsidRPr="00FF24ED">
        <w:rPr>
          <w:rFonts w:cstheme="minorHAnsi"/>
        </w:rPr>
        <w:t xml:space="preserve">21(3), pp.297-311. DOI: </w:t>
      </w:r>
      <w:r w:rsidRPr="00FF24ED">
        <w:rPr>
          <w:rFonts w:cstheme="minorHAnsi"/>
        </w:rPr>
        <w:t>10.1080/10911359.2011.564954.</w:t>
      </w:r>
    </w:p>
    <w:p w14:paraId="35505D34" w14:textId="77777777" w:rsidR="00507EAE" w:rsidRPr="00507EAE" w:rsidRDefault="00507EAE" w:rsidP="00FF24ED">
      <w:pPr>
        <w:ind w:left="360"/>
        <w:rPr>
          <w:rFonts w:cstheme="minorHAnsi"/>
        </w:rPr>
      </w:pPr>
    </w:p>
    <w:p w14:paraId="4152ECF0" w14:textId="6714632A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Friedman, L. (1993) </w:t>
      </w:r>
      <w:r w:rsidRPr="00FF24ED">
        <w:rPr>
          <w:rFonts w:cstheme="minorHAnsi"/>
          <w:i/>
          <w:iCs/>
        </w:rPr>
        <w:t xml:space="preserve">Crime and Punishment in American History. </w:t>
      </w:r>
      <w:r w:rsidRPr="00FF24ED">
        <w:rPr>
          <w:rFonts w:cstheme="minorHAnsi"/>
        </w:rPr>
        <w:t xml:space="preserve">New York: Basic Books. </w:t>
      </w:r>
    </w:p>
    <w:p w14:paraId="142D22D8" w14:textId="77777777" w:rsidR="00507EAE" w:rsidRPr="00507EAE" w:rsidRDefault="00507EAE" w:rsidP="00FF24ED">
      <w:pPr>
        <w:ind w:left="360"/>
        <w:rPr>
          <w:rFonts w:cstheme="minorHAnsi"/>
        </w:rPr>
      </w:pPr>
    </w:p>
    <w:p w14:paraId="25589952" w14:textId="229E711E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Hale, C. et al. (2013) </w:t>
      </w:r>
      <w:r w:rsidRPr="00FF24ED">
        <w:rPr>
          <w:rFonts w:cstheme="minorHAnsi"/>
          <w:i/>
          <w:iCs/>
        </w:rPr>
        <w:t xml:space="preserve">Criminology. </w:t>
      </w:r>
      <w:r w:rsidRPr="00FF24ED">
        <w:rPr>
          <w:rFonts w:cstheme="minorHAnsi"/>
        </w:rPr>
        <w:t>3</w:t>
      </w:r>
      <w:r w:rsidRPr="00FF24ED">
        <w:rPr>
          <w:rFonts w:cstheme="minorHAnsi"/>
          <w:vertAlign w:val="superscript"/>
        </w:rPr>
        <w:t>rd</w:t>
      </w:r>
      <w:r w:rsidRPr="00FF24ED">
        <w:rPr>
          <w:rFonts w:cstheme="minorHAnsi"/>
        </w:rPr>
        <w:t xml:space="preserve"> </w:t>
      </w:r>
      <w:proofErr w:type="spellStart"/>
      <w:r w:rsidRPr="00FF24ED">
        <w:rPr>
          <w:rFonts w:cstheme="minorHAnsi"/>
        </w:rPr>
        <w:t>edn</w:t>
      </w:r>
      <w:proofErr w:type="spellEnd"/>
      <w:r w:rsidRPr="00FF24ED">
        <w:rPr>
          <w:rFonts w:cstheme="minorHAnsi"/>
        </w:rPr>
        <w:t xml:space="preserve">. Oxford: Oxford University Press. </w:t>
      </w:r>
    </w:p>
    <w:p w14:paraId="33664BAA" w14:textId="77777777" w:rsidR="00507EAE" w:rsidRPr="00507EAE" w:rsidRDefault="00507EAE" w:rsidP="00FF24ED">
      <w:pPr>
        <w:ind w:left="360"/>
        <w:rPr>
          <w:rFonts w:cstheme="minorHAnsi"/>
        </w:rPr>
      </w:pPr>
    </w:p>
    <w:p w14:paraId="52FE9902" w14:textId="11B2D9CF" w:rsidR="00507EAE" w:rsidRDefault="00507EAE" w:rsidP="00FF24ED">
      <w:pPr>
        <w:ind w:left="360"/>
      </w:pPr>
      <w:r>
        <w:t xml:space="preserve">Henderson, A. Harmon, S. and Newman, H. (2016) ‘The Price Mothers Pay, Even When They Are Not Buying It: Mental Heath Consequences </w:t>
      </w:r>
      <w:proofErr w:type="gramStart"/>
      <w:r>
        <w:t>Of</w:t>
      </w:r>
      <w:proofErr w:type="gramEnd"/>
      <w:r>
        <w:t xml:space="preserve"> Idealised Motherhood’, </w:t>
      </w:r>
      <w:r w:rsidRPr="00FF24ED">
        <w:rPr>
          <w:i/>
          <w:iCs/>
        </w:rPr>
        <w:t xml:space="preserve">Sex Roles, </w:t>
      </w:r>
      <w:r>
        <w:t>74, pp.512-526. DOI:</w:t>
      </w:r>
      <w:r w:rsidRPr="00FF24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5D3D47">
        <w:t>10.1007/s11199-015-0534-5</w:t>
      </w:r>
      <w:r>
        <w:t>.</w:t>
      </w:r>
    </w:p>
    <w:p w14:paraId="7BA20550" w14:textId="77777777" w:rsidR="00507EAE" w:rsidRPr="005D3D47" w:rsidRDefault="00507EAE" w:rsidP="00FF24ED">
      <w:pPr>
        <w:ind w:left="360"/>
      </w:pPr>
    </w:p>
    <w:p w14:paraId="0C40C0BD" w14:textId="4C9B474C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Hendricks, P. (2018) ‘Even if the Foetus is Not a Person, Abortion is Immoral: The Impairment Argument’, </w:t>
      </w:r>
      <w:r w:rsidRPr="00FF24ED">
        <w:rPr>
          <w:rFonts w:cstheme="minorHAnsi"/>
          <w:i/>
          <w:iCs/>
        </w:rPr>
        <w:t xml:space="preserve">Bioethics, </w:t>
      </w:r>
      <w:r w:rsidRPr="00FF24ED">
        <w:rPr>
          <w:rFonts w:cstheme="minorHAnsi"/>
        </w:rPr>
        <w:t xml:space="preserve">33(2), pp.245-253. DOI: </w:t>
      </w:r>
      <w:r w:rsidRPr="00FF24ED">
        <w:rPr>
          <w:rFonts w:cstheme="minorHAnsi"/>
        </w:rPr>
        <w:t>10.1111/bioe.12533</w:t>
      </w:r>
      <w:r w:rsidRPr="00FF24ED">
        <w:rPr>
          <w:rFonts w:cstheme="minorHAnsi"/>
        </w:rPr>
        <w:t>.</w:t>
      </w:r>
    </w:p>
    <w:p w14:paraId="7C0B0C0B" w14:textId="77777777" w:rsidR="00507EAE" w:rsidRPr="00507EAE" w:rsidRDefault="00507EAE" w:rsidP="00FF24ED">
      <w:pPr>
        <w:ind w:left="360"/>
        <w:rPr>
          <w:rFonts w:cstheme="minorHAnsi"/>
        </w:rPr>
      </w:pPr>
    </w:p>
    <w:p w14:paraId="2B2ED26D" w14:textId="4ED9EF3E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Hund, J. (1985) ‘Insiders and Outsiders Models of Deviance and Jurisprudence’, </w:t>
      </w:r>
      <w:r w:rsidRPr="00FF24ED">
        <w:rPr>
          <w:rFonts w:cstheme="minorHAnsi"/>
          <w:i/>
          <w:iCs/>
        </w:rPr>
        <w:t xml:space="preserve">Philosophy of the Social Sciences, </w:t>
      </w:r>
      <w:r w:rsidRPr="00FF24ED">
        <w:rPr>
          <w:rFonts w:cstheme="minorHAnsi"/>
        </w:rPr>
        <w:t>15(1), pp.35-44. DOI:</w:t>
      </w:r>
      <w:r w:rsidRPr="00FF24ED">
        <w:rPr>
          <w:rFonts w:ascii="Times New Roman" w:eastAsia="Times New Roman" w:hAnsi="Times New Roman" w:cs="Times New Roman"/>
          <w:lang w:eastAsia="en-GB"/>
        </w:rPr>
        <w:t xml:space="preserve"> </w:t>
      </w:r>
      <w:hyperlink r:id="rId9" w:history="1">
        <w:r w:rsidRPr="00FF24ED">
          <w:rPr>
            <w:rStyle w:val="Hyperlink"/>
            <w:rFonts w:cstheme="minorHAnsi"/>
          </w:rPr>
          <w:t>10.1177/004839318501500103</w:t>
        </w:r>
      </w:hyperlink>
      <w:r w:rsidRPr="00FF24ED">
        <w:rPr>
          <w:rFonts w:cstheme="minorHAnsi"/>
        </w:rPr>
        <w:t>.</w:t>
      </w:r>
    </w:p>
    <w:p w14:paraId="19BBF112" w14:textId="77777777" w:rsidR="00507EAE" w:rsidRPr="00507EAE" w:rsidRDefault="00507EAE" w:rsidP="00FF24ED">
      <w:pPr>
        <w:ind w:left="360"/>
        <w:rPr>
          <w:rFonts w:cstheme="minorHAnsi"/>
        </w:rPr>
      </w:pPr>
    </w:p>
    <w:p w14:paraId="3E4B692D" w14:textId="5A1C0752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James, K. Bunch, J. and Clay-Warner, J. (2015) ‘Perceived Injustice and School Violence: An Application of General Strain Theory’, </w:t>
      </w:r>
      <w:r w:rsidRPr="00FF24ED">
        <w:rPr>
          <w:rFonts w:cstheme="minorHAnsi"/>
          <w:i/>
          <w:iCs/>
        </w:rPr>
        <w:t>Youth Violence and Juvenile Justice,</w:t>
      </w:r>
      <w:r w:rsidRPr="00FF24ED">
        <w:rPr>
          <w:rFonts w:cstheme="minorHAnsi"/>
        </w:rPr>
        <w:t xml:space="preserve"> 13(2), pp.169189. DOI:</w:t>
      </w:r>
      <w:r w:rsidRPr="00FF24ED">
        <w:rPr>
          <w:rFonts w:cstheme="minorHAnsi"/>
        </w:rPr>
        <w:t>10.1177/1541204014521251</w:t>
      </w:r>
      <w:r w:rsidRPr="00FF24ED">
        <w:rPr>
          <w:rFonts w:cstheme="minorHAnsi"/>
        </w:rPr>
        <w:t>.</w:t>
      </w:r>
    </w:p>
    <w:p w14:paraId="0051AF15" w14:textId="77777777" w:rsidR="00507EAE" w:rsidRPr="00507EAE" w:rsidRDefault="00507EAE" w:rsidP="00FF24ED">
      <w:pPr>
        <w:ind w:left="360"/>
        <w:rPr>
          <w:rFonts w:cstheme="minorHAnsi"/>
        </w:rPr>
      </w:pPr>
    </w:p>
    <w:p w14:paraId="6E0ECB6C" w14:textId="58B66762" w:rsidR="00507EAE" w:rsidRPr="00FF24ED" w:rsidRDefault="00507EAE" w:rsidP="00FF24ED">
      <w:pPr>
        <w:ind w:left="360"/>
        <w:rPr>
          <w:rFonts w:cstheme="minorHAnsi"/>
        </w:rPr>
      </w:pPr>
      <w:proofErr w:type="spellStart"/>
      <w:r w:rsidRPr="00FF24ED">
        <w:rPr>
          <w:rFonts w:cstheme="minorHAnsi"/>
        </w:rPr>
        <w:t>Jelen</w:t>
      </w:r>
      <w:proofErr w:type="spellEnd"/>
      <w:r w:rsidRPr="00FF24ED">
        <w:rPr>
          <w:rFonts w:cstheme="minorHAnsi"/>
        </w:rPr>
        <w:t xml:space="preserve">, T. and Wilcox, C. (2003) ‘Causes and Consequences of Public Attitudes Toward Abortion: A Review and Research Agender’, </w:t>
      </w:r>
      <w:r w:rsidRPr="00FF24ED">
        <w:rPr>
          <w:rFonts w:cstheme="minorHAnsi"/>
          <w:i/>
          <w:iCs/>
        </w:rPr>
        <w:t xml:space="preserve">Political Research Quarterly, </w:t>
      </w:r>
      <w:r w:rsidRPr="00FF24ED">
        <w:rPr>
          <w:rFonts w:cstheme="minorHAnsi"/>
        </w:rPr>
        <w:t>56(4), pp.489-500. DOI:</w:t>
      </w:r>
      <w:r w:rsidRPr="00FF24ED">
        <w:rPr>
          <w:rFonts w:ascii="Times New Roman" w:eastAsia="Times New Roman" w:hAnsi="Times New Roman" w:cs="Times New Roman"/>
          <w:lang w:eastAsia="en-GB"/>
        </w:rPr>
        <w:t xml:space="preserve"> </w:t>
      </w:r>
      <w:hyperlink r:id="rId10" w:history="1">
        <w:r w:rsidRPr="00FF24ED">
          <w:rPr>
            <w:rStyle w:val="Hyperlink"/>
            <w:rFonts w:cstheme="minorHAnsi"/>
          </w:rPr>
          <w:t>10.1177/106591290305600410</w:t>
        </w:r>
      </w:hyperlink>
      <w:r w:rsidRPr="00FF24ED">
        <w:rPr>
          <w:rFonts w:cstheme="minorHAnsi"/>
        </w:rPr>
        <w:t>.</w:t>
      </w:r>
    </w:p>
    <w:p w14:paraId="68A901A1" w14:textId="77777777" w:rsidR="00507EAE" w:rsidRPr="00507EAE" w:rsidRDefault="00507EAE" w:rsidP="00FF24ED">
      <w:pPr>
        <w:ind w:left="360"/>
        <w:rPr>
          <w:rFonts w:cstheme="minorHAnsi"/>
        </w:rPr>
      </w:pPr>
    </w:p>
    <w:p w14:paraId="489ED38A" w14:textId="36B05C59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Joon Jang, S. (2007) ‘Gender Differences in Strain, Negative Emotions, and Coping Behaviours: A General Strain Theory Approach’, </w:t>
      </w:r>
      <w:r w:rsidRPr="00FF24ED">
        <w:rPr>
          <w:rFonts w:cstheme="minorHAnsi"/>
          <w:i/>
          <w:iCs/>
        </w:rPr>
        <w:t>Justice Quarterly,</w:t>
      </w:r>
      <w:r w:rsidRPr="00FF24ED">
        <w:rPr>
          <w:rFonts w:cstheme="minorHAnsi"/>
        </w:rPr>
        <w:t xml:space="preserve"> 24(3), pp.523-553. DOI: </w:t>
      </w:r>
      <w:r w:rsidRPr="00FF24ED">
        <w:rPr>
          <w:rFonts w:cstheme="minorHAnsi"/>
        </w:rPr>
        <w:t>10.1080/07418820701485486.</w:t>
      </w:r>
    </w:p>
    <w:p w14:paraId="26D39A86" w14:textId="77777777" w:rsidR="00507EAE" w:rsidRPr="00507EAE" w:rsidRDefault="00507EAE" w:rsidP="00FF24ED">
      <w:pPr>
        <w:ind w:left="360"/>
        <w:rPr>
          <w:rFonts w:cstheme="minorHAnsi"/>
        </w:rPr>
      </w:pPr>
    </w:p>
    <w:p w14:paraId="10261ECA" w14:textId="1EDBD881" w:rsidR="00507EAE" w:rsidRPr="00FF24ED" w:rsidRDefault="00507EAE" w:rsidP="00FF24ED">
      <w:pPr>
        <w:ind w:left="360"/>
        <w:rPr>
          <w:rFonts w:cstheme="minorHAnsi"/>
        </w:rPr>
      </w:pPr>
      <w:proofErr w:type="spellStart"/>
      <w:r w:rsidRPr="00FF24ED">
        <w:rPr>
          <w:rFonts w:cstheme="minorHAnsi"/>
        </w:rPr>
        <w:t>Kroska</w:t>
      </w:r>
      <w:proofErr w:type="spellEnd"/>
      <w:r w:rsidRPr="00FF24ED">
        <w:rPr>
          <w:rFonts w:cstheme="minorHAnsi"/>
        </w:rPr>
        <w:t xml:space="preserve">, A. And Harkness, S. (2008) ‘Exploring the Role of Diagnosis in the Modified Labelling Theory of Mental Illness’, </w:t>
      </w:r>
      <w:r w:rsidRPr="00FF24ED">
        <w:rPr>
          <w:rFonts w:cstheme="minorHAnsi"/>
          <w:i/>
          <w:iCs/>
        </w:rPr>
        <w:t xml:space="preserve">Social Psychology Quarterly, </w:t>
      </w:r>
      <w:r w:rsidRPr="00FF24ED">
        <w:rPr>
          <w:rFonts w:cstheme="minorHAnsi"/>
        </w:rPr>
        <w:t xml:space="preserve">71(2), pp.193-208. DOI: </w:t>
      </w:r>
      <w:hyperlink r:id="rId11" w:history="1">
        <w:r w:rsidRPr="00FF24ED">
          <w:rPr>
            <w:rStyle w:val="Hyperlink"/>
            <w:rFonts w:cstheme="minorHAnsi"/>
          </w:rPr>
          <w:t>10.1177/019027250807100207</w:t>
        </w:r>
      </w:hyperlink>
      <w:r w:rsidRPr="00FF24ED">
        <w:rPr>
          <w:rFonts w:cstheme="minorHAnsi"/>
        </w:rPr>
        <w:t>.</w:t>
      </w:r>
    </w:p>
    <w:p w14:paraId="730D8DD3" w14:textId="77777777" w:rsidR="00507EAE" w:rsidRPr="00507EAE" w:rsidRDefault="00507EAE" w:rsidP="00FF24ED">
      <w:pPr>
        <w:ind w:left="360"/>
        <w:rPr>
          <w:rFonts w:cstheme="minorHAnsi"/>
        </w:rPr>
      </w:pPr>
    </w:p>
    <w:p w14:paraId="2177F411" w14:textId="209A00A7" w:rsidR="00507EAE" w:rsidRPr="00FF24ED" w:rsidRDefault="00507EAE" w:rsidP="00FF24ED">
      <w:pPr>
        <w:ind w:left="360"/>
        <w:rPr>
          <w:rFonts w:cstheme="minorHAnsi"/>
        </w:rPr>
      </w:pPr>
      <w:proofErr w:type="spellStart"/>
      <w:r w:rsidRPr="00FF24ED">
        <w:rPr>
          <w:rFonts w:cstheme="minorHAnsi"/>
        </w:rPr>
        <w:t>Liebertz</w:t>
      </w:r>
      <w:proofErr w:type="spellEnd"/>
      <w:r w:rsidRPr="00FF24ED">
        <w:rPr>
          <w:rFonts w:cstheme="minorHAnsi"/>
        </w:rPr>
        <w:t xml:space="preserve">, S. and Bunch, J. (2021) ‘Backfiring Frames: Abortion Politics, Religion and Attitude Resistance’, </w:t>
      </w:r>
      <w:r w:rsidRPr="00FF24ED">
        <w:rPr>
          <w:rFonts w:cstheme="minorHAnsi"/>
          <w:i/>
          <w:iCs/>
        </w:rPr>
        <w:t xml:space="preserve">Politics and Religion, </w:t>
      </w:r>
      <w:r w:rsidRPr="00FF24ED">
        <w:rPr>
          <w:rFonts w:cstheme="minorHAnsi"/>
        </w:rPr>
        <w:t xml:space="preserve">14(3), pp.403-430. DOI: </w:t>
      </w:r>
      <w:r w:rsidRPr="00FF24ED">
        <w:rPr>
          <w:rFonts w:cstheme="minorHAnsi"/>
        </w:rPr>
        <w:t>10.1017/S1755048320000310</w:t>
      </w:r>
      <w:r w:rsidRPr="00FF24ED">
        <w:rPr>
          <w:rFonts w:cstheme="minorHAnsi"/>
        </w:rPr>
        <w:t>.</w:t>
      </w:r>
    </w:p>
    <w:p w14:paraId="4F17D98A" w14:textId="77777777" w:rsidR="00507EAE" w:rsidRPr="00507EAE" w:rsidRDefault="00507EAE" w:rsidP="00FF24ED">
      <w:pPr>
        <w:ind w:left="360"/>
        <w:rPr>
          <w:rFonts w:cstheme="minorHAnsi"/>
        </w:rPr>
      </w:pPr>
    </w:p>
    <w:p w14:paraId="11DAEAFF" w14:textId="610158ED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Link, N. et al. (2016) ‘Can General Strain Theory Help Us Understand Violent Behaviours Among People with Mental Illness?’, </w:t>
      </w:r>
      <w:r w:rsidRPr="00FF24ED">
        <w:rPr>
          <w:rFonts w:cstheme="minorHAnsi"/>
          <w:i/>
          <w:iCs/>
        </w:rPr>
        <w:t xml:space="preserve">Justice Quarterly, </w:t>
      </w:r>
      <w:r w:rsidRPr="00FF24ED">
        <w:rPr>
          <w:rFonts w:cstheme="minorHAnsi"/>
        </w:rPr>
        <w:t>33(4), pp.729-754. DOI:</w:t>
      </w:r>
      <w:r w:rsidRPr="00FF24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24ED">
        <w:rPr>
          <w:rFonts w:cstheme="minorHAnsi"/>
        </w:rPr>
        <w:t>10.1080/07418825.2015.1005656</w:t>
      </w:r>
      <w:r w:rsidRPr="00FF24ED">
        <w:rPr>
          <w:rFonts w:cstheme="minorHAnsi"/>
        </w:rPr>
        <w:t xml:space="preserve">. </w:t>
      </w:r>
    </w:p>
    <w:p w14:paraId="0BBD551E" w14:textId="66F8A983" w:rsidR="00507EAE" w:rsidRPr="00507EAE" w:rsidRDefault="00507EAE" w:rsidP="00FF24ED">
      <w:pPr>
        <w:ind w:left="360"/>
        <w:rPr>
          <w:rFonts w:cstheme="minorHAnsi"/>
        </w:rPr>
      </w:pPr>
    </w:p>
    <w:p w14:paraId="167602AB" w14:textId="6C8BF734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Mason, C. (2019) ‘Opposing Abortion to Protect Women: Transitional Strategy Since the 1990s’, </w:t>
      </w:r>
      <w:r w:rsidRPr="00FF24ED">
        <w:rPr>
          <w:rFonts w:cstheme="minorHAnsi"/>
          <w:i/>
          <w:iCs/>
        </w:rPr>
        <w:t xml:space="preserve">Journal of Women in Culture and Society, </w:t>
      </w:r>
      <w:r w:rsidRPr="00FF24ED">
        <w:rPr>
          <w:rFonts w:cstheme="minorHAnsi"/>
        </w:rPr>
        <w:t xml:space="preserve">44(3), pp.665-692. DOI: </w:t>
      </w:r>
      <w:r w:rsidRPr="00FF24ED">
        <w:rPr>
          <w:rFonts w:cstheme="minorHAnsi"/>
        </w:rPr>
        <w:t>10.1086/701156</w:t>
      </w:r>
      <w:r w:rsidRPr="00FF24ED">
        <w:rPr>
          <w:rFonts w:cstheme="minorHAnsi"/>
        </w:rPr>
        <w:t>.</w:t>
      </w:r>
    </w:p>
    <w:p w14:paraId="50978651" w14:textId="77777777" w:rsidR="00507EAE" w:rsidRPr="00507EAE" w:rsidRDefault="00507EAE" w:rsidP="00FF24ED">
      <w:pPr>
        <w:ind w:left="360"/>
        <w:rPr>
          <w:rFonts w:cstheme="minorHAnsi"/>
        </w:rPr>
      </w:pPr>
    </w:p>
    <w:p w14:paraId="48511F48" w14:textId="6008B827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Maxwell, C. (2002) </w:t>
      </w:r>
      <w:r w:rsidRPr="00FF24ED">
        <w:rPr>
          <w:rFonts w:cstheme="minorHAnsi"/>
          <w:i/>
          <w:iCs/>
        </w:rPr>
        <w:t xml:space="preserve">Pro-Life Activists in America Meaning, Motivation, and Direct Action. </w:t>
      </w:r>
      <w:r w:rsidRPr="00FF24ED">
        <w:rPr>
          <w:rFonts w:cstheme="minorHAnsi"/>
        </w:rPr>
        <w:t xml:space="preserve">Cambridge: Cambridge University Press. </w:t>
      </w:r>
    </w:p>
    <w:p w14:paraId="498D8B21" w14:textId="77777777" w:rsidR="00507EAE" w:rsidRPr="00507EAE" w:rsidRDefault="00507EAE" w:rsidP="00FF24ED">
      <w:pPr>
        <w:ind w:left="360"/>
        <w:rPr>
          <w:rFonts w:cstheme="minorHAnsi"/>
        </w:rPr>
      </w:pPr>
    </w:p>
    <w:p w14:paraId="6B29D9BB" w14:textId="561F5E75" w:rsidR="00507EAE" w:rsidRPr="00FF24ED" w:rsidRDefault="00507EAE" w:rsidP="00FF24ED">
      <w:pPr>
        <w:ind w:left="360"/>
        <w:rPr>
          <w:rFonts w:cstheme="minorHAnsi"/>
        </w:rPr>
      </w:pPr>
      <w:proofErr w:type="spellStart"/>
      <w:r w:rsidRPr="00FF24ED">
        <w:rPr>
          <w:rFonts w:cstheme="minorHAnsi"/>
        </w:rPr>
        <w:t>McCruden</w:t>
      </w:r>
      <w:proofErr w:type="spellEnd"/>
      <w:r w:rsidRPr="00FF24ED">
        <w:rPr>
          <w:rFonts w:cstheme="minorHAnsi"/>
        </w:rPr>
        <w:t xml:space="preserve">, P. (2012) ‘The Moral Object in the “Phoenix Case”: A Defence of Sister McBride’s Decision’, </w:t>
      </w:r>
      <w:r w:rsidRPr="00FF24ED">
        <w:rPr>
          <w:rFonts w:cstheme="minorHAnsi"/>
          <w:i/>
          <w:iCs/>
        </w:rPr>
        <w:t xml:space="preserve">Christian Bioethics, </w:t>
      </w:r>
      <w:r w:rsidRPr="00FF24ED">
        <w:rPr>
          <w:rFonts w:cstheme="minorHAnsi"/>
        </w:rPr>
        <w:t>18(3), pp.301-311. DOI:</w:t>
      </w:r>
      <w:r w:rsidRPr="00FF24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24ED">
        <w:rPr>
          <w:rFonts w:cstheme="minorHAnsi"/>
        </w:rPr>
        <w:t>10.1093/</w:t>
      </w:r>
      <w:proofErr w:type="spellStart"/>
      <w:r w:rsidRPr="00FF24ED">
        <w:rPr>
          <w:rFonts w:cstheme="minorHAnsi"/>
        </w:rPr>
        <w:t>cb</w:t>
      </w:r>
      <w:proofErr w:type="spellEnd"/>
      <w:r w:rsidRPr="00FF24ED">
        <w:rPr>
          <w:rFonts w:cstheme="minorHAnsi"/>
        </w:rPr>
        <w:t>/cbs026</w:t>
      </w:r>
      <w:r w:rsidRPr="00FF24ED">
        <w:rPr>
          <w:rFonts w:cstheme="minorHAnsi"/>
        </w:rPr>
        <w:t xml:space="preserve">. </w:t>
      </w:r>
    </w:p>
    <w:p w14:paraId="0C7796CF" w14:textId="77777777" w:rsidR="00507EAE" w:rsidRPr="00507EAE" w:rsidRDefault="00507EAE" w:rsidP="00FF24ED">
      <w:pPr>
        <w:ind w:left="360"/>
        <w:rPr>
          <w:rFonts w:cstheme="minorHAnsi"/>
        </w:rPr>
      </w:pPr>
    </w:p>
    <w:p w14:paraId="3F92CD33" w14:textId="741566DD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McLellan, F. (2006) ‘Mental Health and Justice: The Case of Andrea Yates’, </w:t>
      </w:r>
      <w:r w:rsidRPr="00FF24ED">
        <w:rPr>
          <w:rFonts w:cstheme="minorHAnsi"/>
          <w:i/>
          <w:iCs/>
        </w:rPr>
        <w:t xml:space="preserve">World Report, </w:t>
      </w:r>
      <w:r w:rsidRPr="00FF24ED">
        <w:rPr>
          <w:rFonts w:cstheme="minorHAnsi"/>
        </w:rPr>
        <w:t xml:space="preserve">368(9551), pp.1951-1954. DOI: </w:t>
      </w:r>
      <w:hyperlink r:id="rId12" w:history="1">
        <w:r w:rsidRPr="00FF24ED">
          <w:rPr>
            <w:rStyle w:val="Hyperlink"/>
            <w:rFonts w:cstheme="minorHAnsi"/>
          </w:rPr>
          <w:t>10.1016/S0140-6736(06)69789-4</w:t>
        </w:r>
      </w:hyperlink>
      <w:r w:rsidRPr="00FF24ED">
        <w:rPr>
          <w:rFonts w:cstheme="minorHAnsi"/>
        </w:rPr>
        <w:t>.</w:t>
      </w:r>
    </w:p>
    <w:p w14:paraId="74181C73" w14:textId="77777777" w:rsidR="00507EAE" w:rsidRPr="00507EAE" w:rsidRDefault="00507EAE" w:rsidP="00FF24ED">
      <w:pPr>
        <w:ind w:left="360"/>
        <w:rPr>
          <w:rFonts w:cstheme="minorHAnsi"/>
        </w:rPr>
      </w:pPr>
    </w:p>
    <w:p w14:paraId="7DD6F783" w14:textId="0F359CE1" w:rsidR="00507EAE" w:rsidRDefault="00507EAE" w:rsidP="00FF24ED">
      <w:pPr>
        <w:ind w:left="360"/>
      </w:pPr>
      <w:r>
        <w:t>Menconi, M. (2018) ‘About Abortion: Terminating Pregnancy in Twenty First-Century America, by Carol Sanger’, Women’s</w:t>
      </w:r>
      <w:r w:rsidRPr="00FF24ED">
        <w:rPr>
          <w:i/>
          <w:iCs/>
        </w:rPr>
        <w:t xml:space="preserve"> Studies, </w:t>
      </w:r>
      <w:r w:rsidRPr="005D3D47">
        <w:t>47(1),</w:t>
      </w:r>
      <w:r>
        <w:t xml:space="preserve"> pp.108-110. DOI:</w:t>
      </w:r>
      <w:r w:rsidRPr="005D3D47">
        <w:t>10.1080/00497878.2017.1406359</w:t>
      </w:r>
      <w:r>
        <w:t>.</w:t>
      </w:r>
    </w:p>
    <w:p w14:paraId="30ED006A" w14:textId="77777777" w:rsidR="00507EAE" w:rsidRDefault="00507EAE" w:rsidP="00FF24ED">
      <w:pPr>
        <w:ind w:left="360"/>
      </w:pPr>
    </w:p>
    <w:p w14:paraId="3AE26290" w14:textId="16D02A53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lastRenderedPageBreak/>
        <w:t xml:space="preserve">Murphy, D. and Robinson, M. (2008) ‘The Maximiser: Clarifying Merton’s Theories of Anomie and Strain’, </w:t>
      </w:r>
      <w:r w:rsidRPr="00FF24ED">
        <w:rPr>
          <w:rFonts w:cstheme="minorHAnsi"/>
          <w:i/>
          <w:iCs/>
        </w:rPr>
        <w:t xml:space="preserve">Theoretical Criminology, </w:t>
      </w:r>
      <w:r w:rsidRPr="00FF24ED">
        <w:rPr>
          <w:rFonts w:cstheme="minorHAnsi"/>
        </w:rPr>
        <w:t>12(4), pp.501-521. DOI:</w:t>
      </w:r>
      <w:r w:rsidRPr="00FF24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24ED">
        <w:rPr>
          <w:rFonts w:cstheme="minorHAnsi"/>
        </w:rPr>
        <w:t>10.1177/1362480608097154</w:t>
      </w:r>
      <w:r w:rsidRPr="00FF24ED">
        <w:rPr>
          <w:rFonts w:cstheme="minorHAnsi"/>
        </w:rPr>
        <w:t xml:space="preserve">. </w:t>
      </w:r>
    </w:p>
    <w:p w14:paraId="4AF469AD" w14:textId="77777777" w:rsidR="00507EAE" w:rsidRPr="00507EAE" w:rsidRDefault="00507EAE" w:rsidP="00FF24ED">
      <w:pPr>
        <w:ind w:left="360"/>
        <w:rPr>
          <w:rFonts w:cstheme="minorHAnsi"/>
        </w:rPr>
      </w:pPr>
    </w:p>
    <w:p w14:paraId="19EBFF76" w14:textId="59B98B61" w:rsidR="00507EAE" w:rsidRPr="00FF24ED" w:rsidRDefault="00507EAE" w:rsidP="00FF24ED">
      <w:pPr>
        <w:ind w:left="360"/>
        <w:rPr>
          <w:rFonts w:cstheme="minorHAnsi"/>
        </w:rPr>
      </w:pPr>
      <w:proofErr w:type="spellStart"/>
      <w:r w:rsidRPr="00FF24ED">
        <w:rPr>
          <w:rFonts w:cstheme="minorHAnsi"/>
        </w:rPr>
        <w:t>Newart</w:t>
      </w:r>
      <w:proofErr w:type="spellEnd"/>
      <w:r w:rsidRPr="00FF24ED">
        <w:rPr>
          <w:rFonts w:cstheme="minorHAnsi"/>
        </w:rPr>
        <w:t xml:space="preserve">, T. (2005) ‘A Review of: “Rebecca Eckler. </w:t>
      </w:r>
      <w:r w:rsidRPr="00FF24ED">
        <w:rPr>
          <w:rFonts w:cstheme="minorHAnsi"/>
          <w:i/>
          <w:iCs/>
        </w:rPr>
        <w:t>Knocked Up: Confessions of a Hip Mother-To-Be.</w:t>
      </w:r>
      <w:r w:rsidRPr="00FF24ED">
        <w:rPr>
          <w:rFonts w:cstheme="minorHAnsi"/>
        </w:rPr>
        <w:t xml:space="preserve"> New York: Random House, 2004. Judith Warner. </w:t>
      </w:r>
      <w:r w:rsidRPr="00FF24ED">
        <w:rPr>
          <w:rFonts w:cstheme="minorHAnsi"/>
          <w:i/>
          <w:iCs/>
        </w:rPr>
        <w:t>Prefect Madness: Motherhood in the Age of Anxiety</w:t>
      </w:r>
      <w:r w:rsidRPr="00FF24ED">
        <w:rPr>
          <w:rFonts w:cstheme="minorHAnsi"/>
        </w:rPr>
        <w:t>. New York: Riverhead Books, 2005.”’, 34(8), pp.701-704. DOI:</w:t>
      </w:r>
      <w:r w:rsidRPr="00FF24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24ED">
        <w:rPr>
          <w:rFonts w:cstheme="minorHAnsi"/>
        </w:rPr>
        <w:t>10.1080/00497870500359738</w:t>
      </w:r>
      <w:r w:rsidRPr="00FF24ED">
        <w:rPr>
          <w:rFonts w:cstheme="minorHAnsi"/>
        </w:rPr>
        <w:t>.</w:t>
      </w:r>
    </w:p>
    <w:p w14:paraId="3E24EAB2" w14:textId="77777777" w:rsidR="00507EAE" w:rsidRPr="00507EAE" w:rsidRDefault="00507EAE" w:rsidP="00FF24ED">
      <w:pPr>
        <w:ind w:left="360"/>
        <w:rPr>
          <w:rFonts w:cstheme="minorHAnsi"/>
        </w:rPr>
      </w:pPr>
    </w:p>
    <w:p w14:paraId="0DB420D8" w14:textId="294C7C11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Newburn, T. (2017) </w:t>
      </w:r>
      <w:r w:rsidRPr="00FF24ED">
        <w:rPr>
          <w:rFonts w:cstheme="minorHAnsi"/>
          <w:i/>
          <w:iCs/>
        </w:rPr>
        <w:t xml:space="preserve">Criminology. </w:t>
      </w:r>
      <w:r w:rsidRPr="00FF24ED">
        <w:rPr>
          <w:rFonts w:cstheme="minorHAnsi"/>
        </w:rPr>
        <w:t>3</w:t>
      </w:r>
      <w:r w:rsidRPr="00FF24ED">
        <w:rPr>
          <w:rFonts w:cstheme="minorHAnsi"/>
          <w:vertAlign w:val="superscript"/>
        </w:rPr>
        <w:t>rd</w:t>
      </w:r>
      <w:r w:rsidRPr="00FF24ED">
        <w:rPr>
          <w:rFonts w:cstheme="minorHAnsi"/>
        </w:rPr>
        <w:t xml:space="preserve"> </w:t>
      </w:r>
      <w:proofErr w:type="spellStart"/>
      <w:r w:rsidRPr="00FF24ED">
        <w:rPr>
          <w:rFonts w:cstheme="minorHAnsi"/>
        </w:rPr>
        <w:t>edn</w:t>
      </w:r>
      <w:proofErr w:type="spellEnd"/>
      <w:r w:rsidRPr="00FF24ED">
        <w:rPr>
          <w:rFonts w:cstheme="minorHAnsi"/>
        </w:rPr>
        <w:t xml:space="preserve">. New York: Routledge. </w:t>
      </w:r>
    </w:p>
    <w:p w14:paraId="76406400" w14:textId="77777777" w:rsidR="00507EAE" w:rsidRPr="00507EAE" w:rsidRDefault="00507EAE" w:rsidP="00FF24ED">
      <w:pPr>
        <w:ind w:left="360"/>
        <w:rPr>
          <w:rFonts w:cstheme="minorHAnsi"/>
        </w:rPr>
      </w:pPr>
    </w:p>
    <w:p w14:paraId="525CC32D" w14:textId="1F494D50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Planned Parenthood Centre for Choice. (2022) </w:t>
      </w:r>
      <w:r w:rsidRPr="00FF24ED">
        <w:rPr>
          <w:rFonts w:cstheme="minorHAnsi"/>
          <w:i/>
          <w:iCs/>
        </w:rPr>
        <w:t xml:space="preserve">Texas Abortion Laws. </w:t>
      </w:r>
      <w:r w:rsidRPr="00FF24ED">
        <w:rPr>
          <w:rFonts w:cstheme="minorHAnsi"/>
        </w:rPr>
        <w:t xml:space="preserve">Available at: </w:t>
      </w:r>
      <w:hyperlink r:id="rId13" w:history="1">
        <w:r w:rsidRPr="00FF24ED">
          <w:rPr>
            <w:rStyle w:val="Hyperlink"/>
            <w:rFonts w:cstheme="minorHAnsi"/>
          </w:rPr>
          <w:t>https://www.plannedparenthood.org/planned-parenthood-center-for-choice/texas-abortion-laws</w:t>
        </w:r>
      </w:hyperlink>
      <w:r w:rsidRPr="00FF24ED">
        <w:rPr>
          <w:rFonts w:cstheme="minorHAnsi"/>
        </w:rPr>
        <w:t xml:space="preserve"> (Accessed: 28</w:t>
      </w:r>
      <w:r w:rsidRPr="00FF24ED">
        <w:rPr>
          <w:rFonts w:cstheme="minorHAnsi"/>
          <w:vertAlign w:val="superscript"/>
        </w:rPr>
        <w:t>th</w:t>
      </w:r>
      <w:r w:rsidRPr="00FF24ED">
        <w:rPr>
          <w:rFonts w:cstheme="minorHAnsi"/>
        </w:rPr>
        <w:t xml:space="preserve"> February 2022). </w:t>
      </w:r>
    </w:p>
    <w:p w14:paraId="5A27AC89" w14:textId="77777777" w:rsidR="00507EAE" w:rsidRPr="00507EAE" w:rsidRDefault="00507EAE" w:rsidP="00FF24ED">
      <w:pPr>
        <w:ind w:left="360"/>
        <w:rPr>
          <w:rFonts w:cstheme="minorHAnsi"/>
        </w:rPr>
      </w:pPr>
    </w:p>
    <w:p w14:paraId="4BB884D7" w14:textId="521A17DA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Resnick, M. et al. (1997) ‘Protecting Adolescents from Harm Findings from the National Longitudinal Study on Adolescent Health’, </w:t>
      </w:r>
      <w:r w:rsidRPr="00FF24ED">
        <w:rPr>
          <w:rFonts w:cstheme="minorHAnsi"/>
          <w:i/>
          <w:iCs/>
        </w:rPr>
        <w:t xml:space="preserve">JAMA, </w:t>
      </w:r>
      <w:r w:rsidRPr="00FF24ED">
        <w:rPr>
          <w:rFonts w:cstheme="minorHAnsi"/>
        </w:rPr>
        <w:t>278(10), pp. 823-832. DOI:</w:t>
      </w:r>
      <w:r w:rsidRPr="00FF24ED">
        <w:rPr>
          <w:rFonts w:ascii="Helvetica Neue" w:eastAsia="Times New Roman" w:hAnsi="Helvetica Neue" w:cs="Times New Roman"/>
          <w:color w:val="333333"/>
          <w:sz w:val="23"/>
          <w:szCs w:val="23"/>
          <w:shd w:val="clear" w:color="auto" w:fill="FFFFFF"/>
          <w:lang w:eastAsia="en-GB"/>
        </w:rPr>
        <w:t xml:space="preserve"> </w:t>
      </w:r>
      <w:r w:rsidRPr="00FF24ED">
        <w:rPr>
          <w:rFonts w:cstheme="minorHAnsi"/>
        </w:rPr>
        <w:t>10.1001/jama.1997.03550100049038</w:t>
      </w:r>
      <w:r w:rsidRPr="00FF24ED">
        <w:rPr>
          <w:rFonts w:cstheme="minorHAnsi"/>
        </w:rPr>
        <w:t>.</w:t>
      </w:r>
    </w:p>
    <w:p w14:paraId="4E11E368" w14:textId="0A5BB606" w:rsidR="00507EAE" w:rsidRPr="00507EAE" w:rsidRDefault="00507EAE" w:rsidP="00FF24ED">
      <w:pPr>
        <w:ind w:left="360"/>
        <w:rPr>
          <w:rFonts w:cstheme="minorHAnsi"/>
        </w:rPr>
      </w:pPr>
    </w:p>
    <w:p w14:paraId="00CD10BD" w14:textId="7B62BCE6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Sanger, C. (2016) ‘Tanking About Abortion’, </w:t>
      </w:r>
      <w:r w:rsidRPr="00FF24ED">
        <w:rPr>
          <w:rFonts w:cstheme="minorHAnsi"/>
          <w:i/>
          <w:iCs/>
        </w:rPr>
        <w:t xml:space="preserve">Social and Legal Studies, </w:t>
      </w:r>
      <w:r w:rsidRPr="00FF24ED">
        <w:rPr>
          <w:rFonts w:cstheme="minorHAnsi"/>
        </w:rPr>
        <w:t xml:space="preserve">25(6), pp.615-666. DOI: </w:t>
      </w:r>
      <w:hyperlink r:id="rId14" w:history="1">
        <w:r w:rsidRPr="00FF24ED">
          <w:rPr>
            <w:rStyle w:val="Hyperlink"/>
            <w:rFonts w:cstheme="minorHAnsi"/>
          </w:rPr>
          <w:t>10.1177/0964663916668250</w:t>
        </w:r>
      </w:hyperlink>
      <w:r w:rsidRPr="00FF24ED">
        <w:rPr>
          <w:rFonts w:cstheme="minorHAnsi"/>
        </w:rPr>
        <w:t xml:space="preserve">. </w:t>
      </w:r>
    </w:p>
    <w:p w14:paraId="15F5B0A7" w14:textId="77777777" w:rsidR="00507EAE" w:rsidRPr="00507EAE" w:rsidRDefault="00507EAE" w:rsidP="00FF24ED">
      <w:pPr>
        <w:ind w:left="360"/>
        <w:rPr>
          <w:rFonts w:cstheme="minorHAnsi"/>
        </w:rPr>
      </w:pPr>
    </w:p>
    <w:p w14:paraId="5607D3F6" w14:textId="0D86BC21" w:rsidR="00507EAE" w:rsidRPr="00FF24ED" w:rsidRDefault="00507EAE" w:rsidP="00FF24ED">
      <w:pPr>
        <w:ind w:left="360"/>
        <w:rPr>
          <w:rFonts w:cstheme="minorHAnsi"/>
        </w:rPr>
      </w:pPr>
      <w:proofErr w:type="spellStart"/>
      <w:r w:rsidRPr="00FF24ED">
        <w:rPr>
          <w:rFonts w:cstheme="minorHAnsi"/>
        </w:rPr>
        <w:t>Scarpitti</w:t>
      </w:r>
      <w:proofErr w:type="spellEnd"/>
      <w:r w:rsidRPr="00FF24ED">
        <w:rPr>
          <w:rFonts w:cstheme="minorHAnsi"/>
        </w:rPr>
        <w:t xml:space="preserve">, F. Nielsen, A. And Miller, M. (2008) </w:t>
      </w:r>
      <w:r w:rsidRPr="00FF24ED">
        <w:rPr>
          <w:rFonts w:cstheme="minorHAnsi"/>
          <w:i/>
          <w:iCs/>
        </w:rPr>
        <w:t xml:space="preserve">Crime and Criminals: Contemporary and Classic Readings in Criminology. </w:t>
      </w:r>
      <w:r w:rsidRPr="00FF24ED">
        <w:rPr>
          <w:rFonts w:cstheme="minorHAnsi"/>
        </w:rPr>
        <w:t>2</w:t>
      </w:r>
      <w:r w:rsidRPr="00FF24ED">
        <w:rPr>
          <w:rFonts w:cstheme="minorHAnsi"/>
          <w:vertAlign w:val="superscript"/>
        </w:rPr>
        <w:t>nd</w:t>
      </w:r>
      <w:r w:rsidRPr="00FF24ED">
        <w:rPr>
          <w:rFonts w:cstheme="minorHAnsi"/>
        </w:rPr>
        <w:t xml:space="preserve"> </w:t>
      </w:r>
      <w:proofErr w:type="spellStart"/>
      <w:r w:rsidRPr="00FF24ED">
        <w:rPr>
          <w:rFonts w:cstheme="minorHAnsi"/>
        </w:rPr>
        <w:t>edn</w:t>
      </w:r>
      <w:proofErr w:type="spellEnd"/>
      <w:r w:rsidRPr="00FF24ED">
        <w:rPr>
          <w:rFonts w:cstheme="minorHAnsi"/>
        </w:rPr>
        <w:t xml:space="preserve">. Oxford: Oxford University Press. </w:t>
      </w:r>
    </w:p>
    <w:p w14:paraId="04EC0014" w14:textId="77777777" w:rsidR="00507EAE" w:rsidRPr="00507EAE" w:rsidRDefault="00507EAE" w:rsidP="00FF24ED">
      <w:pPr>
        <w:ind w:left="360"/>
        <w:rPr>
          <w:rFonts w:cstheme="minorHAnsi"/>
        </w:rPr>
      </w:pPr>
    </w:p>
    <w:p w14:paraId="055B7224" w14:textId="5FA40276" w:rsidR="00507EAE" w:rsidRPr="00FF24ED" w:rsidRDefault="00507EAE" w:rsidP="00FF24ED">
      <w:pPr>
        <w:ind w:left="360"/>
        <w:rPr>
          <w:rFonts w:cstheme="minorHAnsi"/>
        </w:rPr>
      </w:pPr>
      <w:proofErr w:type="spellStart"/>
      <w:r w:rsidRPr="00FF24ED">
        <w:rPr>
          <w:rFonts w:cstheme="minorHAnsi"/>
        </w:rPr>
        <w:t>Shahvisi</w:t>
      </w:r>
      <w:proofErr w:type="spellEnd"/>
      <w:r w:rsidRPr="00FF24ED">
        <w:rPr>
          <w:rFonts w:cstheme="minorHAnsi"/>
        </w:rPr>
        <w:t xml:space="preserve">, A. (2018). </w:t>
      </w:r>
      <w:r w:rsidRPr="00FF24ED">
        <w:rPr>
          <w:rFonts w:cstheme="minorHAnsi"/>
          <w:i/>
          <w:iCs/>
        </w:rPr>
        <w:t xml:space="preserve">Abortion is Nothing Like Hiring a Hitman, Whatever Pope Francis Says. </w:t>
      </w:r>
      <w:r w:rsidRPr="00FF24ED">
        <w:rPr>
          <w:rFonts w:cstheme="minorHAnsi"/>
        </w:rPr>
        <w:t xml:space="preserve">Available at: </w:t>
      </w:r>
      <w:hyperlink r:id="rId15" w:history="1">
        <w:r w:rsidRPr="00FF24ED">
          <w:rPr>
            <w:rStyle w:val="Hyperlink"/>
            <w:rFonts w:cstheme="minorHAnsi"/>
          </w:rPr>
          <w:t>https://theconversation.com/abortion-is-nothing-like-hiring-a-hitman-whatever-pope-francis-says-104741</w:t>
        </w:r>
      </w:hyperlink>
      <w:r w:rsidRPr="00FF24ED">
        <w:rPr>
          <w:rFonts w:cstheme="minorHAnsi"/>
        </w:rPr>
        <w:t xml:space="preserve"> (Accessed: 28</w:t>
      </w:r>
      <w:r w:rsidRPr="00FF24ED">
        <w:rPr>
          <w:rFonts w:cstheme="minorHAnsi"/>
          <w:vertAlign w:val="superscript"/>
        </w:rPr>
        <w:t>th</w:t>
      </w:r>
      <w:r w:rsidRPr="00FF24ED">
        <w:rPr>
          <w:rFonts w:cstheme="minorHAnsi"/>
        </w:rPr>
        <w:t xml:space="preserve"> February 2022).</w:t>
      </w:r>
    </w:p>
    <w:p w14:paraId="5EC5A6FC" w14:textId="77777777" w:rsidR="00507EAE" w:rsidRPr="00507EAE" w:rsidRDefault="00507EAE" w:rsidP="00FF24ED">
      <w:pPr>
        <w:ind w:left="360"/>
        <w:rPr>
          <w:rFonts w:cstheme="minorHAnsi"/>
        </w:rPr>
      </w:pPr>
    </w:p>
    <w:p w14:paraId="203691FE" w14:textId="31FF5ECE" w:rsidR="00507EAE" w:rsidRPr="00FF24ED" w:rsidRDefault="00507EAE" w:rsidP="00FF24ED">
      <w:pPr>
        <w:ind w:left="360"/>
        <w:rPr>
          <w:rFonts w:cstheme="minorHAnsi"/>
        </w:rPr>
      </w:pPr>
      <w:proofErr w:type="spellStart"/>
      <w:r w:rsidRPr="00FF24ED">
        <w:rPr>
          <w:rFonts w:cstheme="minorHAnsi"/>
        </w:rPr>
        <w:t>Sigfusdittir</w:t>
      </w:r>
      <w:proofErr w:type="spellEnd"/>
      <w:r w:rsidRPr="00FF24ED">
        <w:rPr>
          <w:rFonts w:cstheme="minorHAnsi"/>
        </w:rPr>
        <w:t xml:space="preserve">, I. </w:t>
      </w:r>
      <w:proofErr w:type="spellStart"/>
      <w:r w:rsidRPr="00FF24ED">
        <w:rPr>
          <w:rFonts w:cstheme="minorHAnsi"/>
        </w:rPr>
        <w:t>Kristjansson</w:t>
      </w:r>
      <w:proofErr w:type="spellEnd"/>
      <w:r w:rsidRPr="00FF24ED">
        <w:rPr>
          <w:rFonts w:cstheme="minorHAnsi"/>
        </w:rPr>
        <w:t xml:space="preserve">, A. and Agnew, R. (2012) ‘A Comparative Analysis of General Strain Theory’, </w:t>
      </w:r>
      <w:r w:rsidRPr="00FF24ED">
        <w:rPr>
          <w:rFonts w:cstheme="minorHAnsi"/>
          <w:i/>
          <w:iCs/>
        </w:rPr>
        <w:t xml:space="preserve">Journal of Criminal Justice, </w:t>
      </w:r>
      <w:r w:rsidRPr="00FF24ED">
        <w:rPr>
          <w:rFonts w:cstheme="minorHAnsi"/>
        </w:rPr>
        <w:t>40(2), pp.117-127. DOI:</w:t>
      </w:r>
      <w:r w:rsidRPr="00FF24ED"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 xml:space="preserve"> </w:t>
      </w:r>
      <w:r w:rsidRPr="00FF24ED">
        <w:rPr>
          <w:rFonts w:cstheme="minorHAnsi"/>
        </w:rPr>
        <w:t>10.1016/j.jcrimjus.2012.01.001.</w:t>
      </w:r>
    </w:p>
    <w:p w14:paraId="2CE4DAEE" w14:textId="77777777" w:rsidR="00507EAE" w:rsidRPr="00507EAE" w:rsidRDefault="00507EAE" w:rsidP="00FF24ED">
      <w:pPr>
        <w:ind w:left="360"/>
        <w:rPr>
          <w:rFonts w:cstheme="minorHAnsi"/>
        </w:rPr>
      </w:pPr>
    </w:p>
    <w:p w14:paraId="688B789D" w14:textId="044C12D8" w:rsidR="00507EAE" w:rsidRDefault="00507EAE" w:rsidP="00FF24ED">
      <w:pPr>
        <w:ind w:left="360"/>
      </w:pPr>
      <w:r>
        <w:t xml:space="preserve">Smith, L. (2002) ‘Feminism and Abortion Politics: Choice, Rights, and Reproductive Freedom’, </w:t>
      </w:r>
      <w:r w:rsidRPr="00FF24ED">
        <w:rPr>
          <w:i/>
          <w:iCs/>
        </w:rPr>
        <w:t xml:space="preserve">Women’s Studies International Forum, </w:t>
      </w:r>
      <w:r>
        <w:t>25(3), pp.335-345. DOI:</w:t>
      </w:r>
      <w:r w:rsidRPr="00FF24ED">
        <w:rPr>
          <w:rFonts w:ascii="Times New Roman" w:eastAsia="Times New Roman" w:hAnsi="Times New Roman" w:cs="Times New Roman"/>
          <w:lang w:eastAsia="en-GB"/>
        </w:rPr>
        <w:t xml:space="preserve"> </w:t>
      </w:r>
      <w:hyperlink r:id="rId16" w:tgtFrame="_blank" w:tooltip="Persistent link using digital object identifier" w:history="1">
        <w:r w:rsidRPr="00760AF4">
          <w:rPr>
            <w:rStyle w:val="Hyperlink"/>
          </w:rPr>
          <w:t>10.1016/S0277-5395(02)00256-X</w:t>
        </w:r>
      </w:hyperlink>
      <w:r>
        <w:t>.</w:t>
      </w:r>
    </w:p>
    <w:p w14:paraId="757BA47C" w14:textId="77777777" w:rsidR="00507EAE" w:rsidRDefault="00507EAE" w:rsidP="00FF24ED">
      <w:pPr>
        <w:ind w:left="360"/>
      </w:pPr>
    </w:p>
    <w:p w14:paraId="499F19D8" w14:textId="236215D8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Storey, A. (2021) </w:t>
      </w:r>
      <w:r w:rsidRPr="00FF24ED">
        <w:rPr>
          <w:rFonts w:cstheme="minorHAnsi"/>
          <w:i/>
          <w:iCs/>
        </w:rPr>
        <w:t xml:space="preserve">US Abortion Law: Supreme Court Stacked with Conservatives Bodies Ill for Women’s Rights. </w:t>
      </w:r>
      <w:r w:rsidRPr="00FF24ED">
        <w:rPr>
          <w:rFonts w:cstheme="minorHAnsi"/>
        </w:rPr>
        <w:t xml:space="preserve">Available at: </w:t>
      </w:r>
      <w:hyperlink r:id="rId17" w:history="1">
        <w:r w:rsidRPr="00FF24ED">
          <w:rPr>
            <w:rStyle w:val="Hyperlink"/>
            <w:rFonts w:cstheme="minorHAnsi"/>
          </w:rPr>
          <w:t>https://theconversation.com/us-abortion-law-supreme-court-stacked-with-conservatives-bodes-ill-for-womens-rights-167231</w:t>
        </w:r>
      </w:hyperlink>
      <w:r w:rsidRPr="00FF24ED">
        <w:rPr>
          <w:rFonts w:cstheme="minorHAnsi"/>
        </w:rPr>
        <w:t xml:space="preserve"> (Accessed:  28</w:t>
      </w:r>
      <w:r w:rsidRPr="00FF24ED">
        <w:rPr>
          <w:rFonts w:cstheme="minorHAnsi"/>
          <w:vertAlign w:val="superscript"/>
        </w:rPr>
        <w:t>th</w:t>
      </w:r>
      <w:r w:rsidRPr="00FF24ED">
        <w:rPr>
          <w:rFonts w:cstheme="minorHAnsi"/>
        </w:rPr>
        <w:t xml:space="preserve"> February 2022). </w:t>
      </w:r>
    </w:p>
    <w:p w14:paraId="04ECCF6C" w14:textId="77777777" w:rsidR="00507EAE" w:rsidRPr="00507EAE" w:rsidRDefault="00507EAE" w:rsidP="00FF24ED">
      <w:pPr>
        <w:ind w:left="360"/>
        <w:rPr>
          <w:rFonts w:cstheme="minorHAnsi"/>
        </w:rPr>
      </w:pPr>
    </w:p>
    <w:p w14:paraId="77AF4224" w14:textId="77777777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t xml:space="preserve">The Guardian. (2022) </w:t>
      </w:r>
      <w:r w:rsidRPr="00FF24ED">
        <w:rPr>
          <w:rFonts w:cstheme="minorHAnsi"/>
          <w:i/>
          <w:iCs/>
        </w:rPr>
        <w:t xml:space="preserve">Texas Law Causes Abortions to Drop by 60% as People Seek Care in Other States. </w:t>
      </w:r>
      <w:r w:rsidRPr="00FF24ED">
        <w:rPr>
          <w:rFonts w:cstheme="minorHAnsi"/>
        </w:rPr>
        <w:t xml:space="preserve">Available at: </w:t>
      </w:r>
      <w:hyperlink r:id="rId18" w:history="1">
        <w:r w:rsidRPr="00FF24ED">
          <w:rPr>
            <w:rStyle w:val="Hyperlink"/>
            <w:rFonts w:cstheme="minorHAnsi"/>
          </w:rPr>
          <w:t>https://www.theguardian.com/us-news/2022/feb/10/texas-law-abortion-drops-roe-v-wade</w:t>
        </w:r>
      </w:hyperlink>
      <w:r w:rsidRPr="00FF24ED">
        <w:rPr>
          <w:rFonts w:cstheme="minorHAnsi"/>
        </w:rPr>
        <w:t xml:space="preserve"> (Accessed: 28</w:t>
      </w:r>
      <w:r w:rsidRPr="00FF24ED">
        <w:rPr>
          <w:rFonts w:cstheme="minorHAnsi"/>
          <w:vertAlign w:val="superscript"/>
        </w:rPr>
        <w:t>th</w:t>
      </w:r>
      <w:r w:rsidRPr="00FF24ED">
        <w:rPr>
          <w:rFonts w:cstheme="minorHAnsi"/>
        </w:rPr>
        <w:t xml:space="preserve"> February 2022).</w:t>
      </w:r>
    </w:p>
    <w:p w14:paraId="198954A5" w14:textId="77777777" w:rsidR="00507EAE" w:rsidRPr="00FF24ED" w:rsidRDefault="00507EAE" w:rsidP="00FF24ED">
      <w:pPr>
        <w:ind w:left="360"/>
        <w:rPr>
          <w:rFonts w:cstheme="minorHAnsi"/>
        </w:rPr>
      </w:pPr>
      <w:r w:rsidRPr="00FF24ED">
        <w:rPr>
          <w:rFonts w:cstheme="minorHAnsi"/>
        </w:rPr>
        <w:lastRenderedPageBreak/>
        <w:t>Thompson, G. (2014) ‘</w:t>
      </w:r>
      <w:proofErr w:type="spellStart"/>
      <w:r w:rsidRPr="00FF24ED">
        <w:rPr>
          <w:rFonts w:cstheme="minorHAnsi"/>
        </w:rPr>
        <w:t>Labeling</w:t>
      </w:r>
      <w:proofErr w:type="spellEnd"/>
      <w:r w:rsidRPr="00FF24ED">
        <w:rPr>
          <w:rFonts w:cstheme="minorHAnsi"/>
        </w:rPr>
        <w:t xml:space="preserve"> in Interactional Practice: Applying </w:t>
      </w:r>
      <w:proofErr w:type="spellStart"/>
      <w:r w:rsidRPr="00FF24ED">
        <w:rPr>
          <w:rFonts w:cstheme="minorHAnsi"/>
        </w:rPr>
        <w:t>Labeling</w:t>
      </w:r>
      <w:proofErr w:type="spellEnd"/>
      <w:r w:rsidRPr="00FF24ED">
        <w:rPr>
          <w:rFonts w:cstheme="minorHAnsi"/>
        </w:rPr>
        <w:t xml:space="preserve"> Theory to Interactions and Interactional Analysis to </w:t>
      </w:r>
      <w:proofErr w:type="spellStart"/>
      <w:r w:rsidRPr="00FF24ED">
        <w:rPr>
          <w:rFonts w:cstheme="minorHAnsi"/>
        </w:rPr>
        <w:t>Labeling</w:t>
      </w:r>
      <w:proofErr w:type="spellEnd"/>
      <w:r w:rsidRPr="00FF24ED">
        <w:rPr>
          <w:rFonts w:cstheme="minorHAnsi"/>
        </w:rPr>
        <w:t xml:space="preserve">’, </w:t>
      </w:r>
      <w:r w:rsidRPr="00FF24ED">
        <w:rPr>
          <w:rFonts w:cstheme="minorHAnsi"/>
          <w:i/>
          <w:iCs/>
        </w:rPr>
        <w:t xml:space="preserve">Symbolic Interaction, </w:t>
      </w:r>
      <w:r w:rsidRPr="00FF24ED">
        <w:rPr>
          <w:rFonts w:cstheme="minorHAnsi"/>
        </w:rPr>
        <w:t xml:space="preserve">37(4), pp.458-482.DOI: </w:t>
      </w:r>
      <w:r w:rsidRPr="00FF24ED">
        <w:rPr>
          <w:rFonts w:cstheme="minorHAnsi"/>
        </w:rPr>
        <w:t>10.1002/SYMB.127</w:t>
      </w:r>
      <w:r w:rsidRPr="00FF24ED">
        <w:rPr>
          <w:rFonts w:cstheme="minorHAnsi"/>
        </w:rPr>
        <w:t xml:space="preserve">. </w:t>
      </w:r>
    </w:p>
    <w:p w14:paraId="18C48746" w14:textId="7F5BBA41" w:rsidR="00507EAE" w:rsidRDefault="00507EAE" w:rsidP="00507EAE">
      <w:pPr>
        <w:pStyle w:val="ListParagraph"/>
        <w:rPr>
          <w:rFonts w:cstheme="minorHAnsi"/>
        </w:rPr>
      </w:pPr>
    </w:p>
    <w:p w14:paraId="31ADC72E" w14:textId="77777777" w:rsidR="00507EAE" w:rsidRPr="00507EAE" w:rsidRDefault="00507EAE" w:rsidP="00507EAE">
      <w:pPr>
        <w:pStyle w:val="ListParagraph"/>
        <w:rPr>
          <w:rFonts w:cstheme="minorHAnsi"/>
        </w:rPr>
      </w:pPr>
    </w:p>
    <w:p w14:paraId="4063046E" w14:textId="77777777" w:rsidR="00507EAE" w:rsidRPr="00507EAE" w:rsidRDefault="00507EAE" w:rsidP="00507EAE">
      <w:pPr>
        <w:pStyle w:val="ListParagraph"/>
        <w:rPr>
          <w:rFonts w:cstheme="minorHAnsi"/>
        </w:rPr>
      </w:pPr>
    </w:p>
    <w:p w14:paraId="227762B6" w14:textId="768941D5" w:rsidR="00507EAE" w:rsidRPr="00507EAE" w:rsidRDefault="00507EAE" w:rsidP="00507EAE">
      <w:pPr>
        <w:pStyle w:val="ListParagraph"/>
        <w:ind w:left="1080"/>
        <w:rPr>
          <w:rFonts w:cstheme="minorHAnsi"/>
        </w:rPr>
      </w:pPr>
    </w:p>
    <w:p w14:paraId="6C4DEF37" w14:textId="7513CFD8" w:rsidR="00507EAE" w:rsidRPr="00507EAE" w:rsidRDefault="00507EAE" w:rsidP="00507EAE">
      <w:pPr>
        <w:pStyle w:val="ListParagraph"/>
        <w:rPr>
          <w:rFonts w:cstheme="minorHAnsi"/>
        </w:rPr>
      </w:pPr>
    </w:p>
    <w:p w14:paraId="15E91858" w14:textId="72E293E6" w:rsidR="00507EAE" w:rsidRPr="00507EAE" w:rsidRDefault="00507EAE" w:rsidP="00507EAE">
      <w:pPr>
        <w:rPr>
          <w:rFonts w:cstheme="minorHAnsi"/>
        </w:rPr>
      </w:pPr>
    </w:p>
    <w:p w14:paraId="087D641B" w14:textId="77777777" w:rsidR="00507EAE" w:rsidRDefault="00507EAE" w:rsidP="00507EAE">
      <w:pPr>
        <w:rPr>
          <w:rFonts w:cstheme="minorHAnsi"/>
        </w:rPr>
      </w:pPr>
    </w:p>
    <w:p w14:paraId="133E316E" w14:textId="0308ED1F" w:rsidR="00507EAE" w:rsidRPr="00507EAE" w:rsidRDefault="00507EAE" w:rsidP="00507EAE">
      <w:pPr>
        <w:rPr>
          <w:rFonts w:cstheme="minorHAnsi"/>
        </w:rPr>
      </w:pPr>
      <w:r>
        <w:rPr>
          <w:rFonts w:cstheme="minorHAnsi"/>
        </w:rPr>
        <w:t xml:space="preserve">  </w:t>
      </w:r>
    </w:p>
    <w:p w14:paraId="186E1856" w14:textId="14C45E04" w:rsidR="00507EAE" w:rsidRDefault="00507EAE" w:rsidP="00507EAE">
      <w:pPr>
        <w:rPr>
          <w:rFonts w:cstheme="minorHAnsi"/>
        </w:rPr>
      </w:pPr>
    </w:p>
    <w:p w14:paraId="4C576ECF" w14:textId="77777777" w:rsidR="00507EAE" w:rsidRPr="00507EAE" w:rsidRDefault="00507EAE" w:rsidP="00507EAE">
      <w:pPr>
        <w:rPr>
          <w:rFonts w:cstheme="minorHAnsi"/>
        </w:rPr>
      </w:pPr>
    </w:p>
    <w:p w14:paraId="31FCBBBF" w14:textId="3EA7925A" w:rsidR="00507EAE" w:rsidRPr="00507EAE" w:rsidRDefault="00507EAE" w:rsidP="00507EAE">
      <w:pPr>
        <w:rPr>
          <w:rFonts w:cstheme="minorHAnsi"/>
        </w:rPr>
      </w:pPr>
      <w:r>
        <w:rPr>
          <w:rFonts w:cstheme="minorHAnsi"/>
        </w:rPr>
        <w:t xml:space="preserve"> </w:t>
      </w:r>
    </w:p>
    <w:p w14:paraId="196FE50F" w14:textId="4000F0B2" w:rsidR="00507EAE" w:rsidRPr="00507EAE" w:rsidRDefault="00507EAE" w:rsidP="00507EAE">
      <w:pPr>
        <w:rPr>
          <w:rFonts w:cstheme="minorHAnsi"/>
        </w:rPr>
      </w:pPr>
    </w:p>
    <w:p w14:paraId="52CD051C" w14:textId="65559B18" w:rsidR="00507EAE" w:rsidRPr="005D3D47" w:rsidRDefault="00507EAE" w:rsidP="00507EAE">
      <w:pPr>
        <w:rPr>
          <w:rFonts w:cstheme="minorHAnsi"/>
        </w:rPr>
      </w:pPr>
      <w:r>
        <w:rPr>
          <w:rFonts w:cstheme="minorHAnsi"/>
        </w:rPr>
        <w:t xml:space="preserve">  </w:t>
      </w:r>
    </w:p>
    <w:p w14:paraId="0B501939" w14:textId="1A8D6EDB" w:rsidR="005D3D47" w:rsidRPr="005D3D47" w:rsidRDefault="005D3D47" w:rsidP="00507EAE">
      <w:pPr>
        <w:rPr>
          <w:rFonts w:cstheme="minorHAnsi"/>
        </w:rPr>
      </w:pPr>
      <w:r>
        <w:rPr>
          <w:rFonts w:cstheme="minorHAnsi"/>
        </w:rPr>
        <w:t xml:space="preserve">   </w:t>
      </w:r>
    </w:p>
    <w:p w14:paraId="0D391926" w14:textId="32CFB4B1" w:rsidR="005D3D47" w:rsidRPr="005D3D47" w:rsidRDefault="005D3D47" w:rsidP="00507EAE">
      <w:pPr>
        <w:rPr>
          <w:rFonts w:cstheme="minorHAnsi"/>
        </w:rPr>
      </w:pPr>
      <w:r>
        <w:rPr>
          <w:rFonts w:cstheme="minorHAnsi"/>
        </w:rPr>
        <w:t xml:space="preserve"> </w:t>
      </w:r>
    </w:p>
    <w:p w14:paraId="799486B6" w14:textId="77777777" w:rsidR="005D3D47" w:rsidRPr="005D3D47" w:rsidRDefault="005D3D47" w:rsidP="00507EAE">
      <w:pPr>
        <w:rPr>
          <w:rFonts w:cstheme="minorHAnsi"/>
        </w:rPr>
      </w:pPr>
    </w:p>
    <w:p w14:paraId="386F4C27" w14:textId="0A3B8CD8" w:rsidR="005D3D47" w:rsidRPr="005D3D47" w:rsidRDefault="005D3D47" w:rsidP="00507EAE">
      <w:pPr>
        <w:rPr>
          <w:rFonts w:cstheme="minorHAnsi"/>
        </w:rPr>
      </w:pPr>
      <w:r>
        <w:rPr>
          <w:rFonts w:cstheme="minorHAnsi"/>
          <w:i/>
          <w:iCs/>
        </w:rPr>
        <w:t xml:space="preserve">  </w:t>
      </w:r>
      <w:r>
        <w:rPr>
          <w:rFonts w:cstheme="minorHAnsi"/>
        </w:rPr>
        <w:t xml:space="preserve"> </w:t>
      </w:r>
    </w:p>
    <w:p w14:paraId="1342300E" w14:textId="77777777" w:rsidR="005D3D47" w:rsidRDefault="005D3D47" w:rsidP="00507EAE">
      <w:pPr>
        <w:rPr>
          <w:rFonts w:cstheme="minorHAnsi"/>
        </w:rPr>
      </w:pPr>
    </w:p>
    <w:p w14:paraId="563739BD" w14:textId="6E8F8730" w:rsidR="005D3D47" w:rsidRPr="005D3D47" w:rsidRDefault="005D3D47" w:rsidP="00507EAE">
      <w:pPr>
        <w:rPr>
          <w:rFonts w:cstheme="minorHAnsi"/>
        </w:rPr>
      </w:pPr>
      <w:r>
        <w:rPr>
          <w:rFonts w:cstheme="minorHAnsi"/>
        </w:rPr>
        <w:t xml:space="preserve"> </w:t>
      </w:r>
    </w:p>
    <w:sectPr w:rsidR="005D3D47" w:rsidRPr="005D3D47" w:rsidSect="00C222C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Helvetica Neue">
    <w:altName w:val="Helvetica Neue"/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DD60DC"/>
    <w:multiLevelType w:val="hybridMultilevel"/>
    <w:tmpl w:val="2AAC7F2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1E355B6"/>
    <w:multiLevelType w:val="hybridMultilevel"/>
    <w:tmpl w:val="D0A0058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3C3612E"/>
    <w:multiLevelType w:val="hybridMultilevel"/>
    <w:tmpl w:val="DA5A2BE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AF4"/>
    <w:rsid w:val="000E4958"/>
    <w:rsid w:val="00473A0F"/>
    <w:rsid w:val="00507EAE"/>
    <w:rsid w:val="00524BE4"/>
    <w:rsid w:val="005D3D47"/>
    <w:rsid w:val="006C21D2"/>
    <w:rsid w:val="00760AF4"/>
    <w:rsid w:val="00A90F3E"/>
    <w:rsid w:val="00C222C9"/>
    <w:rsid w:val="00FF24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789786"/>
  <w15:chartTrackingRefBased/>
  <w15:docId w15:val="{97880565-3C9C-1244-8FA4-06A94F3974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0A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0AF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07EA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01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2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3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6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67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03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09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82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42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18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6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28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29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96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4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84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35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2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55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53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83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3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8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13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55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35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0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40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0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5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76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7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23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82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06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8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2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30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3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8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7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8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1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56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04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25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0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12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52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43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64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13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33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47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2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S0047-2352(01)00101-5" TargetMode="External"/><Relationship Id="rId13" Type="http://schemas.openxmlformats.org/officeDocument/2006/relationships/hyperlink" Target="https://www.plannedparenthood.org/planned-parenthood-center-for-choice/texas-abortion-laws" TargetMode="External"/><Relationship Id="rId18" Type="http://schemas.openxmlformats.org/officeDocument/2006/relationships/hyperlink" Target="https://www.theguardian.com/us-news/2022/feb/10/texas-law-abortion-drops-roe-v-wad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111/j.1745-9125.2001.tb00915.x" TargetMode="External"/><Relationship Id="rId12" Type="http://schemas.openxmlformats.org/officeDocument/2006/relationships/hyperlink" Target="https://doi.org/10.1016/S0140-6736(06)69789-4" TargetMode="External"/><Relationship Id="rId17" Type="http://schemas.openxmlformats.org/officeDocument/2006/relationships/hyperlink" Target="https://theconversation.com/us-abortion-law-supreme-court-stacked-with-conservatives-bodes-ill-for-womens-rights-167231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16/S0277-5395(02)00256-X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doi.org/10.1111/j.1745-9125.2009.00141.x" TargetMode="External"/><Relationship Id="rId11" Type="http://schemas.openxmlformats.org/officeDocument/2006/relationships/hyperlink" Target="https://doi.org/10.1177/019027250807100207" TargetMode="External"/><Relationship Id="rId5" Type="http://schemas.openxmlformats.org/officeDocument/2006/relationships/hyperlink" Target="https://doi.org/10.1177/0022427805280068" TargetMode="External"/><Relationship Id="rId15" Type="http://schemas.openxmlformats.org/officeDocument/2006/relationships/hyperlink" Target="https://theconversation.com/abortion-is-nothing-like-hiring-a-hitman-whatever-pope-francis-says-104741" TargetMode="External"/><Relationship Id="rId10" Type="http://schemas.openxmlformats.org/officeDocument/2006/relationships/hyperlink" Target="https://doi.org/10.1177/106591290305600410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177/004839318501500103" TargetMode="External"/><Relationship Id="rId14" Type="http://schemas.openxmlformats.org/officeDocument/2006/relationships/hyperlink" Target="https://doi.org/10.1177/096466391666825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2758</TotalTime>
  <Pages>4</Pages>
  <Words>1248</Words>
  <Characters>7115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Jane Francis (1802113)</dc:creator>
  <cp:keywords/>
  <dc:description/>
  <cp:lastModifiedBy>Beth Francis (1802113)</cp:lastModifiedBy>
  <cp:revision>3</cp:revision>
  <dcterms:created xsi:type="dcterms:W3CDTF">2022-02-25T18:05:00Z</dcterms:created>
  <dcterms:modified xsi:type="dcterms:W3CDTF">2022-03-03T11:58:00Z</dcterms:modified>
</cp:coreProperties>
</file>