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3CD16" w14:textId="64B33243" w:rsidR="00331FF7" w:rsidRPr="00055DFD" w:rsidRDefault="00331FF7" w:rsidP="00055DFD">
      <w:pPr>
        <w:jc w:val="center"/>
        <w:rPr>
          <w:b/>
          <w:bCs/>
          <w:u w:val="single"/>
        </w:rPr>
      </w:pPr>
      <w:bookmarkStart w:id="0" w:name="_Hlk219152083"/>
      <w:r w:rsidRPr="00055DFD">
        <w:rPr>
          <w:b/>
          <w:bCs/>
          <w:u w:val="single"/>
        </w:rPr>
        <w:t>Literature Review on Corporate Governance in Emerging Economies.</w:t>
      </w:r>
    </w:p>
    <w:p w14:paraId="14E1A9B9" w14:textId="77777777" w:rsidR="00331FF7" w:rsidRDefault="00331FF7" w:rsidP="00471A4C">
      <w:pPr>
        <w:jc w:val="both"/>
        <w:rPr>
          <w:b/>
          <w:bCs/>
          <w:u w:val="single"/>
        </w:rPr>
      </w:pPr>
    </w:p>
    <w:p w14:paraId="69A1ED11" w14:textId="21378C28" w:rsidR="007059F2" w:rsidRPr="00FF7A40" w:rsidRDefault="00FF7A40" w:rsidP="00471A4C">
      <w:pPr>
        <w:jc w:val="both"/>
        <w:rPr>
          <w:b/>
          <w:bCs/>
          <w:u w:val="single"/>
        </w:rPr>
      </w:pPr>
      <w:r w:rsidRPr="00FF7A40">
        <w:rPr>
          <w:b/>
          <w:bCs/>
          <w:u w:val="single"/>
        </w:rPr>
        <w:t>Abstract</w:t>
      </w:r>
    </w:p>
    <w:p w14:paraId="5528574B" w14:textId="64370373" w:rsidR="00FF7A40" w:rsidRPr="00055DFD" w:rsidRDefault="00055DFD" w:rsidP="00471A4C">
      <w:pPr>
        <w:jc w:val="both"/>
      </w:pPr>
      <w:r>
        <w:t>This literature review provides a comprehensive review of corporate governance and transparency within emerging economies.  Drawing on a diverse range of academic sources, the analysis examines how voluntary disclosure, board involvement, institutional impediments and legal frameworks influence corporate governance practices.  Key themes include the challenges of aligning with OECD principles, the evolving role of state-owned enterprises, and the unique dynamics present in family-owned organisations.  The synthesis offers insights into how corporate governance influences financial recovery and equitable development, which highlighting recommendations for future research and policymaking that address the unique needs of transition economies.</w:t>
      </w:r>
    </w:p>
    <w:p w14:paraId="5DD95284" w14:textId="77777777" w:rsidR="00FF7A40" w:rsidRDefault="00FF7A40" w:rsidP="00471A4C">
      <w:pPr>
        <w:jc w:val="both"/>
        <w:rPr>
          <w:b/>
          <w:bCs/>
          <w:u w:val="single"/>
        </w:rPr>
      </w:pPr>
    </w:p>
    <w:p w14:paraId="0DB68B23" w14:textId="0AA10213" w:rsidR="007059F2" w:rsidRDefault="007059F2" w:rsidP="00471A4C">
      <w:pPr>
        <w:jc w:val="both"/>
        <w:rPr>
          <w:b/>
          <w:bCs/>
          <w:u w:val="single"/>
        </w:rPr>
      </w:pPr>
      <w:r w:rsidRPr="007059F2">
        <w:rPr>
          <w:b/>
          <w:bCs/>
          <w:u w:val="single"/>
        </w:rPr>
        <w:t>Introduction</w:t>
      </w:r>
    </w:p>
    <w:p w14:paraId="180E6ADA" w14:textId="77777777" w:rsidR="00E11E7C" w:rsidRDefault="00E11E7C" w:rsidP="00471A4C">
      <w:pPr>
        <w:jc w:val="both"/>
        <w:rPr>
          <w:b/>
          <w:bCs/>
          <w:u w:val="single"/>
        </w:rPr>
      </w:pPr>
    </w:p>
    <w:p w14:paraId="5E9B45C6" w14:textId="7833ADB8" w:rsidR="00E11E7C" w:rsidRPr="00E11E7C" w:rsidRDefault="00E11E7C" w:rsidP="00471A4C">
      <w:pPr>
        <w:jc w:val="both"/>
      </w:pPr>
      <w:r>
        <w:t xml:space="preserve">This literature review aims to provide an in-depth analytical synthesis of the current state of research on corporate governance in emerging economies.  The objectives </w:t>
      </w:r>
      <w:r w:rsidR="000412B1">
        <w:t>are</w:t>
      </w:r>
      <w:r>
        <w:t xml:space="preserve"> </w:t>
      </w:r>
      <w:r w:rsidR="000412B1">
        <w:t>to</w:t>
      </w:r>
      <w:r>
        <w:t xml:space="preserve"> define the scope </w:t>
      </w:r>
      <w:r w:rsidR="000412B1">
        <w:t>and</w:t>
      </w:r>
      <w:r>
        <w:t xml:space="preserve"> significance of corporate governance in this context; critically evaluate available literature over a </w:t>
      </w:r>
      <w:r w:rsidR="000412B1">
        <w:t>15-year</w:t>
      </w:r>
      <w:r>
        <w:t xml:space="preserve"> period; identify prevailing themes, methodological approaches and research findings; highlight gaps and contradictions in the literature; and propose future research directions.</w:t>
      </w:r>
    </w:p>
    <w:p w14:paraId="2F57282D" w14:textId="656D3179" w:rsidR="00E11E7C" w:rsidRPr="000412B1" w:rsidRDefault="00E11E7C" w:rsidP="00471A4C">
      <w:pPr>
        <w:jc w:val="both"/>
      </w:pPr>
      <w:r w:rsidRPr="000412B1">
        <w:t>This review is structure</w:t>
      </w:r>
      <w:r w:rsidR="000412B1">
        <w:t>d</w:t>
      </w:r>
      <w:r w:rsidRPr="000412B1">
        <w:t xml:space="preserve"> thematically, highlighting key factors affecting corporate governance in emerging economies.</w:t>
      </w:r>
      <w:r w:rsidR="000412B1">
        <w:t xml:space="preserve">  It aims to offer academic researchers and professional practitioners </w:t>
      </w:r>
      <w:r w:rsidR="007050B2">
        <w:t xml:space="preserve">with </w:t>
      </w:r>
      <w:r w:rsidR="000412B1">
        <w:t>a comprehensive and systematic overview of the scope and complexities within this area.</w:t>
      </w:r>
    </w:p>
    <w:p w14:paraId="3684B9EE" w14:textId="77777777" w:rsidR="00E11E7C" w:rsidRPr="007059F2" w:rsidRDefault="00E11E7C" w:rsidP="00471A4C">
      <w:pPr>
        <w:jc w:val="both"/>
        <w:rPr>
          <w:b/>
          <w:bCs/>
          <w:u w:val="single"/>
        </w:rPr>
      </w:pPr>
    </w:p>
    <w:p w14:paraId="7AD20278" w14:textId="2F047E61" w:rsidR="005B189F" w:rsidRPr="007059F2" w:rsidRDefault="007059F2" w:rsidP="00471A4C">
      <w:pPr>
        <w:jc w:val="both"/>
        <w:rPr>
          <w:b/>
          <w:bCs/>
          <w:u w:val="single"/>
        </w:rPr>
      </w:pPr>
      <w:r w:rsidRPr="007059F2">
        <w:rPr>
          <w:b/>
          <w:bCs/>
          <w:u w:val="single"/>
        </w:rPr>
        <w:t>Literature Review</w:t>
      </w:r>
    </w:p>
    <w:p w14:paraId="2343B6A3" w14:textId="2069B1F4" w:rsidR="007059F2" w:rsidRPr="007050B2" w:rsidRDefault="007059F2" w:rsidP="00471A4C">
      <w:pPr>
        <w:jc w:val="both"/>
      </w:pPr>
      <w:r w:rsidRPr="007050B2">
        <w:t xml:space="preserve">Key Words:  Corporate Governance. Emerging Economies. Emerging Markets.  </w:t>
      </w:r>
      <w:r w:rsidR="00F2036B">
        <w:t>Market Discipline. Cultural Norms. Weak Legal and Regulatory Frameworks.  Financial Markets.</w:t>
      </w:r>
      <w:r w:rsidR="008379E4">
        <w:t xml:space="preserve"> Disclosure and Transparency.</w:t>
      </w:r>
      <w:r w:rsidR="00997E8F">
        <w:t xml:space="preserve"> Political Intervention.</w:t>
      </w:r>
    </w:p>
    <w:p w14:paraId="040162CE" w14:textId="2951E9D7" w:rsidR="001579F9" w:rsidRDefault="001579F9" w:rsidP="00471A4C">
      <w:pPr>
        <w:jc w:val="both"/>
      </w:pPr>
      <w:r>
        <w:t xml:space="preserve">An emerging economy refers to a country experiencing rapid economic growth and </w:t>
      </w:r>
      <w:r w:rsidR="00544FFF">
        <w:t>industrialisation</w:t>
      </w:r>
      <w:r>
        <w:t xml:space="preserve"> but has yet to reach the income levels or infrastructure sophistication found in developed nations. Such economies are characterised by robust growth, deeper connections with global markets, and ongoing reforms aimed at diversifying industries and raising living standards</w:t>
      </w:r>
      <w:r>
        <w:rPr>
          <w:rStyle w:val="FootnoteReference"/>
        </w:rPr>
        <w:footnoteReference w:id="1"/>
      </w:r>
      <w:r>
        <w:t>. While these countries often see increases in per capita income, growing private sectors, and major investments in technology and infrastructure, they still face issues like inequality, immature financial systems and governance challenges</w:t>
      </w:r>
      <w:r>
        <w:rPr>
          <w:rStyle w:val="FootnoteReference"/>
        </w:rPr>
        <w:footnoteReference w:id="2"/>
      </w:r>
      <w:r>
        <w:t>.</w:t>
      </w:r>
    </w:p>
    <w:p w14:paraId="598B6A54" w14:textId="5C1BFCC2" w:rsidR="00997E8F" w:rsidRDefault="001579F9" w:rsidP="00471A4C">
      <w:pPr>
        <w:jc w:val="both"/>
      </w:pPr>
      <w:r>
        <w:t>Well known emerging economies include China, India, Brazil, South Africa, and Indonesia; often grouped together as “</w:t>
      </w:r>
      <w:r w:rsidRPr="001579F9">
        <w:rPr>
          <w:b/>
          <w:bCs/>
        </w:rPr>
        <w:t>BRICS</w:t>
      </w:r>
      <w:r>
        <w:rPr>
          <w:b/>
          <w:bCs/>
        </w:rPr>
        <w:t xml:space="preserve">” </w:t>
      </w:r>
      <w:r>
        <w:t xml:space="preserve">(Brazil, Russia, India, China, South Africa).  These countries have an </w:t>
      </w:r>
      <w:r>
        <w:lastRenderedPageBreak/>
        <w:t>increasingly important role in driving global economic growth, innovations, and trade, and their advancement open up new international opportunities and changes the global economic landscape</w:t>
      </w:r>
      <w:r>
        <w:rPr>
          <w:rStyle w:val="FootnoteReference"/>
        </w:rPr>
        <w:footnoteReference w:id="3"/>
      </w:r>
      <w:r>
        <w:t>. However, the trajectory toward attaining developed economy status is characterised by increased volatility and elevated risks across political, financial, and social domains, distinguishing emerging economies from those that are already developed</w:t>
      </w:r>
      <w:r w:rsidR="00997E8F">
        <w:t>.</w:t>
      </w:r>
    </w:p>
    <w:p w14:paraId="707330D8" w14:textId="345E3CC9" w:rsidR="00A92225" w:rsidRDefault="005E29B3" w:rsidP="00471A4C">
      <w:pPr>
        <w:jc w:val="both"/>
      </w:pPr>
      <w:r>
        <w:t>Corporate governance is the system by which companies are directed and controlled, focussing on management, boards, shareholders, and other stakeholders.  Its main goal is to ensure accountability, fairness, and transparency in organisational relationships to protect stakeholder interest and promote long term sustainability</w:t>
      </w:r>
      <w:r>
        <w:rPr>
          <w:rStyle w:val="FootnoteReference"/>
        </w:rPr>
        <w:footnoteReference w:id="4"/>
      </w:r>
      <w:r>
        <w:t>. Effective governance enhances investor confidence, improves performance, and helps prevent scandals and financial crises.</w:t>
      </w:r>
    </w:p>
    <w:p w14:paraId="4C2B5CE4" w14:textId="4FBD5177" w:rsidR="005E29B3" w:rsidRPr="001579F9" w:rsidRDefault="005E29B3" w:rsidP="00471A4C">
      <w:pPr>
        <w:jc w:val="both"/>
      </w:pPr>
      <w:r>
        <w:t>Corporate governance is particularly significant in emerging economies, as local governance frameworks are shaped by unique institutional, economic, and cultural characteristics.  Robust governance in these contexts enhances transparency, accountability, and investor confidence, thereby facilitating foreign investment and underpinning sustainable economic growth</w:t>
      </w:r>
      <w:r>
        <w:rPr>
          <w:rStyle w:val="FootnoteReference"/>
        </w:rPr>
        <w:footnoteReference w:id="5"/>
      </w:r>
      <w:r>
        <w:t>.  However,, the implementation and and enforcement of effective corporate governance mechanisms may be constrained by factors such as political interference, weak legal systems, and underdeveloped financial markets, all of which hinder the adoption of international best practices</w:t>
      </w:r>
      <w:r>
        <w:rPr>
          <w:rStyle w:val="FootnoteReference"/>
        </w:rPr>
        <w:footnoteReference w:id="6"/>
      </w:r>
      <w:r>
        <w:t>.</w:t>
      </w:r>
    </w:p>
    <w:p w14:paraId="6771976B" w14:textId="44E3087C" w:rsidR="00E11E7C" w:rsidRDefault="00E11E7C" w:rsidP="00471A4C">
      <w:pPr>
        <w:jc w:val="both"/>
      </w:pPr>
      <w:r>
        <w:t>Governance structures in emerging economies are attracting significant attention, owing to their increase on global trade and finance</w:t>
      </w:r>
      <w:r w:rsidR="00125548">
        <w:t>,</w:t>
      </w:r>
      <w:r>
        <w:t xml:space="preserve"> and the distinct challenges and opportunities they create for corporate governance</w:t>
      </w:r>
      <w:r>
        <w:rPr>
          <w:rStyle w:val="FootnoteReference"/>
        </w:rPr>
        <w:footnoteReference w:id="7"/>
      </w:r>
      <w:r>
        <w:t>.</w:t>
      </w:r>
      <w:r w:rsidR="00997E8F">
        <w:t xml:space="preserve">   Young et al</w:t>
      </w:r>
      <w:r w:rsidR="00997E8F">
        <w:rPr>
          <w:rStyle w:val="FootnoteReference"/>
        </w:rPr>
        <w:footnoteReference w:id="8"/>
      </w:r>
      <w:r w:rsidR="00997E8F">
        <w:t xml:space="preserve"> show that in emerging economies, corporate governance often evolves to address risks where major stakeholders may control decisions at the expense of minority owners.  The rising influence of institutional investors has also led companies to improve governance by demanding more transparency and accountability</w:t>
      </w:r>
      <w:r w:rsidR="00997E8F">
        <w:rPr>
          <w:rStyle w:val="FootnoteReference"/>
        </w:rPr>
        <w:footnoteReference w:id="9"/>
      </w:r>
      <w:r w:rsidR="00997E8F">
        <w:t>. Yet, these reforms are only as effective as the strength of local regulations and the degree to which cultural values support ethical business practices.</w:t>
      </w:r>
    </w:p>
    <w:p w14:paraId="48A75033" w14:textId="3FB2566A" w:rsidR="00997E8F" w:rsidRDefault="00997E8F" w:rsidP="00471A4C">
      <w:pPr>
        <w:jc w:val="both"/>
      </w:pPr>
      <w:r>
        <w:t>Comparative research indicated that emerging economies encounter specific obstacles, including limited investor</w:t>
      </w:r>
      <w:r>
        <w:tab/>
        <w:t xml:space="preserve"> protections and underdeveloped financial markets, which may limit companies’ motivations to implement robust governance practices</w:t>
      </w:r>
      <w:r>
        <w:rPr>
          <w:rStyle w:val="FootnoteReference"/>
        </w:rPr>
        <w:footnoteReference w:id="10"/>
      </w:r>
      <w:r>
        <w:t xml:space="preserve">. </w:t>
      </w:r>
      <w:r w:rsidR="004D5DC6">
        <w:t>Additionally</w:t>
      </w:r>
      <w:r>
        <w:t>, the interaction between globalisation and domestic institutional frameworks influence the strategic decisions of multinational corporations from mid-range economies, prompting governance reforms to align with international standard and improve competitive positioning</w:t>
      </w:r>
      <w:r>
        <w:rPr>
          <w:rStyle w:val="FootnoteReference"/>
        </w:rPr>
        <w:footnoteReference w:id="11"/>
      </w:r>
      <w:r>
        <w:t>.</w:t>
      </w:r>
    </w:p>
    <w:p w14:paraId="402F3018" w14:textId="77777777" w:rsidR="00C830A5" w:rsidRDefault="00C830A5" w:rsidP="00471A4C">
      <w:pPr>
        <w:jc w:val="both"/>
      </w:pPr>
    </w:p>
    <w:p w14:paraId="69579705" w14:textId="77777777" w:rsidR="00544FFF" w:rsidRDefault="00544FFF" w:rsidP="00471A4C">
      <w:pPr>
        <w:jc w:val="both"/>
      </w:pPr>
    </w:p>
    <w:p w14:paraId="7F7A06C4" w14:textId="77777777" w:rsidR="00544FFF" w:rsidRDefault="00544FFF" w:rsidP="00471A4C">
      <w:pPr>
        <w:jc w:val="both"/>
      </w:pPr>
    </w:p>
    <w:p w14:paraId="5E2F328A" w14:textId="41212AEF" w:rsidR="00F322F6" w:rsidRPr="00C830A5" w:rsidRDefault="00F322F6" w:rsidP="00471A4C">
      <w:pPr>
        <w:jc w:val="both"/>
        <w:rPr>
          <w:i/>
          <w:iCs/>
          <w:u w:val="single"/>
        </w:rPr>
      </w:pPr>
      <w:r w:rsidRPr="00C830A5">
        <w:rPr>
          <w:i/>
          <w:iCs/>
          <w:u w:val="single"/>
        </w:rPr>
        <w:t xml:space="preserve">Evolution </w:t>
      </w:r>
    </w:p>
    <w:p w14:paraId="55C5D35F" w14:textId="6D54EBEC" w:rsidR="0036783A" w:rsidRDefault="00F322F6" w:rsidP="00471A4C">
      <w:pPr>
        <w:jc w:val="both"/>
      </w:pPr>
      <w:r>
        <w:t>In recent years, there has been a change in the way corporate governance is understood and implemented in emerging economies. While earlier studies often relied upon Western models and regulatory systems</w:t>
      </w:r>
      <w:r w:rsidR="00BB3EC6">
        <w:t>,</w:t>
      </w:r>
      <w:r w:rsidR="005D2327">
        <w:t xml:space="preserve"> especially those developed in the United Kingdom</w:t>
      </w:r>
      <w:r w:rsidR="00BB3EC6">
        <w:t xml:space="preserve"> and United States.</w:t>
      </w:r>
      <w:r w:rsidR="005D2327">
        <w:rPr>
          <w:rStyle w:val="FootnoteReference"/>
        </w:rPr>
        <w:footnoteReference w:id="12"/>
      </w:r>
      <w:r w:rsidR="00BB3EC6">
        <w:t xml:space="preserve"> These studies used frameworks like the Anglo-American shareholder model and agency theory.  R</w:t>
      </w:r>
      <w:r>
        <w:t xml:space="preserve">ecent </w:t>
      </w:r>
      <w:r w:rsidR="00BB3EC6">
        <w:t>studies</w:t>
      </w:r>
      <w:r w:rsidR="005D2327">
        <w:t xml:space="preserve"> however</w:t>
      </w:r>
      <w:r>
        <w:t xml:space="preserve"> </w:t>
      </w:r>
      <w:r w:rsidR="00BB3EC6">
        <w:t xml:space="preserve">have </w:t>
      </w:r>
      <w:r>
        <w:t xml:space="preserve">placed greater emphasis on how local institutions, cultures and political conditions influence </w:t>
      </w:r>
      <w:r w:rsidR="00BB3EC6">
        <w:t xml:space="preserve">corporate </w:t>
      </w:r>
      <w:r>
        <w:t>governance</w:t>
      </w:r>
      <w:r w:rsidR="00BB3EC6">
        <w:t xml:space="preserve"> in emerging economies</w:t>
      </w:r>
      <w:r>
        <w:rPr>
          <w:rStyle w:val="FootnoteReference"/>
        </w:rPr>
        <w:footnoteReference w:id="13"/>
      </w:r>
      <w:r w:rsidR="00BB3EC6">
        <w:t xml:space="preserve"> by moving beyond the limitations of Western-centric models.  Academics as such are increasingly examining how informal institutions such as social networks, family structures and traditional practices affect corporate governance arrangements and board dynamics, thereby improving their understanding beyond formal regulations.</w:t>
      </w:r>
      <w:r w:rsidR="00DC74D6">
        <w:t xml:space="preserve"> Estrin &amp; Prevezer for instance highlight the impact of informal institutions in shaping corporate governance in BRIC countries</w:t>
      </w:r>
      <w:r w:rsidR="00DC74D6">
        <w:rPr>
          <w:rStyle w:val="FootnoteReference"/>
        </w:rPr>
        <w:footnoteReference w:id="14"/>
      </w:r>
      <w:r w:rsidR="0036783A">
        <w:t>.</w:t>
      </w:r>
    </w:p>
    <w:p w14:paraId="28671B17" w14:textId="699B6EC0" w:rsidR="00F322F6" w:rsidRPr="00FF7A40" w:rsidRDefault="0036783A" w:rsidP="00471A4C">
      <w:pPr>
        <w:jc w:val="both"/>
      </w:pPr>
      <w:r>
        <w:t>Moreover, the reliance on Western frameworks as was the case in earlier studies has been critiqued due to them not fully capturing the unique complexities of non-Western contexts</w:t>
      </w:r>
      <w:r w:rsidR="008E5374">
        <w:t xml:space="preserve">, LLSV studies of the late 1990s and early 2000s </w:t>
      </w:r>
      <w:r w:rsidR="00544FFF">
        <w:t>established</w:t>
      </w:r>
      <w:r w:rsidR="008E5374">
        <w:t xml:space="preserve"> the primacy of legal frameworks and investor protection regimes rooted in Western Jurisprudence</w:t>
      </w:r>
      <w:r w:rsidR="00F341F9">
        <w:rPr>
          <w:rStyle w:val="FootnoteReference"/>
        </w:rPr>
        <w:footnoteReference w:id="15"/>
      </w:r>
      <w:r>
        <w:t>.  Therefore, more recent studies have applied multi-level frameworks which consider the interaction between formal rules and informal practices</w:t>
      </w:r>
      <w:r w:rsidR="00F341F9">
        <w:rPr>
          <w:rStyle w:val="FootnoteReference"/>
        </w:rPr>
        <w:footnoteReference w:id="16"/>
      </w:r>
      <w:r>
        <w:t>.  It is considered that these approaches allow for a better understanding of how governance systems adapt to</w:t>
      </w:r>
      <w:r w:rsidR="00F341F9">
        <w:t xml:space="preserve"> challenges and opportunities, and how local political conditions such as government intervention or regulatory enforcement can affect transparency, disclosure and the effectiveness of reforms</w:t>
      </w:r>
      <w:r w:rsidR="00F341F9">
        <w:rPr>
          <w:rStyle w:val="FootnoteReference"/>
        </w:rPr>
        <w:footnoteReference w:id="17"/>
      </w:r>
      <w:r w:rsidR="00F341F9">
        <w:t>.</w:t>
      </w:r>
    </w:p>
    <w:p w14:paraId="79452074" w14:textId="712ED3E3" w:rsidR="008572F1" w:rsidRPr="008572F1" w:rsidRDefault="008572F1" w:rsidP="00471A4C">
      <w:pPr>
        <w:jc w:val="both"/>
      </w:pPr>
      <w:r>
        <w:t>The evolution of the research in this area appears to acknowledge the significance of historical, cultural and institutional factors shape corporate governance practices which in turn provide</w:t>
      </w:r>
      <w:r w:rsidR="00603BD4">
        <w:t>s</w:t>
      </w:r>
      <w:r>
        <w:t xml:space="preserve"> a more nuanced and comprehensive understanding of corporate governance in emerging economies.</w:t>
      </w:r>
    </w:p>
    <w:p w14:paraId="543D0C19" w14:textId="77777777" w:rsidR="00F322F6" w:rsidRDefault="00F322F6" w:rsidP="00471A4C">
      <w:pPr>
        <w:jc w:val="both"/>
        <w:rPr>
          <w:b/>
          <w:bCs/>
        </w:rPr>
      </w:pPr>
    </w:p>
    <w:p w14:paraId="7ECAEF21" w14:textId="622B7FBE" w:rsidR="007059F2" w:rsidRPr="00C830A5" w:rsidRDefault="007059F2" w:rsidP="00471A4C">
      <w:pPr>
        <w:jc w:val="both"/>
        <w:rPr>
          <w:i/>
          <w:iCs/>
          <w:u w:val="single"/>
        </w:rPr>
      </w:pPr>
      <w:r w:rsidRPr="00C830A5">
        <w:rPr>
          <w:i/>
          <w:iCs/>
          <w:u w:val="single"/>
        </w:rPr>
        <w:t>Insufficient Disclosure and Transparency</w:t>
      </w:r>
    </w:p>
    <w:p w14:paraId="33CAB20F" w14:textId="218AD61E" w:rsidR="001B316A" w:rsidRDefault="00205C4E" w:rsidP="00471A4C">
      <w:pPr>
        <w:jc w:val="both"/>
      </w:pPr>
      <w:r w:rsidRPr="00205C4E">
        <w:t>Frequently cited challenges in emerging economies</w:t>
      </w:r>
      <w:r>
        <w:t xml:space="preserve"> are the prevalent lack of disclosure and transparency in corporate reporting.  Transparency is one of four fundamental principles</w:t>
      </w:r>
      <w:r>
        <w:rPr>
          <w:rStyle w:val="FootnoteReference"/>
        </w:rPr>
        <w:footnoteReference w:id="18"/>
      </w:r>
      <w:r>
        <w:t xml:space="preserve"> in corporate governance; it </w:t>
      </w:r>
      <w:r w:rsidRPr="00205C4E">
        <w:t xml:space="preserve">builds trust between stakeholders of an </w:t>
      </w:r>
      <w:r w:rsidRPr="00205C4E">
        <w:t>organisation,</w:t>
      </w:r>
      <w:r w:rsidRPr="00205C4E">
        <w:t xml:space="preserve"> and it refers to the practice of </w:t>
      </w:r>
      <w:r w:rsidRPr="00205C4E">
        <w:lastRenderedPageBreak/>
        <w:t>acting openly, honestly and with the integrity with which a company operates.</w:t>
      </w:r>
      <w:r w:rsidRPr="00205C4E">
        <w:t xml:space="preserve"> </w:t>
      </w:r>
      <w:r w:rsidRPr="00205C4E">
        <w:t xml:space="preserve">This </w:t>
      </w:r>
      <w:r>
        <w:t xml:space="preserve">encompasses </w:t>
      </w:r>
      <w:r w:rsidRPr="00205C4E">
        <w:t>the disclosure of financial and operational information, as well as the processes and</w:t>
      </w:r>
      <w:r>
        <w:t xml:space="preserve"> strategic</w:t>
      </w:r>
      <w:r w:rsidRPr="00205C4E">
        <w:t xml:space="preserve"> decisions of the board and management.  Transparency helps build trust and allows stakeholders to make informed decisions.</w:t>
      </w:r>
      <w:r w:rsidR="0089274D">
        <w:t xml:space="preserve">  However, disclosure practices in many emerging economies are insufficient, inconsistent and subject to manipulation</w:t>
      </w:r>
      <w:r w:rsidR="0089274D">
        <w:rPr>
          <w:rStyle w:val="FootnoteReference"/>
        </w:rPr>
        <w:footnoteReference w:id="19"/>
      </w:r>
      <w:r w:rsidR="00D853E4">
        <w:t xml:space="preserve"> with studies consistently identifying deficiencies in both mandatory and voluntary disclosure practices</w:t>
      </w:r>
      <w:r w:rsidR="00D853E4">
        <w:rPr>
          <w:rStyle w:val="FootnoteReference"/>
        </w:rPr>
        <w:footnoteReference w:id="20"/>
      </w:r>
      <w:r w:rsidR="006E22ED">
        <w:t xml:space="preserve"> and</w:t>
      </w:r>
      <w:r w:rsidR="001B316A">
        <w:t xml:space="preserve"> highlights the prevalence of non-transparent financial reporting and selective disclosure of information within emerging economies</w:t>
      </w:r>
      <w:r w:rsidR="001B316A">
        <w:rPr>
          <w:rStyle w:val="FootnoteReference"/>
        </w:rPr>
        <w:footnoteReference w:id="21"/>
      </w:r>
      <w:r w:rsidR="001B316A">
        <w:t>.</w:t>
      </w:r>
    </w:p>
    <w:p w14:paraId="53BC1520" w14:textId="743AFB8A" w:rsidR="00941791" w:rsidRDefault="006E22ED" w:rsidP="00471A4C">
      <w:pPr>
        <w:jc w:val="both"/>
      </w:pPr>
      <w:r>
        <w:t>Studies have identified several barriers to effective disclosure with it acknowledged that regulatory environments are often fragmented, inconsistent enforcement and non-compliance penalties</w:t>
      </w:r>
      <w:r w:rsidR="00A51AFD">
        <w:t>, all of which impede meaningful</w:t>
      </w:r>
      <w:r>
        <w:t xml:space="preserve"> behavioural change</w:t>
      </w:r>
      <w:r>
        <w:rPr>
          <w:rStyle w:val="FootnoteReference"/>
        </w:rPr>
        <w:footnoteReference w:id="22"/>
      </w:r>
      <w:r>
        <w:t xml:space="preserve">. In Sub-Saharan Africa, disclosure is limited by insufficient regulatory oversight and the dominance of family and </w:t>
      </w:r>
      <w:r w:rsidR="002C398B">
        <w:t>state-controlled</w:t>
      </w:r>
      <w:r>
        <w:t xml:space="preserve"> companies which prefer opacity </w:t>
      </w:r>
      <w:r w:rsidR="002C398B">
        <w:t>due to</w:t>
      </w:r>
      <w:r>
        <w:t xml:space="preserve"> strategic and political reasons.</w:t>
      </w:r>
      <w:r w:rsidR="002C398B">
        <w:t xml:space="preserve"> Similarly, in Latin America, weak accounting standards and a lack of investor activism impedes transparency</w:t>
      </w:r>
      <w:r w:rsidR="002C398B">
        <w:rPr>
          <w:rStyle w:val="FootnoteReference"/>
        </w:rPr>
        <w:footnoteReference w:id="23"/>
      </w:r>
      <w:r w:rsidR="002C398B">
        <w:t>.</w:t>
      </w:r>
    </w:p>
    <w:p w14:paraId="3CB6AEB2" w14:textId="53E6BE1B" w:rsidR="00941791" w:rsidRDefault="00941791" w:rsidP="00471A4C">
      <w:pPr>
        <w:jc w:val="both"/>
      </w:pPr>
      <w:r>
        <w:t>Current literature indicate</w:t>
      </w:r>
      <w:r w:rsidR="00D22E97">
        <w:t>s</w:t>
      </w:r>
      <w:r>
        <w:t xml:space="preserve"> that voluntary disclosure tends to be weak in environments with low investor protection, low trust and minimal market discipline</w:t>
      </w:r>
      <w:r>
        <w:rPr>
          <w:rStyle w:val="FootnoteReference"/>
        </w:rPr>
        <w:footnoteReference w:id="24"/>
      </w:r>
      <w:r>
        <w:t>.  Consequently, organisations are less likely to adopt best practices unless explicitly mandated to do so.  Although mandatory disclosure requirements</w:t>
      </w:r>
      <w:r w:rsidR="008565F5">
        <w:t xml:space="preserve"> have the potential to improve transparency, their effectiveness is generally undermined by inadequate </w:t>
      </w:r>
      <w:r>
        <w:t>implementation and lack of judicial enforcement</w:t>
      </w:r>
      <w:r>
        <w:rPr>
          <w:rStyle w:val="FootnoteReference"/>
        </w:rPr>
        <w:footnoteReference w:id="25"/>
      </w:r>
      <w:r>
        <w:t>.</w:t>
      </w:r>
    </w:p>
    <w:p w14:paraId="6C135B6D" w14:textId="0620AADD" w:rsidR="00D22E97" w:rsidRDefault="00D22E97" w:rsidP="00471A4C">
      <w:pPr>
        <w:jc w:val="both"/>
      </w:pPr>
      <w:r>
        <w:t>The consequence of insufficient disclosure affects everyone in the market.  Investors face heightened risks of expropriation and adverse selection</w:t>
      </w:r>
      <w:r>
        <w:rPr>
          <w:rStyle w:val="FootnoteReference"/>
        </w:rPr>
        <w:footnoteReference w:id="26"/>
      </w:r>
      <w:r>
        <w:t>, while minority shareholders are particularly at risk due to to information asymmetry, which can exacerbate agency problems and undermine trust in the overall financial system</w:t>
      </w:r>
      <w:r>
        <w:rPr>
          <w:rStyle w:val="FootnoteReference"/>
        </w:rPr>
        <w:footnoteReference w:id="27"/>
      </w:r>
      <w:r>
        <w:t>.</w:t>
      </w:r>
    </w:p>
    <w:p w14:paraId="6404378A" w14:textId="5F1510CE" w:rsidR="00416B22" w:rsidRDefault="003C3EFB" w:rsidP="00471A4C">
      <w:pPr>
        <w:jc w:val="both"/>
      </w:pPr>
      <w:r>
        <w:t>Although the literature consistently highlights the widespread issue of insufficient disclosure, agreement relating to the success of reform measures remain limited.  Some studies argue that regulatory changes have led to incremental improvements</w:t>
      </w:r>
      <w:r w:rsidR="003A5934">
        <w:rPr>
          <w:rStyle w:val="FootnoteReference"/>
        </w:rPr>
        <w:footnoteReference w:id="28"/>
      </w:r>
      <w:r>
        <w:t>, some, however, argue that without parallel improvements in enforcement and market discipline, disclosure reforms have limited impact.</w:t>
      </w:r>
    </w:p>
    <w:p w14:paraId="687D562F" w14:textId="0C862271" w:rsidR="003A5934" w:rsidRDefault="003A5934" w:rsidP="00471A4C">
      <w:pPr>
        <w:jc w:val="both"/>
      </w:pPr>
      <w:r>
        <w:t>Methodologically, much of the research relies on quantitative analysis of disclosure indices, firm-level data and cross-country comparisons.  W</w:t>
      </w:r>
      <w:r w:rsidR="00F5492E">
        <w:t>h</w:t>
      </w:r>
      <w:r>
        <w:t>ile these approache</w:t>
      </w:r>
      <w:r w:rsidR="00025E6D">
        <w:t>s</w:t>
      </w:r>
      <w:r>
        <w:t xml:space="preserve"> offer valuable insights, they may understate the role of informal practices, cultural norms and enforcement gaps.  Qualitative case </w:t>
      </w:r>
      <w:r>
        <w:lastRenderedPageBreak/>
        <w:t>studies, and ethnographic research remain relatively underutilised but could shed light on the micro-dynamics of transparency.</w:t>
      </w:r>
    </w:p>
    <w:p w14:paraId="324358B0" w14:textId="48AC4C12" w:rsidR="00025E6D" w:rsidRDefault="00025E6D" w:rsidP="00471A4C">
      <w:pPr>
        <w:jc w:val="both"/>
      </w:pPr>
      <w:r>
        <w:t xml:space="preserve">A major trend is the increasing use of digital technologies and integrated reporting frameworks to enhance transparency.  However, because emerging economies differ in their access to technology and adoption rates, progress remains inconsistent. This indicates that future research should adopt a broader approach by integrating bother formal and informal aspects of disclosure practices.  </w:t>
      </w:r>
    </w:p>
    <w:p w14:paraId="1E9C53E7" w14:textId="15C25A8E" w:rsidR="00025E6D" w:rsidRDefault="00025E6D" w:rsidP="00471A4C">
      <w:pPr>
        <w:jc w:val="both"/>
        <w:rPr>
          <w:rFonts w:ascii="Calibri" w:hAnsi="Calibri" w:cs="Calibri"/>
          <w:color w:val="000000"/>
        </w:rPr>
      </w:pPr>
      <w:r>
        <w:rPr>
          <w:rFonts w:ascii="Calibri" w:hAnsi="Calibri" w:cs="Calibri"/>
          <w:color w:val="000000"/>
        </w:rPr>
        <w:t>It is essential to examine how regulatory reforms, enforcement mechanisms and cultural or organisational factors collectively influence transparency outcomes in practice.  Additionally, the development of more sophisticated measurement tools such a qualitative indices or comprehensive case studies could improve the understanding of obstacles to effective disclosure and support the design of more targeted policy interventions.</w:t>
      </w:r>
    </w:p>
    <w:p w14:paraId="5662B39D" w14:textId="7B9C2498" w:rsidR="00025E6D" w:rsidRDefault="00025E6D" w:rsidP="00AD79ED">
      <w:pPr>
        <w:jc w:val="both"/>
        <w:rPr>
          <w:rFonts w:ascii="Calibri" w:hAnsi="Calibri" w:cs="Calibri"/>
          <w:color w:val="000000"/>
        </w:rPr>
      </w:pPr>
      <w:r w:rsidRPr="00025E6D">
        <w:rPr>
          <w:rFonts w:ascii="Calibri" w:hAnsi="Calibri" w:cs="Calibri"/>
          <w:color w:val="000000"/>
        </w:rPr>
        <w:t>Additionally, the development of more sophisticated measurement tools, such as qualitative indices or comprehensive case studies, could improve the understanding of obstacles to effective disclosure and support the design of more targeted policy interventions.</w:t>
      </w:r>
    </w:p>
    <w:p w14:paraId="77AD0626" w14:textId="69041E48" w:rsidR="00AD79ED" w:rsidRDefault="00AD79ED" w:rsidP="00AD79ED">
      <w:pPr>
        <w:jc w:val="both"/>
        <w:rPr>
          <w:rFonts w:ascii="Calibri" w:hAnsi="Calibri" w:cs="Calibri"/>
          <w:color w:val="000000"/>
        </w:rPr>
      </w:pPr>
      <w:r>
        <w:rPr>
          <w:rFonts w:ascii="Calibri" w:hAnsi="Calibri" w:cs="Calibri"/>
          <w:color w:val="000000"/>
        </w:rPr>
        <w:t>Despite these challenges, there is growing recognition among policymakers of the need to strengthen disclosure regimes.  Recent initiatives in some emerging economies have focused on enhancing the independence of audit committees, mandating greater board accountability, and encouraging voluntary adoption of international reporting standards</w:t>
      </w:r>
      <w:r>
        <w:rPr>
          <w:rStyle w:val="FootnoteReference"/>
          <w:rFonts w:ascii="Calibri" w:hAnsi="Calibri" w:cs="Calibri"/>
          <w:color w:val="000000"/>
        </w:rPr>
        <w:footnoteReference w:id="29"/>
      </w:r>
      <w:r>
        <w:rPr>
          <w:rFonts w:ascii="Calibri" w:hAnsi="Calibri" w:cs="Calibri"/>
          <w:color w:val="000000"/>
        </w:rPr>
        <w:t>. Nonetheless, sustained progress will require not only regulatory reforms but also a shift in corporate culture and greater involvement from stakeholders including minority shareholders.</w:t>
      </w:r>
    </w:p>
    <w:p w14:paraId="1E72B538" w14:textId="77777777" w:rsidR="00025E6D" w:rsidRDefault="00025E6D" w:rsidP="00471A4C">
      <w:pPr>
        <w:jc w:val="both"/>
        <w:rPr>
          <w:rFonts w:ascii="Calibri" w:hAnsi="Calibri" w:cs="Calibri"/>
          <w:color w:val="000000"/>
        </w:rPr>
      </w:pPr>
    </w:p>
    <w:p w14:paraId="583C805D" w14:textId="14EF3678" w:rsidR="007059F2" w:rsidRPr="00C830A5" w:rsidRDefault="007059F2" w:rsidP="00471A4C">
      <w:pPr>
        <w:jc w:val="both"/>
        <w:rPr>
          <w:i/>
          <w:iCs/>
          <w:u w:val="single"/>
        </w:rPr>
      </w:pPr>
      <w:r w:rsidRPr="00C830A5">
        <w:rPr>
          <w:i/>
          <w:iCs/>
          <w:u w:val="single"/>
        </w:rPr>
        <w:t>Political Interference</w:t>
      </w:r>
    </w:p>
    <w:p w14:paraId="2ED4E138" w14:textId="4827879B" w:rsidR="00C618FF" w:rsidRDefault="00FF7A40" w:rsidP="00471A4C">
      <w:pPr>
        <w:jc w:val="both"/>
      </w:pPr>
      <w:r>
        <w:t>Political interference in corporate governance is common in many emerging economies, manifesting in politicised appointments, regulatory favouritism and selective enforcement.</w:t>
      </w:r>
      <w:r w:rsidR="00031128">
        <w:t xml:space="preserve"> These factors significantly influence governance practices, which at times can challenge standards of accountability and market discipline.  </w:t>
      </w:r>
      <w:r>
        <w:t>Studies highlight that</w:t>
      </w:r>
      <w:r w:rsidR="00031128">
        <w:t xml:space="preserve"> organisations with political connections benefit from preferential treatment, such as access to finance regulatory exemptions or protection from competition.  In China, the prevalence of state-owned</w:t>
      </w:r>
      <w:r>
        <w:t xml:space="preserve"> enterprises and </w:t>
      </w:r>
      <w:r w:rsidR="00031128">
        <w:t>the Communist Party’s role in corporate boards create unique governance dynamics</w:t>
      </w:r>
      <w:r w:rsidR="00031128">
        <w:rPr>
          <w:rStyle w:val="FootnoteReference"/>
        </w:rPr>
        <w:footnoteReference w:id="30"/>
      </w:r>
      <w:r w:rsidR="00031128">
        <w:t xml:space="preserve">. </w:t>
      </w:r>
    </w:p>
    <w:p w14:paraId="4F2D500E" w14:textId="171F9CB9" w:rsidR="00416B22" w:rsidRDefault="00031128" w:rsidP="00471A4C">
      <w:pPr>
        <w:jc w:val="both"/>
      </w:pPr>
      <w:r>
        <w:t>P</w:t>
      </w:r>
      <w:r w:rsidR="00FF7A40">
        <w:t>olitical appointments to boards result in conflicts of interest, erosion of board independence, and reduced accountability</w:t>
      </w:r>
      <w:r w:rsidR="00FF7A40">
        <w:rPr>
          <w:rStyle w:val="FootnoteReference"/>
        </w:rPr>
        <w:footnoteReference w:id="31"/>
      </w:r>
      <w:r w:rsidR="00FF7A40">
        <w:t xml:space="preserve">. </w:t>
      </w:r>
      <w:r w:rsidR="00C618FF">
        <w:t xml:space="preserve">The literature highlights the risks associated with political interference including corruption, </w:t>
      </w:r>
      <w:r w:rsidR="007D061B">
        <w:t>rent seeking</w:t>
      </w:r>
      <w:r w:rsidR="00C618FF">
        <w:t xml:space="preserve"> and the erosion of investor confidence.  </w:t>
      </w:r>
      <w:r w:rsidR="00FF7A40">
        <w:t>Political interference often leads to suboptimal investment, inefficient capital allocation and limited managerial autonomy</w:t>
      </w:r>
      <w:r w:rsidR="00FF7A40">
        <w:rPr>
          <w:rStyle w:val="FootnoteReference"/>
        </w:rPr>
        <w:footnoteReference w:id="32"/>
      </w:r>
      <w:r w:rsidR="00FF7A40">
        <w:t>.</w:t>
      </w:r>
    </w:p>
    <w:p w14:paraId="481426F6" w14:textId="0D702FF6" w:rsidR="001E42CA" w:rsidRDefault="001E42CA" w:rsidP="00471A4C">
      <w:pPr>
        <w:jc w:val="both"/>
      </w:pPr>
      <w:r>
        <w:lastRenderedPageBreak/>
        <w:t>While the association between political interference and weak governance is well established, there is academic debate over its long-term impact.  Some academics</w:t>
      </w:r>
      <w:r>
        <w:rPr>
          <w:rStyle w:val="FootnoteReference"/>
        </w:rPr>
        <w:footnoteReference w:id="33"/>
      </w:r>
      <w:r>
        <w:t xml:space="preserve"> argue that state involvement can in some contexts provide stability and facilitate strategic investments.  Whereas others caution that such benefits are often outweigh by the costs of inefficiency, corruption and distorted incentives</w:t>
      </w:r>
      <w:r>
        <w:rPr>
          <w:rStyle w:val="FootnoteReference"/>
        </w:rPr>
        <w:footnoteReference w:id="34"/>
      </w:r>
      <w:r>
        <w:t>.</w:t>
      </w:r>
    </w:p>
    <w:p w14:paraId="2BA51DFF" w14:textId="2FF58A37" w:rsidR="009C782E" w:rsidRPr="00FF7A40" w:rsidRDefault="007D061B" w:rsidP="00471A4C">
      <w:pPr>
        <w:jc w:val="both"/>
      </w:pPr>
      <w:r>
        <w:t>Methodologically, research in this area often employs case studies and econometric analyses of firm performance relative to political events or ownership changes.  However, as noted by Bertrand et al</w:t>
      </w:r>
      <w:r>
        <w:rPr>
          <w:rStyle w:val="FootnoteReference"/>
        </w:rPr>
        <w:footnoteReference w:id="35"/>
      </w:r>
      <w:r w:rsidR="001E42CA">
        <w:t xml:space="preserve"> </w:t>
      </w:r>
      <w:r w:rsidR="001E42CA">
        <w:t>isolating the effects of political interference from broader institutional weaknesses remains challenging</w:t>
      </w:r>
      <w:r w:rsidR="001E42CA">
        <w:t>. A notable gap in the literature is the limited exploration of mechanisms for mitigating political interference such as the role of independent directors and international investors.  Comparative studies</w:t>
      </w:r>
      <w:r w:rsidR="00490640">
        <w:t xml:space="preserve"> across emerging economies with varying degrees of state intervention could provide valuable insights</w:t>
      </w:r>
      <w:r w:rsidR="00490640">
        <w:rPr>
          <w:rStyle w:val="FootnoteReference"/>
        </w:rPr>
        <w:footnoteReference w:id="36"/>
      </w:r>
      <w:r w:rsidR="00490640">
        <w:t>.</w:t>
      </w:r>
    </w:p>
    <w:p w14:paraId="793ECC76" w14:textId="77777777" w:rsidR="00416B22" w:rsidRDefault="00416B22" w:rsidP="00471A4C">
      <w:pPr>
        <w:jc w:val="both"/>
        <w:rPr>
          <w:u w:val="single"/>
        </w:rPr>
      </w:pPr>
    </w:p>
    <w:p w14:paraId="3D028C1D" w14:textId="2F53D889" w:rsidR="007059F2" w:rsidRPr="00C830A5" w:rsidRDefault="007059F2" w:rsidP="00471A4C">
      <w:pPr>
        <w:jc w:val="both"/>
        <w:rPr>
          <w:i/>
          <w:iCs/>
          <w:u w:val="single"/>
        </w:rPr>
      </w:pPr>
      <w:r w:rsidRPr="00C830A5">
        <w:rPr>
          <w:i/>
          <w:iCs/>
          <w:u w:val="single"/>
        </w:rPr>
        <w:t>Weak Legal and Regulatory Frameworks</w:t>
      </w:r>
    </w:p>
    <w:p w14:paraId="713ECCB1" w14:textId="1D6B3240" w:rsidR="007059F2" w:rsidRDefault="00C22583" w:rsidP="00471A4C">
      <w:pPr>
        <w:jc w:val="both"/>
      </w:pPr>
      <w:r>
        <w:t>The effectiveness of corporate governance is inextricably linked to the robustness of legal and regulatory frameworks however, in emerging economies, challenges arise due to fragmented legislation, inconsistent enforcement and restricted judicial capacity</w:t>
      </w:r>
      <w:r>
        <w:rPr>
          <w:rStyle w:val="FootnoteReference"/>
        </w:rPr>
        <w:footnoteReference w:id="37"/>
      </w:r>
      <w:r>
        <w:t>.</w:t>
      </w:r>
    </w:p>
    <w:p w14:paraId="6FA757E4" w14:textId="4212B394" w:rsidR="00C22583" w:rsidRDefault="00B94314" w:rsidP="00471A4C">
      <w:pPr>
        <w:jc w:val="both"/>
      </w:pPr>
      <w:r>
        <w:t>Recent literature emphasises the influence of legal origins and institutional quality on the development of investor protections corporate governance practices</w:t>
      </w:r>
      <w:r>
        <w:rPr>
          <w:rStyle w:val="FootnoteReference"/>
        </w:rPr>
        <w:footnoteReference w:id="38"/>
      </w:r>
      <w:r>
        <w:t xml:space="preserve"> which extend earlier</w:t>
      </w:r>
      <w:r w:rsidR="00C22583">
        <w:t xml:space="preserve"> research</w:t>
      </w:r>
      <w:r>
        <w:t xml:space="preserve"> which</w:t>
      </w:r>
      <w:r w:rsidR="00C22583">
        <w:t xml:space="preserve"> underscores the importance of legal origins, noting that common law jurisdictions typically demonstrate stronger investor protection that that of civil law jurisdictions</w:t>
      </w:r>
      <w:r w:rsidR="00C22583">
        <w:rPr>
          <w:rStyle w:val="FootnoteReference"/>
        </w:rPr>
        <w:footnoteReference w:id="39"/>
      </w:r>
      <w:r w:rsidR="00C22583">
        <w:t>.  However, the literature also highlights considerable variation within individual countries, influenced by local institutions, enforcement practices and legal reforms</w:t>
      </w:r>
      <w:r w:rsidR="00C22583">
        <w:rPr>
          <w:rStyle w:val="FootnoteReference"/>
        </w:rPr>
        <w:footnoteReference w:id="40"/>
      </w:r>
      <w:r w:rsidR="00C22583">
        <w:t>.</w:t>
      </w:r>
    </w:p>
    <w:p w14:paraId="1D1F01B5" w14:textId="358B3E01" w:rsidR="00125548" w:rsidRDefault="00125548" w:rsidP="00471A4C">
      <w:pPr>
        <w:jc w:val="both"/>
      </w:pPr>
      <w:r>
        <w:t>Recent studies highlight the widespread adoption of corporate governance codes and regulatory reforms throughout emerging economies which often follow international standards such as the OECD Principles of Corporate Governance</w:t>
      </w:r>
      <w:r>
        <w:rPr>
          <w:rStyle w:val="FootnoteReference"/>
        </w:rPr>
        <w:footnoteReference w:id="41"/>
      </w:r>
      <w:r>
        <w:t xml:space="preserve">, but implementation however remains inconsistent due to several </w:t>
      </w:r>
      <w:r w:rsidR="00813725">
        <w:t>interrelated</w:t>
      </w:r>
      <w:r>
        <w:t xml:space="preserve"> factors which are commonly identified in the literature.  Firstly, many emerging economies face constraints in regulatory capacity owing to their agencies not possessing sufficient resources</w:t>
      </w:r>
      <w:r w:rsidR="00A877ED">
        <w:t>, knowledge, expertise or institutional independence that is necessary for effective enforcement</w:t>
      </w:r>
      <w:r w:rsidR="00A877ED">
        <w:rPr>
          <w:rStyle w:val="FootnoteReference"/>
        </w:rPr>
        <w:footnoteReference w:id="42"/>
      </w:r>
      <w:r w:rsidR="00A877ED">
        <w:t>.</w:t>
      </w:r>
      <w:r w:rsidR="00813725">
        <w:t xml:space="preserve">  This can be seen in sub-Saharan Africa where weak regulatory capacity and constraints </w:t>
      </w:r>
      <w:r w:rsidR="00813725">
        <w:lastRenderedPageBreak/>
        <w:t>hinder the application of governance standards</w:t>
      </w:r>
      <w:r w:rsidR="00813725">
        <w:rPr>
          <w:rStyle w:val="FootnoteReference"/>
        </w:rPr>
        <w:footnoteReference w:id="43"/>
      </w:r>
      <w:r w:rsidR="00813725">
        <w:t>.</w:t>
      </w:r>
      <w:r w:rsidR="000A4E0B">
        <w:t xml:space="preserve"> In addition, when several regulatory authorities have overlapping </w:t>
      </w:r>
      <w:r w:rsidR="00EA27D2">
        <w:t>responsibilities,</w:t>
      </w:r>
      <w:r w:rsidR="000A4E0B">
        <w:t xml:space="preserve"> it can lead to confusion and enable regulatory arbitrage which ultimately weakens the effectiveness of the reforms</w:t>
      </w:r>
      <w:r w:rsidR="00782515">
        <w:t>.</w:t>
      </w:r>
      <w:r w:rsidR="000A4E0B">
        <w:rPr>
          <w:rStyle w:val="FootnoteReference"/>
        </w:rPr>
        <w:footnoteReference w:id="44"/>
      </w:r>
      <w:r w:rsidR="0093766A">
        <w:t xml:space="preserve"> D’Souza et al demonstrate that improvements in legal and regulatory structures are associated with better corporate governance and </w:t>
      </w:r>
      <w:r w:rsidR="00276612">
        <w:t>organisation</w:t>
      </w:r>
      <w:r w:rsidR="0093766A">
        <w:t xml:space="preserve"> performance, but only when reforms are adapted to the specific institutional context</w:t>
      </w:r>
      <w:r w:rsidR="0093766A">
        <w:rPr>
          <w:rStyle w:val="FootnoteReference"/>
        </w:rPr>
        <w:footnoteReference w:id="45"/>
      </w:r>
      <w:r w:rsidR="0093766A">
        <w:t>.</w:t>
      </w:r>
    </w:p>
    <w:p w14:paraId="6B15482E" w14:textId="3DAA15E0" w:rsidR="009B756E" w:rsidRDefault="009B756E" w:rsidP="00471A4C">
      <w:pPr>
        <w:jc w:val="both"/>
      </w:pPr>
      <w:r>
        <w:t>Although</w:t>
      </w:r>
      <w:r w:rsidR="00782515">
        <w:t xml:space="preserve"> legal reforms remain essential, the literature </w:t>
      </w:r>
      <w:r>
        <w:t>advised caution</w:t>
      </w:r>
      <w:r w:rsidR="00782515">
        <w:t xml:space="preserve"> against the direct </w:t>
      </w:r>
      <w:r>
        <w:t>adoption</w:t>
      </w:r>
      <w:r w:rsidR="00782515">
        <w:t xml:space="preserve"> of governance models from developed economies without appropriate adaptation. </w:t>
      </w:r>
      <w:r>
        <w:t xml:space="preserve">Both </w:t>
      </w:r>
      <w:r w:rsidR="00782515">
        <w:t>Boubakri et al</w:t>
      </w:r>
      <w:r w:rsidR="00782515">
        <w:rPr>
          <w:rStyle w:val="FootnoteReference"/>
        </w:rPr>
        <w:footnoteReference w:id="46"/>
      </w:r>
      <w:r w:rsidR="00782515">
        <w:t xml:space="preserve"> and Musacchio and Lazzarini</w:t>
      </w:r>
      <w:r w:rsidR="00782515">
        <w:rPr>
          <w:rStyle w:val="FootnoteReference"/>
        </w:rPr>
        <w:footnoteReference w:id="47"/>
      </w:r>
      <w:r w:rsidR="00782515">
        <w:t xml:space="preserve"> </w:t>
      </w:r>
      <w:r>
        <w:t>emphasise</w:t>
      </w:r>
      <w:r w:rsidR="00782515">
        <w:t xml:space="preserve"> that </w:t>
      </w:r>
      <w:r>
        <w:t>effective</w:t>
      </w:r>
      <w:r w:rsidR="00782515">
        <w:t xml:space="preserve"> governance reforms must be</w:t>
      </w:r>
      <w:r>
        <w:t xml:space="preserve"> tailored to local constitutional</w:t>
      </w:r>
      <w:r w:rsidR="00782515">
        <w:t xml:space="preserve"> realities, enforcement mechanisms and market structure as without, reforms risk being ineffective or even counterproductive, </w:t>
      </w:r>
      <w:r>
        <w:t>undermining the translation of legislative improvements into practical enforcement.</w:t>
      </w:r>
    </w:p>
    <w:p w14:paraId="7DD61118" w14:textId="3E42A31A" w:rsidR="00416B22" w:rsidRDefault="00416B22" w:rsidP="00471A4C">
      <w:pPr>
        <w:jc w:val="both"/>
      </w:pPr>
      <w:r>
        <w:t>Another key factor is the disconnect between formal legal frameworks (de jure) and how they are enforced (de facto). Research indicates that whilst comprehensive regulations may exist</w:t>
      </w:r>
      <w:r w:rsidR="0076763C">
        <w:t>,</w:t>
      </w:r>
      <w:r>
        <w:t xml:space="preserve"> their impact is limited by weak enforcement mechanisms, limited judicial resources and a lack of credible sanctions for violations</w:t>
      </w:r>
      <w:r>
        <w:rPr>
          <w:rStyle w:val="FootnoteReference"/>
        </w:rPr>
        <w:footnoteReference w:id="48"/>
      </w:r>
      <w:r>
        <w:t>. This gap in turn, creates uncertainty for investors and companies which prompts companies to rely on informal mechanisms to enforce contracts, therefore further weakening the rule of law</w:t>
      </w:r>
      <w:r>
        <w:rPr>
          <w:rStyle w:val="FootnoteReference"/>
        </w:rPr>
        <w:footnoteReference w:id="49"/>
      </w:r>
      <w:r>
        <w:t>.</w:t>
      </w:r>
    </w:p>
    <w:p w14:paraId="625ACBBC" w14:textId="0CBE5A99" w:rsidR="006774E6" w:rsidRDefault="002328EC" w:rsidP="00471A4C">
      <w:pPr>
        <w:jc w:val="both"/>
      </w:pPr>
      <w:r>
        <w:t xml:space="preserve">There is increasing </w:t>
      </w:r>
      <w:r w:rsidR="006774E6">
        <w:t>focus on the influence of</w:t>
      </w:r>
      <w:r>
        <w:t xml:space="preserve"> international actors such as financial institutions and donor agencies in </w:t>
      </w:r>
      <w:r w:rsidR="006774E6">
        <w:t>guiding</w:t>
      </w:r>
      <w:r>
        <w:t xml:space="preserve"> legal reforms</w:t>
      </w:r>
      <w:r w:rsidR="006774E6">
        <w:t>,</w:t>
      </w:r>
      <w:r>
        <w:t xml:space="preserve"> as well as the </w:t>
      </w:r>
      <w:r w:rsidR="006774E6">
        <w:t>importance of</w:t>
      </w:r>
      <w:r>
        <w:t xml:space="preserve"> sustained capacity building and stakeholder engagement.  </w:t>
      </w:r>
      <w:r w:rsidR="006774E6">
        <w:t>Customised training initiatives</w:t>
      </w:r>
      <w:r>
        <w:t xml:space="preserve">, iterative policy </w:t>
      </w:r>
      <w:r w:rsidR="006774E6">
        <w:t>assessments,</w:t>
      </w:r>
      <w:r>
        <w:t xml:space="preserve"> and ongoing dialogue </w:t>
      </w:r>
      <w:r w:rsidR="006774E6">
        <w:t>among</w:t>
      </w:r>
      <w:r>
        <w:t xml:space="preserve"> regulators, market participants and civil society are </w:t>
      </w:r>
      <w:r w:rsidR="006774E6">
        <w:t xml:space="preserve">regarded as essential to achieving </w:t>
      </w:r>
      <w:r>
        <w:t>meaningful improvements to corporate governance</w:t>
      </w:r>
      <w:r>
        <w:rPr>
          <w:rStyle w:val="FootnoteReference"/>
        </w:rPr>
        <w:footnoteReference w:id="50"/>
      </w:r>
      <w:r>
        <w:t>.</w:t>
      </w:r>
    </w:p>
    <w:p w14:paraId="063242DE" w14:textId="1D4C51A0" w:rsidR="005417BF" w:rsidRDefault="005417BF" w:rsidP="00471A4C">
      <w:pPr>
        <w:jc w:val="both"/>
      </w:pPr>
      <w:r>
        <w:t>Although existing literature warns against directly applying governance models from developed countries without proper adaption, a noticeable gap remains in that there is insufficient qualitative research exploring how local institutional actors perceive, modify and challenge imported corporate governance reforms.  Studies that draw on perspectives from law, political science, sociology and economics will be essential to clarify the processes that contribute to effective reform.</w:t>
      </w:r>
    </w:p>
    <w:p w14:paraId="32478753" w14:textId="77777777" w:rsidR="005417BF" w:rsidRDefault="005417BF" w:rsidP="00471A4C">
      <w:pPr>
        <w:jc w:val="both"/>
      </w:pPr>
    </w:p>
    <w:p w14:paraId="504FEBC9" w14:textId="11D44BBF" w:rsidR="007059F2" w:rsidRPr="00C830A5" w:rsidRDefault="007059F2" w:rsidP="00471A4C">
      <w:pPr>
        <w:jc w:val="both"/>
        <w:rPr>
          <w:i/>
          <w:iCs/>
          <w:u w:val="single"/>
        </w:rPr>
      </w:pPr>
      <w:r w:rsidRPr="00C830A5">
        <w:rPr>
          <w:i/>
          <w:iCs/>
          <w:u w:val="single"/>
        </w:rPr>
        <w:t>Underdeveloped Financial Markets</w:t>
      </w:r>
    </w:p>
    <w:p w14:paraId="667FCFFA" w14:textId="71DE3767" w:rsidR="00C31935" w:rsidRDefault="00C31935" w:rsidP="00471A4C">
      <w:pPr>
        <w:jc w:val="both"/>
      </w:pPr>
      <w:r>
        <w:t xml:space="preserve">The link between corporate governance and financial market development has received significant attention over the past three decades.  In emerging economies, weak legal systems, concentrated ownership and limited investor protection have often hindered both effective governance and deeper markets.  Since the early 2000s, policy changes and market reforms have sought to overcome these challenges, but notable obstacle remain.  Recent studies highlight an increasing awareness of how </w:t>
      </w:r>
      <w:r>
        <w:lastRenderedPageBreak/>
        <w:t>context specific factors such as institutional gaps, cultural norms and political dynamics influence both governance practices and market outcomes</w:t>
      </w:r>
      <w:r>
        <w:rPr>
          <w:rStyle w:val="FootnoteReference"/>
        </w:rPr>
        <w:footnoteReference w:id="51"/>
      </w:r>
      <w:r>
        <w:t>.</w:t>
      </w:r>
    </w:p>
    <w:p w14:paraId="02222382" w14:textId="03318289" w:rsidR="00471A4C" w:rsidRDefault="004D3166" w:rsidP="00471A4C">
      <w:pPr>
        <w:jc w:val="both"/>
      </w:pPr>
      <w:r w:rsidRPr="004D3166">
        <w:t>Underdeveloped financial markets</w:t>
      </w:r>
      <w:r>
        <w:t xml:space="preserve">, </w:t>
      </w:r>
      <w:r w:rsidRPr="004D3166">
        <w:t>characteri</w:t>
      </w:r>
      <w:r>
        <w:t>s</w:t>
      </w:r>
      <w:r w:rsidRPr="004D3166">
        <w:t>ed</w:t>
      </w:r>
      <w:r>
        <w:t xml:space="preserve"> by low liquidity, limited investor participations and weak legal regulatory oversight constrain the effectiveness of corporate governance reforms</w:t>
      </w:r>
      <w:r>
        <w:rPr>
          <w:rStyle w:val="FootnoteReference"/>
        </w:rPr>
        <w:footnoteReference w:id="52"/>
      </w:r>
      <w:r>
        <w:t>.  Several studies argue that when markets lack depth and liquidity, mechanisms such as market discipline and hostile takeovers become less effective, which can result in increases entrenchment and inefficiency.  In contrast, some research indicates that incremental improvements in market infrastructure may gradually lead to broader enhancements in governance</w:t>
      </w:r>
      <w:r w:rsidR="00CE3B3D">
        <w:rPr>
          <w:rStyle w:val="FootnoteReference"/>
        </w:rPr>
        <w:footnoteReference w:id="53"/>
      </w:r>
      <w:r>
        <w:t>.</w:t>
      </w:r>
    </w:p>
    <w:p w14:paraId="73DD4B60" w14:textId="12AE8692" w:rsidR="008E7BC0" w:rsidRDefault="008E7BC0" w:rsidP="00471A4C">
      <w:pPr>
        <w:jc w:val="both"/>
      </w:pPr>
      <w:r>
        <w:t>Allen et al demonstrate that insufficiently developed financial markets tend to weaken market discipline</w:t>
      </w:r>
      <w:r>
        <w:rPr>
          <w:rStyle w:val="FootnoteReference"/>
        </w:rPr>
        <w:footnoteReference w:id="54"/>
      </w:r>
      <w:r>
        <w:t xml:space="preserve"> by reducing company motivation to implement robust corporate governance practices an</w:t>
      </w:r>
      <w:r w:rsidR="00757F2D">
        <w:t>d further diminishing the capacity for effective external oversight. The absence of institutional investors and active shareholders further lessens the pressure on management to maintain transparency and accountability.</w:t>
      </w:r>
    </w:p>
    <w:p w14:paraId="0119F354" w14:textId="71861109" w:rsidR="00072D2C" w:rsidRDefault="00072D2C" w:rsidP="00471A4C">
      <w:pPr>
        <w:jc w:val="both"/>
      </w:pPr>
      <w:r>
        <w:t>Financial market development in these contexts is limited by regulatory constraints, high transaction costs and low financial literacy</w:t>
      </w:r>
      <w:r w:rsidR="00757F2D">
        <w:t>.  In certain regions</w:t>
      </w:r>
      <w:r>
        <w:t xml:space="preserve"> informal finance and relationship lending are the predominant modes of capital provision which have distinct implications for governance structures and incentives.</w:t>
      </w:r>
    </w:p>
    <w:p w14:paraId="29EBC9D9" w14:textId="63C15B4A" w:rsidR="00EA623E" w:rsidRDefault="00EA623E" w:rsidP="00471A4C">
      <w:pPr>
        <w:jc w:val="both"/>
        <w:rPr>
          <w:rFonts w:ascii="Calibri" w:hAnsi="Calibri" w:cs="Calibri"/>
          <w:color w:val="000000"/>
        </w:rPr>
      </w:pPr>
      <w:r>
        <w:rPr>
          <w:rFonts w:ascii="Calibri" w:hAnsi="Calibri" w:cs="Calibri"/>
          <w:color w:val="000000"/>
        </w:rPr>
        <w:t>There is considerable evidence supporting a correlation between the development of financial markets and improvements in corporate governance; however, the direction of causality continues to be a topic of ongoing discussion.</w:t>
      </w:r>
      <w:r w:rsidR="0002130D">
        <w:rPr>
          <w:rFonts w:ascii="Calibri" w:hAnsi="Calibri" w:cs="Calibri"/>
          <w:color w:val="000000"/>
        </w:rPr>
        <w:t xml:space="preserve"> Some contemporary studies suggest that governance reforms can act as a catalyst for market developments while other posit that a mature financial system is essential for effective governance.</w:t>
      </w:r>
    </w:p>
    <w:p w14:paraId="7BE4068F" w14:textId="4A9B9B54" w:rsidR="0002130D" w:rsidRDefault="0002130D" w:rsidP="00471A4C">
      <w:pPr>
        <w:jc w:val="both"/>
        <w:rPr>
          <w:rFonts w:ascii="Calibri" w:hAnsi="Calibri" w:cs="Calibri"/>
          <w:color w:val="000000"/>
        </w:rPr>
      </w:pPr>
      <w:r>
        <w:rPr>
          <w:rFonts w:ascii="Calibri" w:hAnsi="Calibri" w:cs="Calibri"/>
          <w:color w:val="000000"/>
        </w:rPr>
        <w:t>Methodologically, recent literature often employs panel data, maket indices, and firm level surveys to analyse these relationships, yet there is a recognised need for more detailed investigations into market microstructures, the influence of fintech, and the governance implications of these financial instruments.</w:t>
      </w:r>
    </w:p>
    <w:p w14:paraId="41D03AE9" w14:textId="32DA3F5E" w:rsidR="00544FFF" w:rsidRDefault="00544FFF" w:rsidP="00471A4C">
      <w:pPr>
        <w:jc w:val="both"/>
        <w:rPr>
          <w:rFonts w:ascii="Calibri" w:hAnsi="Calibri" w:cs="Calibri"/>
          <w:color w:val="000000"/>
        </w:rPr>
      </w:pPr>
      <w:r>
        <w:rPr>
          <w:rFonts w:ascii="Calibri" w:hAnsi="Calibri" w:cs="Calibri"/>
          <w:color w:val="000000"/>
        </w:rPr>
        <w:t>A key trend is the increasing prevalence of alternative financing mechanisms, including private equity and venture capital, which have the potential to introduce new governance standards and practices.  The effects of these emerging developments continue to present opportunities for future research.</w:t>
      </w:r>
    </w:p>
    <w:p w14:paraId="055D5791" w14:textId="77777777" w:rsidR="00EA623E" w:rsidRDefault="00EA623E" w:rsidP="00471A4C">
      <w:pPr>
        <w:jc w:val="both"/>
        <w:rPr>
          <w:rFonts w:ascii="Calibri" w:hAnsi="Calibri" w:cs="Calibri"/>
          <w:color w:val="000000"/>
        </w:rPr>
      </w:pPr>
    </w:p>
    <w:p w14:paraId="7BB239B5" w14:textId="4B0B237D" w:rsidR="007059F2" w:rsidRPr="00C830A5" w:rsidRDefault="007059F2" w:rsidP="00471A4C">
      <w:pPr>
        <w:jc w:val="both"/>
        <w:rPr>
          <w:i/>
          <w:iCs/>
          <w:u w:val="single"/>
        </w:rPr>
      </w:pPr>
      <w:r w:rsidRPr="00C830A5">
        <w:rPr>
          <w:i/>
          <w:iCs/>
          <w:u w:val="single"/>
        </w:rPr>
        <w:t>Cultural Norms and Ethics</w:t>
      </w:r>
    </w:p>
    <w:p w14:paraId="19FE6E2C" w14:textId="713EEB89" w:rsidR="007059F2" w:rsidRDefault="00892530" w:rsidP="00471A4C">
      <w:pPr>
        <w:jc w:val="both"/>
      </w:pPr>
      <w:r>
        <w:t xml:space="preserve">In emerging economies, cultural norms and ethical standards are widely acknowledged as key factors in shaping corporate governance. Research </w:t>
      </w:r>
      <w:r w:rsidR="009540F1">
        <w:t>highlights the significant roles played by local traditions, social networks and informal institutions in shaping board dynamics, decision making processes and stakeholder relationships.</w:t>
      </w:r>
    </w:p>
    <w:p w14:paraId="1917091A" w14:textId="2C130B39" w:rsidR="009540F1" w:rsidRPr="00892530" w:rsidRDefault="009540F1" w:rsidP="00471A4C">
      <w:pPr>
        <w:jc w:val="both"/>
      </w:pPr>
      <w:r>
        <w:lastRenderedPageBreak/>
        <w:t xml:space="preserve">Hofestede’s cultural dimensions framework which includes concepts such as power distances and </w:t>
      </w:r>
      <w:r>
        <w:t>collectivism</w:t>
      </w:r>
      <w:r>
        <w:t xml:space="preserve"> is frequently used to understand global governance differences.  For example, cultures with high power distance often have hierarchical boards which discourage disagreement.  In contrast, collectivist cultures are more likely to </w:t>
      </w:r>
      <w:r w:rsidR="00CC58E4">
        <w:t>prioritise group harmony and loyalty which takes precedent over individual accountability</w:t>
      </w:r>
      <w:r w:rsidR="00CC58E4">
        <w:rPr>
          <w:rStyle w:val="FootnoteReference"/>
        </w:rPr>
        <w:footnoteReference w:id="55"/>
      </w:r>
      <w:r w:rsidR="00CC58E4">
        <w:t>.</w:t>
      </w:r>
    </w:p>
    <w:p w14:paraId="6736A0AA" w14:textId="304853E2" w:rsidR="00131A2D" w:rsidRDefault="00CC58E4" w:rsidP="00471A4C">
      <w:pPr>
        <w:jc w:val="both"/>
      </w:pPr>
      <w:r>
        <w:t xml:space="preserve">Governance is also shaped by ethical practices, historical traditions and religious beliefs. </w:t>
      </w:r>
      <w:r w:rsidR="00131A2D">
        <w:t>For instance, in Islamic economies, Sharia compliant governance frameworks</w:t>
      </w:r>
      <w:r w:rsidR="00E505C5">
        <w:t xml:space="preserve"> emphasis</w:t>
      </w:r>
      <w:r w:rsidR="002A5D80">
        <w:t>e</w:t>
      </w:r>
      <w:r w:rsidR="00E505C5">
        <w:t xml:space="preserve"> ethical conduct and stakeholder protections.  Moreover, </w:t>
      </w:r>
      <w:r w:rsidR="00131A2D">
        <w:t>Sharia compliant business requires ethical conduct, social justice, transparency and the avoidance of prohibited elements such as uncertainty, interest and forbidden products. Following these principles supports Muslim’s beliefs whilst further encouraging trust and ethical practices in business</w:t>
      </w:r>
      <w:r w:rsidR="00131A2D">
        <w:rPr>
          <w:rStyle w:val="FootnoteReference"/>
        </w:rPr>
        <w:footnoteReference w:id="56"/>
      </w:r>
      <w:r w:rsidR="00131A2D">
        <w:t>.</w:t>
      </w:r>
    </w:p>
    <w:p w14:paraId="61CA23F6" w14:textId="1ECF11ED" w:rsidR="00F34712" w:rsidRPr="00CC58E4" w:rsidRDefault="00F34712" w:rsidP="00471A4C">
      <w:pPr>
        <w:jc w:val="both"/>
      </w:pPr>
      <w:r>
        <w:t>In Latin America</w:t>
      </w:r>
      <w:r w:rsidR="00AB2BD3">
        <w:t xml:space="preserve"> </w:t>
      </w:r>
      <w:r>
        <w:t xml:space="preserve">trust networks and personal relationships often act as alternatives for formal accountability mechanisms due to several factors.  </w:t>
      </w:r>
      <w:r w:rsidR="00AB2BD3">
        <w:t>Trust i</w:t>
      </w:r>
      <w:r>
        <w:t xml:space="preserve">n </w:t>
      </w:r>
      <w:r w:rsidR="002A5D80">
        <w:t xml:space="preserve">institutions and government within </w:t>
      </w:r>
      <w:r>
        <w:t xml:space="preserve">the region </w:t>
      </w:r>
      <w:r w:rsidR="00AB2BD3">
        <w:t>is lower than any other country in the world</w:t>
      </w:r>
      <w:r w:rsidR="00AB2BD3">
        <w:rPr>
          <w:rStyle w:val="FootnoteReference"/>
        </w:rPr>
        <w:footnoteReference w:id="57"/>
      </w:r>
      <w:r w:rsidR="00AB2BD3">
        <w:t xml:space="preserve">. </w:t>
      </w:r>
    </w:p>
    <w:p w14:paraId="033205CC" w14:textId="4EEDFE8B" w:rsidR="00BB1A91" w:rsidRDefault="00B068A7" w:rsidP="00471A4C">
      <w:pPr>
        <w:jc w:val="both"/>
      </w:pPr>
      <w:r w:rsidRPr="00B068A7">
        <w:t>Keefer</w:t>
      </w:r>
      <w:r w:rsidRPr="00B068A7">
        <w:t xml:space="preserve"> and </w:t>
      </w:r>
      <w:r w:rsidRPr="00B068A7">
        <w:t>Scartascini</w:t>
      </w:r>
      <w:r>
        <w:t xml:space="preserve"> highlight that mistrust hinders economic growth and innovation which affects investment, growth and innovation and that trust between all parties is vital for collaboration and effective decision</w:t>
      </w:r>
      <w:r w:rsidR="002A5D80">
        <w:t xml:space="preserve"> </w:t>
      </w:r>
      <w:r>
        <w:t>making in both public and private sectors, whilst mistrust undermines democracy</w:t>
      </w:r>
      <w:r w:rsidR="00545AFA">
        <w:rPr>
          <w:rStyle w:val="FootnoteReference"/>
        </w:rPr>
        <w:footnoteReference w:id="58"/>
      </w:r>
      <w:r>
        <w:t xml:space="preserve">.  </w:t>
      </w:r>
      <w:r w:rsidR="002A5D80">
        <w:t>They propose addressing</w:t>
      </w:r>
      <w:r w:rsidR="00BB1A91">
        <w:t xml:space="preserve"> this issue </w:t>
      </w:r>
      <w:r w:rsidR="002A5D80">
        <w:t>by</w:t>
      </w:r>
      <w:r w:rsidR="00BB1A91">
        <w:t xml:space="preserve"> incorporat</w:t>
      </w:r>
      <w:r w:rsidR="002A5D80">
        <w:t>ing</w:t>
      </w:r>
      <w:r w:rsidR="00BB1A91">
        <w:t xml:space="preserve"> trust and social cohesion into comprehensive reforms</w:t>
      </w:r>
      <w:r w:rsidR="00BB1A91">
        <w:rPr>
          <w:rStyle w:val="FootnoteReference"/>
        </w:rPr>
        <w:footnoteReference w:id="59"/>
      </w:r>
      <w:r w:rsidR="00BB1A91">
        <w:t>.</w:t>
      </w:r>
    </w:p>
    <w:p w14:paraId="61B73D0B" w14:textId="4BF783D2" w:rsidR="00173DCC" w:rsidRDefault="00173DCC" w:rsidP="00471A4C">
      <w:pPr>
        <w:jc w:val="both"/>
      </w:pPr>
      <w:r>
        <w:t>While the influence of culture is widely acknowledged, measuring its impact remains challenging.  Much of the literature utilises cross-country comparisons and survey data, which may not fully capture the nuances of local contexts.  There is a need for more in depth, qualitative research exploring the connection between formal governance structures and informal cultural practices.</w:t>
      </w:r>
    </w:p>
    <w:p w14:paraId="255C34DB" w14:textId="21119FD2" w:rsidR="00173DCC" w:rsidRDefault="00173DCC" w:rsidP="00471A4C">
      <w:pPr>
        <w:jc w:val="both"/>
      </w:pPr>
      <w:r>
        <w:t>A promising area is the study of how globalisation and exposure to international norms are reshaping local governance structures. The increasing adoption of corporate social responsibility and environmental, social and governance standards provide fertile ground for future research.</w:t>
      </w:r>
    </w:p>
    <w:p w14:paraId="6A4E60DB" w14:textId="35F17E46" w:rsidR="00B068A7" w:rsidRDefault="00B068A7" w:rsidP="00471A4C">
      <w:pPr>
        <w:jc w:val="both"/>
      </w:pPr>
    </w:p>
    <w:p w14:paraId="7BAFCAF6" w14:textId="36E2D1D8" w:rsidR="007059F2" w:rsidRDefault="007059F2" w:rsidP="00471A4C">
      <w:pPr>
        <w:jc w:val="both"/>
        <w:rPr>
          <w:b/>
          <w:bCs/>
          <w:u w:val="single"/>
        </w:rPr>
      </w:pPr>
      <w:r w:rsidRPr="007059F2">
        <w:rPr>
          <w:b/>
          <w:bCs/>
          <w:u w:val="single"/>
        </w:rPr>
        <w:t>Methodology</w:t>
      </w:r>
    </w:p>
    <w:p w14:paraId="7B1959AE" w14:textId="20A14A42" w:rsidR="007059F2" w:rsidRPr="00471A4C" w:rsidRDefault="007059F2" w:rsidP="00471A4C">
      <w:pPr>
        <w:jc w:val="both"/>
        <w:rPr>
          <w:u w:val="single"/>
        </w:rPr>
      </w:pPr>
      <w:r w:rsidRPr="00471A4C">
        <w:rPr>
          <w:u w:val="single"/>
        </w:rPr>
        <w:t>Comparative Analysis of Methodologies</w:t>
      </w:r>
    </w:p>
    <w:p w14:paraId="63FC0F8B" w14:textId="1214D6AE" w:rsidR="007050B2" w:rsidRPr="007050B2" w:rsidRDefault="007050B2" w:rsidP="00471A4C">
      <w:pPr>
        <w:jc w:val="both"/>
      </w:pPr>
      <w:r>
        <w:t>The literature on corporate governance in emerging economies is methodologically diverse and encompasses qualitative</w:t>
      </w:r>
      <w:r w:rsidR="00892530">
        <w:t xml:space="preserve"> case studies</w:t>
      </w:r>
      <w:r>
        <w:t xml:space="preserve">, </w:t>
      </w:r>
      <w:r w:rsidR="00892530">
        <w:t>quantitative analysis, comparative legal analysis and mixed methods. Table 1 below summarises the key methodological trends and representative studies within this area.</w:t>
      </w:r>
    </w:p>
    <w:tbl>
      <w:tblPr>
        <w:tblStyle w:val="TableGrid"/>
        <w:tblW w:w="0" w:type="auto"/>
        <w:tblLook w:val="04A0" w:firstRow="1" w:lastRow="0" w:firstColumn="1" w:lastColumn="0" w:noHBand="0" w:noVBand="1"/>
      </w:tblPr>
      <w:tblGrid>
        <w:gridCol w:w="1751"/>
        <w:gridCol w:w="1781"/>
        <w:gridCol w:w="1793"/>
        <w:gridCol w:w="1793"/>
        <w:gridCol w:w="1898"/>
      </w:tblGrid>
      <w:tr w:rsidR="00347615" w14:paraId="6D1CD389" w14:textId="77777777" w:rsidTr="00347615">
        <w:tc>
          <w:tcPr>
            <w:tcW w:w="1805" w:type="dxa"/>
            <w:shd w:val="clear" w:color="auto" w:fill="D9D9D9" w:themeFill="background1" w:themeFillShade="D9"/>
          </w:tcPr>
          <w:p w14:paraId="259D7C50" w14:textId="32E077CD" w:rsidR="00F03FA8" w:rsidRPr="00F03FA8" w:rsidRDefault="00F03FA8" w:rsidP="00471A4C">
            <w:pPr>
              <w:jc w:val="both"/>
              <w:rPr>
                <w:b/>
                <w:bCs/>
              </w:rPr>
            </w:pPr>
            <w:r w:rsidRPr="00F03FA8">
              <w:rPr>
                <w:b/>
                <w:bCs/>
              </w:rPr>
              <w:lastRenderedPageBreak/>
              <w:t>Methodology</w:t>
            </w:r>
          </w:p>
        </w:tc>
        <w:tc>
          <w:tcPr>
            <w:tcW w:w="1817" w:type="dxa"/>
            <w:shd w:val="clear" w:color="auto" w:fill="D9D9D9" w:themeFill="background1" w:themeFillShade="D9"/>
          </w:tcPr>
          <w:p w14:paraId="25B6E154" w14:textId="21C1256B" w:rsidR="00F03FA8" w:rsidRPr="00F03FA8" w:rsidRDefault="00F03FA8" w:rsidP="00471A4C">
            <w:pPr>
              <w:jc w:val="both"/>
              <w:rPr>
                <w:b/>
                <w:bCs/>
              </w:rPr>
            </w:pPr>
            <w:r w:rsidRPr="00F03FA8">
              <w:rPr>
                <w:b/>
                <w:bCs/>
              </w:rPr>
              <w:t>D</w:t>
            </w:r>
            <w:r w:rsidR="00CA72C9">
              <w:rPr>
                <w:b/>
                <w:bCs/>
              </w:rPr>
              <w:t>escription</w:t>
            </w:r>
          </w:p>
        </w:tc>
        <w:tc>
          <w:tcPr>
            <w:tcW w:w="1824" w:type="dxa"/>
            <w:shd w:val="clear" w:color="auto" w:fill="D9D9D9" w:themeFill="background1" w:themeFillShade="D9"/>
          </w:tcPr>
          <w:p w14:paraId="73EF2C4E" w14:textId="2CA85CFE" w:rsidR="00F03FA8" w:rsidRPr="00F03FA8" w:rsidRDefault="00F03FA8" w:rsidP="00471A4C">
            <w:pPr>
              <w:jc w:val="both"/>
              <w:rPr>
                <w:b/>
                <w:bCs/>
              </w:rPr>
            </w:pPr>
            <w:r w:rsidRPr="00F03FA8">
              <w:rPr>
                <w:b/>
                <w:bCs/>
              </w:rPr>
              <w:t>Strengths</w:t>
            </w:r>
          </w:p>
        </w:tc>
        <w:tc>
          <w:tcPr>
            <w:tcW w:w="1823" w:type="dxa"/>
            <w:shd w:val="clear" w:color="auto" w:fill="D9D9D9" w:themeFill="background1" w:themeFillShade="D9"/>
          </w:tcPr>
          <w:p w14:paraId="39838F8B" w14:textId="7E25CE4D" w:rsidR="00F03FA8" w:rsidRPr="00F03FA8" w:rsidRDefault="00F03FA8" w:rsidP="00471A4C">
            <w:pPr>
              <w:jc w:val="both"/>
              <w:rPr>
                <w:b/>
                <w:bCs/>
              </w:rPr>
            </w:pPr>
            <w:r w:rsidRPr="00F03FA8">
              <w:rPr>
                <w:b/>
                <w:bCs/>
              </w:rPr>
              <w:t>Limitations</w:t>
            </w:r>
          </w:p>
        </w:tc>
        <w:tc>
          <w:tcPr>
            <w:tcW w:w="1747" w:type="dxa"/>
            <w:shd w:val="clear" w:color="auto" w:fill="D9D9D9" w:themeFill="background1" w:themeFillShade="D9"/>
          </w:tcPr>
          <w:p w14:paraId="07268DDC" w14:textId="1FB4F393" w:rsidR="00F03FA8" w:rsidRPr="00F03FA8" w:rsidRDefault="00F03FA8" w:rsidP="00471A4C">
            <w:pPr>
              <w:jc w:val="both"/>
              <w:rPr>
                <w:b/>
                <w:bCs/>
              </w:rPr>
            </w:pPr>
            <w:r w:rsidRPr="00F03FA8">
              <w:rPr>
                <w:b/>
                <w:bCs/>
              </w:rPr>
              <w:t>Studies</w:t>
            </w:r>
          </w:p>
        </w:tc>
      </w:tr>
      <w:tr w:rsidR="006C29CD" w14:paraId="42FFB5E5" w14:textId="77777777" w:rsidTr="00347615">
        <w:tc>
          <w:tcPr>
            <w:tcW w:w="1805" w:type="dxa"/>
            <w:shd w:val="clear" w:color="auto" w:fill="D9D9D9" w:themeFill="background1" w:themeFillShade="D9"/>
          </w:tcPr>
          <w:p w14:paraId="1D36068F" w14:textId="1403CB96" w:rsidR="00347615" w:rsidRPr="00F03FA8" w:rsidRDefault="00347615" w:rsidP="00471A4C">
            <w:pPr>
              <w:jc w:val="both"/>
              <w:rPr>
                <w:b/>
                <w:bCs/>
              </w:rPr>
            </w:pPr>
            <w:r>
              <w:rPr>
                <w:b/>
                <w:bCs/>
              </w:rPr>
              <w:t>Qualitative Case Studies</w:t>
            </w:r>
          </w:p>
        </w:tc>
        <w:tc>
          <w:tcPr>
            <w:tcW w:w="1817" w:type="dxa"/>
          </w:tcPr>
          <w:p w14:paraId="3CA66A79" w14:textId="247A8734" w:rsidR="00347615" w:rsidRPr="00CA72C9" w:rsidRDefault="00347615" w:rsidP="006C29CD">
            <w:r>
              <w:t>In depth exploration of specific organisations, industries and governance practices through interviews, document analysis and fieldwork.</w:t>
            </w:r>
          </w:p>
        </w:tc>
        <w:tc>
          <w:tcPr>
            <w:tcW w:w="1824" w:type="dxa"/>
          </w:tcPr>
          <w:p w14:paraId="0C90E836" w14:textId="3DF5A118" w:rsidR="00347615" w:rsidRDefault="00347615" w:rsidP="006C29CD">
            <w:r>
              <w:t>Provides rich, contextual insights</w:t>
            </w:r>
            <w:r w:rsidR="006C29CD">
              <w:t>; c</w:t>
            </w:r>
            <w:r>
              <w:t>aptures local nuances and complexities</w:t>
            </w:r>
            <w:r w:rsidR="006C29CD">
              <w:t>; and</w:t>
            </w:r>
          </w:p>
          <w:p w14:paraId="574F8B95" w14:textId="4DD7C854" w:rsidR="00347615" w:rsidRPr="00CA72C9" w:rsidRDefault="00347615" w:rsidP="006C29CD">
            <w:r>
              <w:t>Useful for theory building.</w:t>
            </w:r>
          </w:p>
        </w:tc>
        <w:tc>
          <w:tcPr>
            <w:tcW w:w="1823" w:type="dxa"/>
          </w:tcPr>
          <w:p w14:paraId="21AAB4FD" w14:textId="5F06FAAD" w:rsidR="00347615" w:rsidRPr="00F03FA8" w:rsidRDefault="00347615" w:rsidP="006C29CD">
            <w:r>
              <w:t>Limited generalisability</w:t>
            </w:r>
            <w:r w:rsidR="006C29CD">
              <w:t>; and p</w:t>
            </w:r>
            <w:r>
              <w:t>otential for researcher bias</w:t>
            </w:r>
            <w:r w:rsidR="006C29CD">
              <w:t>; and o</w:t>
            </w:r>
            <w:r>
              <w:t>ften resource intensive.</w:t>
            </w:r>
          </w:p>
        </w:tc>
        <w:tc>
          <w:tcPr>
            <w:tcW w:w="1747" w:type="dxa"/>
          </w:tcPr>
          <w:p w14:paraId="5D039A56" w14:textId="77777777" w:rsidR="006C29CD" w:rsidRDefault="006C29CD" w:rsidP="006C29CD">
            <w:r w:rsidRPr="008325DC">
              <w:t>Young, M. N., &amp; Thyil, V. (2014). Corporate governance research in emerging economies: Review, synthesis, and recommendations. Asia Pacific Journal of Management</w:t>
            </w:r>
            <w:r>
              <w:t>.</w:t>
            </w:r>
          </w:p>
          <w:p w14:paraId="2CEE09EE" w14:textId="05D52546" w:rsidR="00347615" w:rsidRPr="00347615" w:rsidRDefault="00347615" w:rsidP="00471A4C">
            <w:pPr>
              <w:jc w:val="both"/>
            </w:pPr>
          </w:p>
        </w:tc>
      </w:tr>
      <w:tr w:rsidR="00347615" w14:paraId="179A2AD3" w14:textId="77777777" w:rsidTr="00347615">
        <w:tc>
          <w:tcPr>
            <w:tcW w:w="1805" w:type="dxa"/>
            <w:shd w:val="clear" w:color="auto" w:fill="D9D9D9" w:themeFill="background1" w:themeFillShade="D9"/>
          </w:tcPr>
          <w:p w14:paraId="05EC2BD4" w14:textId="03748221" w:rsidR="00F03FA8" w:rsidRPr="00F03FA8" w:rsidRDefault="00F03FA8" w:rsidP="00471A4C">
            <w:pPr>
              <w:jc w:val="both"/>
              <w:rPr>
                <w:b/>
                <w:bCs/>
              </w:rPr>
            </w:pPr>
            <w:r w:rsidRPr="00F03FA8">
              <w:rPr>
                <w:b/>
                <w:bCs/>
              </w:rPr>
              <w:t xml:space="preserve">Quantitative </w:t>
            </w:r>
          </w:p>
        </w:tc>
        <w:tc>
          <w:tcPr>
            <w:tcW w:w="1817" w:type="dxa"/>
          </w:tcPr>
          <w:p w14:paraId="01D41B7B" w14:textId="77777777" w:rsidR="00F03FA8" w:rsidRPr="00CA72C9" w:rsidRDefault="00F03FA8" w:rsidP="00471A4C"/>
          <w:p w14:paraId="505A1DA3" w14:textId="3587CF39" w:rsidR="00F03FA8" w:rsidRPr="00CA72C9" w:rsidRDefault="00CA72C9" w:rsidP="00471A4C">
            <w:r w:rsidRPr="00CA72C9">
              <w:t>Employs statistical techniques to examine large datasets, measuring relationships between governance</w:t>
            </w:r>
          </w:p>
        </w:tc>
        <w:tc>
          <w:tcPr>
            <w:tcW w:w="1824" w:type="dxa"/>
          </w:tcPr>
          <w:p w14:paraId="2C2FC3D8" w14:textId="4CED3825" w:rsidR="00F03FA8" w:rsidRPr="00CA72C9" w:rsidRDefault="00CA72C9" w:rsidP="00471A4C">
            <w:r w:rsidRPr="00CA72C9">
              <w:t>Enables broad generalisations; robust statistical inference; and identifies patterns across contexts.</w:t>
            </w:r>
          </w:p>
        </w:tc>
        <w:tc>
          <w:tcPr>
            <w:tcW w:w="1823" w:type="dxa"/>
          </w:tcPr>
          <w:p w14:paraId="3F78EFD7" w14:textId="399D3852" w:rsidR="00F03FA8" w:rsidRPr="00F03FA8" w:rsidRDefault="00F03FA8" w:rsidP="00471A4C">
            <w:r w:rsidRPr="00F03FA8">
              <w:t>Possibility to overlook local context and informal practices</w:t>
            </w:r>
            <w:r w:rsidR="00CA72C9">
              <w:t>; relies on data availability ad quality; and risk of omitted variable bias</w:t>
            </w:r>
          </w:p>
        </w:tc>
        <w:tc>
          <w:tcPr>
            <w:tcW w:w="1747" w:type="dxa"/>
          </w:tcPr>
          <w:p w14:paraId="6F4555B1" w14:textId="77777777" w:rsidR="006C29CD" w:rsidRDefault="006C29CD" w:rsidP="006C29CD">
            <w:pPr>
              <w:jc w:val="both"/>
            </w:pPr>
            <w:r w:rsidRPr="00E11E7C">
              <w:t>Young, M. N., Peng, M. W., Ahlstrom, D., Bruton, G. D., &amp; Jiang, Y. (2008). Corporate Governance in Emerging Economies: A Review of the Principal–Principal Perspective. Journal of Management Studies</w:t>
            </w:r>
            <w:r>
              <w:t>.</w:t>
            </w:r>
          </w:p>
          <w:p w14:paraId="1D95D1B1" w14:textId="2E6EE49E" w:rsidR="00F03FA8" w:rsidRPr="00347615" w:rsidRDefault="00F03FA8" w:rsidP="00471A4C">
            <w:pPr>
              <w:jc w:val="both"/>
            </w:pPr>
          </w:p>
        </w:tc>
      </w:tr>
      <w:tr w:rsidR="00347615" w14:paraId="69260A05" w14:textId="77777777" w:rsidTr="00347615">
        <w:tc>
          <w:tcPr>
            <w:tcW w:w="1805" w:type="dxa"/>
            <w:shd w:val="clear" w:color="auto" w:fill="D9D9D9" w:themeFill="background1" w:themeFillShade="D9"/>
          </w:tcPr>
          <w:p w14:paraId="1069AAFC" w14:textId="09015D06" w:rsidR="00F03FA8" w:rsidRPr="00F03FA8" w:rsidRDefault="00F03FA8" w:rsidP="00471A4C">
            <w:pPr>
              <w:jc w:val="both"/>
              <w:rPr>
                <w:b/>
                <w:bCs/>
              </w:rPr>
            </w:pPr>
            <w:r w:rsidRPr="00F03FA8">
              <w:rPr>
                <w:b/>
                <w:bCs/>
              </w:rPr>
              <w:t>Mixed Methods</w:t>
            </w:r>
          </w:p>
        </w:tc>
        <w:tc>
          <w:tcPr>
            <w:tcW w:w="1817" w:type="dxa"/>
          </w:tcPr>
          <w:p w14:paraId="42F48BE7" w14:textId="748F31BB" w:rsidR="00F03FA8" w:rsidRPr="00F03FA8" w:rsidRDefault="00F03FA8" w:rsidP="00471A4C">
            <w:r w:rsidRPr="00F03FA8">
              <w:t>Combination of all methodologies</w:t>
            </w:r>
            <w:r w:rsidR="00347615">
              <w:t xml:space="preserve"> to provide a comprehensive understanding.</w:t>
            </w:r>
          </w:p>
          <w:p w14:paraId="40D14037" w14:textId="77777777" w:rsidR="00F03FA8" w:rsidRPr="00F03FA8" w:rsidRDefault="00F03FA8" w:rsidP="00471A4C">
            <w:pPr>
              <w:rPr>
                <w:b/>
                <w:bCs/>
              </w:rPr>
            </w:pPr>
          </w:p>
        </w:tc>
        <w:tc>
          <w:tcPr>
            <w:tcW w:w="1824" w:type="dxa"/>
          </w:tcPr>
          <w:p w14:paraId="36996070" w14:textId="3C93C52F" w:rsidR="00347615" w:rsidRPr="006C29CD" w:rsidRDefault="00347615" w:rsidP="006C29CD">
            <w:r w:rsidRPr="00347615">
              <w:t>Combines depth and breadth</w:t>
            </w:r>
            <w:r w:rsidR="006C29CD">
              <w:t xml:space="preserve">; </w:t>
            </w:r>
            <w:r w:rsidRPr="00347615">
              <w:t>Triangulates findings</w:t>
            </w:r>
            <w:r w:rsidR="006C29CD">
              <w:t xml:space="preserve">; ad </w:t>
            </w:r>
            <w:r w:rsidRPr="00347615">
              <w:t>Addresses limitations of single methods.</w:t>
            </w:r>
          </w:p>
        </w:tc>
        <w:tc>
          <w:tcPr>
            <w:tcW w:w="1823" w:type="dxa"/>
          </w:tcPr>
          <w:p w14:paraId="35157617" w14:textId="4FCBFCC4" w:rsidR="00347615" w:rsidRPr="00D80510" w:rsidRDefault="00347615" w:rsidP="006C29CD">
            <w:r>
              <w:t>Complex to design and execute</w:t>
            </w:r>
            <w:r w:rsidR="006C29CD">
              <w:t>; r</w:t>
            </w:r>
            <w:r>
              <w:t xml:space="preserve">equires expertise in </w:t>
            </w:r>
            <w:r w:rsidR="006C29CD">
              <w:t>multiple</w:t>
            </w:r>
            <w:r>
              <w:t xml:space="preserve"> methodologies</w:t>
            </w:r>
            <w:r w:rsidR="006C29CD">
              <w:t>; and p</w:t>
            </w:r>
            <w:r>
              <w:t>ossible integration challenges.</w:t>
            </w:r>
          </w:p>
        </w:tc>
        <w:tc>
          <w:tcPr>
            <w:tcW w:w="1747" w:type="dxa"/>
          </w:tcPr>
          <w:p w14:paraId="7DFF30BF" w14:textId="77777777" w:rsidR="006C29CD" w:rsidRDefault="006C29CD" w:rsidP="006C29CD">
            <w:pPr>
              <w:jc w:val="both"/>
            </w:pPr>
            <w:r w:rsidRPr="000A4E0B">
              <w:t>Djankov, S., La Porta, R., Lopez-de-Silanes, F., &amp; Shleifer, A. (2008). The law and economics of self-dealing. Journal of Financial Economics</w:t>
            </w:r>
            <w:r>
              <w:t>.</w:t>
            </w:r>
          </w:p>
          <w:p w14:paraId="13601C30" w14:textId="77777777" w:rsidR="00F03FA8" w:rsidRPr="00F03FA8" w:rsidRDefault="00F03FA8" w:rsidP="00471A4C">
            <w:pPr>
              <w:jc w:val="both"/>
              <w:rPr>
                <w:b/>
                <w:bCs/>
              </w:rPr>
            </w:pPr>
          </w:p>
        </w:tc>
      </w:tr>
      <w:tr w:rsidR="00347615" w14:paraId="67B21116" w14:textId="77777777" w:rsidTr="00347615">
        <w:tc>
          <w:tcPr>
            <w:tcW w:w="1805" w:type="dxa"/>
            <w:shd w:val="clear" w:color="auto" w:fill="D9D9D9" w:themeFill="background1" w:themeFillShade="D9"/>
          </w:tcPr>
          <w:p w14:paraId="735B3E93" w14:textId="511EB967" w:rsidR="00F03FA8" w:rsidRPr="00F03FA8" w:rsidRDefault="00F03FA8" w:rsidP="00471A4C">
            <w:pPr>
              <w:jc w:val="both"/>
              <w:rPr>
                <w:b/>
                <w:bCs/>
              </w:rPr>
            </w:pPr>
            <w:r w:rsidRPr="00F03FA8">
              <w:rPr>
                <w:b/>
                <w:bCs/>
              </w:rPr>
              <w:t>Case Studies</w:t>
            </w:r>
          </w:p>
        </w:tc>
        <w:tc>
          <w:tcPr>
            <w:tcW w:w="1817" w:type="dxa"/>
          </w:tcPr>
          <w:p w14:paraId="584AC6CE" w14:textId="62CEB077" w:rsidR="00F03FA8" w:rsidRPr="00F03FA8" w:rsidRDefault="00F03FA8" w:rsidP="00471A4C">
            <w:r w:rsidRPr="00F03FA8">
              <w:t>Legal documents and company reports.</w:t>
            </w:r>
          </w:p>
          <w:p w14:paraId="0E7C88AA" w14:textId="77777777" w:rsidR="00F03FA8" w:rsidRPr="00F03FA8" w:rsidRDefault="00F03FA8" w:rsidP="00471A4C">
            <w:pPr>
              <w:rPr>
                <w:b/>
                <w:bCs/>
              </w:rPr>
            </w:pPr>
          </w:p>
        </w:tc>
        <w:tc>
          <w:tcPr>
            <w:tcW w:w="1824" w:type="dxa"/>
          </w:tcPr>
          <w:p w14:paraId="5A938D97" w14:textId="746FBE0A" w:rsidR="00F03FA8" w:rsidRPr="00F03FA8" w:rsidRDefault="00F03FA8" w:rsidP="00471A4C">
            <w:r w:rsidRPr="00F03FA8">
              <w:t>Contextual complexity and depth.</w:t>
            </w:r>
          </w:p>
        </w:tc>
        <w:tc>
          <w:tcPr>
            <w:tcW w:w="1823" w:type="dxa"/>
          </w:tcPr>
          <w:p w14:paraId="69ABBDA8" w14:textId="59E379B5" w:rsidR="00F03FA8" w:rsidRPr="00F03FA8" w:rsidRDefault="00347615" w:rsidP="006C29CD">
            <w:r>
              <w:t xml:space="preserve">Limited generalisability </w:t>
            </w:r>
            <w:r w:rsidR="006C29CD">
              <w:t>and p</w:t>
            </w:r>
            <w:r w:rsidR="00F03FA8">
              <w:t>otential Bias</w:t>
            </w:r>
            <w:r w:rsidR="006C29CD">
              <w:t>.</w:t>
            </w:r>
          </w:p>
        </w:tc>
        <w:tc>
          <w:tcPr>
            <w:tcW w:w="1747" w:type="dxa"/>
          </w:tcPr>
          <w:p w14:paraId="7C97D422" w14:textId="6278E166" w:rsidR="00F03FA8" w:rsidRPr="00F03FA8" w:rsidRDefault="006C29CD" w:rsidP="00471A4C">
            <w:pPr>
              <w:jc w:val="both"/>
              <w:rPr>
                <w:b/>
                <w:bCs/>
              </w:rPr>
            </w:pPr>
            <w:r w:rsidRPr="00CC58E4">
              <w:t>Musacchio, A., &amp; Lazzarini, S. G. (2014). Reinventing state capitalism: Leviathan in business, Brazil and beyond. Brookings Institution Press</w:t>
            </w:r>
          </w:p>
        </w:tc>
      </w:tr>
      <w:tr w:rsidR="00347615" w14:paraId="70DD4A2F" w14:textId="77777777" w:rsidTr="00347615">
        <w:tc>
          <w:tcPr>
            <w:tcW w:w="1805" w:type="dxa"/>
            <w:shd w:val="clear" w:color="auto" w:fill="D9D9D9" w:themeFill="background1" w:themeFillShade="D9"/>
          </w:tcPr>
          <w:p w14:paraId="35467932" w14:textId="068544ED" w:rsidR="00F03FA8" w:rsidRPr="00F03FA8" w:rsidRDefault="00F03FA8" w:rsidP="00471A4C">
            <w:pPr>
              <w:jc w:val="both"/>
              <w:rPr>
                <w:b/>
                <w:bCs/>
              </w:rPr>
            </w:pPr>
            <w:r w:rsidRPr="00F03FA8">
              <w:rPr>
                <w:b/>
                <w:bCs/>
              </w:rPr>
              <w:lastRenderedPageBreak/>
              <w:t>Survey Research</w:t>
            </w:r>
          </w:p>
        </w:tc>
        <w:tc>
          <w:tcPr>
            <w:tcW w:w="1817" w:type="dxa"/>
          </w:tcPr>
          <w:p w14:paraId="37675617" w14:textId="76AF5C9D" w:rsidR="00F03FA8" w:rsidRPr="00F03FA8" w:rsidRDefault="00F03FA8" w:rsidP="00471A4C">
            <w:r w:rsidRPr="00F03FA8">
              <w:t>Regulators, Board members and senior executives.</w:t>
            </w:r>
          </w:p>
          <w:p w14:paraId="6BA444D5" w14:textId="77777777" w:rsidR="00F03FA8" w:rsidRPr="00F03FA8" w:rsidRDefault="00F03FA8" w:rsidP="00471A4C">
            <w:pPr>
              <w:rPr>
                <w:b/>
                <w:bCs/>
              </w:rPr>
            </w:pPr>
          </w:p>
        </w:tc>
        <w:tc>
          <w:tcPr>
            <w:tcW w:w="1824" w:type="dxa"/>
          </w:tcPr>
          <w:p w14:paraId="17F19F22" w14:textId="6CACA508" w:rsidR="00F03FA8" w:rsidRPr="006C29CD" w:rsidRDefault="00347615" w:rsidP="00471A4C">
            <w:r w:rsidRPr="006C29CD">
              <w:t>Comprehensive triangulation.</w:t>
            </w:r>
          </w:p>
        </w:tc>
        <w:tc>
          <w:tcPr>
            <w:tcW w:w="1823" w:type="dxa"/>
          </w:tcPr>
          <w:p w14:paraId="2B72A9A7" w14:textId="1D694721" w:rsidR="00F03FA8" w:rsidRPr="006C29CD" w:rsidRDefault="006C29CD" w:rsidP="00471A4C">
            <w:r w:rsidRPr="006C29CD">
              <w:t>Resource intensive.</w:t>
            </w:r>
          </w:p>
        </w:tc>
        <w:tc>
          <w:tcPr>
            <w:tcW w:w="1747" w:type="dxa"/>
          </w:tcPr>
          <w:p w14:paraId="4ACD9CDC" w14:textId="77777777" w:rsidR="006C29CD" w:rsidRDefault="006C29CD" w:rsidP="006C29CD">
            <w:pPr>
              <w:jc w:val="both"/>
            </w:pPr>
            <w:r w:rsidRPr="00814CCD">
              <w:t>Hofstede, G. (2001). Culture’s Consequences: Comparing Values, Behaviours, Institutions and Organizations Across Nations. Sage</w:t>
            </w:r>
            <w:r>
              <w:t>.</w:t>
            </w:r>
          </w:p>
          <w:p w14:paraId="68E33E63" w14:textId="77777777" w:rsidR="00F03FA8" w:rsidRPr="00F03FA8" w:rsidRDefault="00F03FA8" w:rsidP="00471A4C">
            <w:pPr>
              <w:jc w:val="both"/>
              <w:rPr>
                <w:b/>
                <w:bCs/>
              </w:rPr>
            </w:pPr>
          </w:p>
        </w:tc>
      </w:tr>
    </w:tbl>
    <w:p w14:paraId="38915FD1" w14:textId="77777777" w:rsidR="007059F2" w:rsidRDefault="007059F2" w:rsidP="00471A4C">
      <w:pPr>
        <w:jc w:val="both"/>
        <w:rPr>
          <w:b/>
          <w:bCs/>
          <w:u w:val="single"/>
        </w:rPr>
      </w:pPr>
    </w:p>
    <w:p w14:paraId="267F8B25" w14:textId="77777777" w:rsidR="007059F2" w:rsidRDefault="007059F2" w:rsidP="00471A4C">
      <w:pPr>
        <w:jc w:val="both"/>
        <w:rPr>
          <w:b/>
          <w:bCs/>
          <w:u w:val="single"/>
        </w:rPr>
      </w:pPr>
    </w:p>
    <w:p w14:paraId="0556BDAF" w14:textId="77777777" w:rsidR="00430CE3" w:rsidRDefault="00430CE3" w:rsidP="00471A4C">
      <w:pPr>
        <w:jc w:val="both"/>
        <w:rPr>
          <w:b/>
          <w:bCs/>
          <w:u w:val="single"/>
        </w:rPr>
      </w:pPr>
    </w:p>
    <w:p w14:paraId="6BA40FB5" w14:textId="0A41C63C" w:rsidR="00287B25" w:rsidRDefault="00F5492E" w:rsidP="00471A4C">
      <w:pPr>
        <w:jc w:val="both"/>
        <w:rPr>
          <w:b/>
          <w:bCs/>
          <w:u w:val="single"/>
        </w:rPr>
      </w:pPr>
      <w:r>
        <w:rPr>
          <w:b/>
          <w:bCs/>
          <w:u w:val="single"/>
        </w:rPr>
        <w:t>Conclusion</w:t>
      </w:r>
    </w:p>
    <w:p w14:paraId="13A33D6B" w14:textId="614EE2B3" w:rsidR="00037895" w:rsidRDefault="00037895" w:rsidP="00471A4C">
      <w:pPr>
        <w:jc w:val="both"/>
      </w:pPr>
      <w:r>
        <w:t>Corporate governance in emerging economies is a dynamic and multifaceted field. The literature reveals both remarkable progress and persistent challenges, shaped by the interplay of economic, legal and political, and cultural forces.  While significant advances have been made in understanding disclosure practices, political interference, legal frameworks, financial markets, and cultural influences, substantial gaps remain in enforcement, SME governance and sustainability.</w:t>
      </w:r>
    </w:p>
    <w:p w14:paraId="62D6B8F8" w14:textId="5B44DE79" w:rsidR="00AC50ED" w:rsidRDefault="00CA72C9" w:rsidP="001A2C37">
      <w:pPr>
        <w:jc w:val="both"/>
      </w:pPr>
      <w:r>
        <w:t>This</w:t>
      </w:r>
      <w:r w:rsidR="007B6EB7">
        <w:t xml:space="preserve"> </w:t>
      </w:r>
      <w:r>
        <w:t xml:space="preserve">review has </w:t>
      </w:r>
      <w:r w:rsidR="007B6EB7">
        <w:t>highlight</w:t>
      </w:r>
      <w:r>
        <w:t>ed</w:t>
      </w:r>
      <w:r w:rsidR="007B6EB7">
        <w:t xml:space="preserve"> the significance of utilising a robust mixed methods approach in corporate governance research, incorporating a combination of methodologies such as case studies, comprehensive legal documents, company reports and survey researching involving regulators, board members and senior executives.  This multi-faceted approach enables the validation of findings through the triangulation of diverse data sources, resulting in a thorough and reliable analysis.</w:t>
      </w:r>
    </w:p>
    <w:p w14:paraId="1577E039" w14:textId="2768C7FA" w:rsidR="007B6EB7" w:rsidRDefault="001A2C37" w:rsidP="001A2C37">
      <w:pPr>
        <w:jc w:val="both"/>
        <w:rPr>
          <w:rFonts w:ascii="Calibri" w:hAnsi="Calibri" w:cs="Calibri"/>
          <w:color w:val="000000"/>
        </w:rPr>
      </w:pPr>
      <w:r>
        <w:rPr>
          <w:rFonts w:ascii="Calibri" w:hAnsi="Calibri" w:cs="Calibri"/>
          <w:color w:val="000000"/>
        </w:rPr>
        <w:t>Case studies offer detailed context and enable in depth examination of legal systems and organisational operations.  By analysing company reports real life case studies, researchers gain insight into the complexities and unique features of governance structures.  However, it is important to recognise that qualitative data can introduce bias, making it essential to maintain methodological rigour and transparency.</w:t>
      </w:r>
    </w:p>
    <w:p w14:paraId="38B33D1F" w14:textId="76B19649" w:rsidR="001A2C37" w:rsidRDefault="001A2C37" w:rsidP="001A2C37">
      <w:pPr>
        <w:jc w:val="both"/>
        <w:rPr>
          <w:rFonts w:ascii="Calibri" w:hAnsi="Calibri" w:cs="Calibri"/>
          <w:color w:val="000000"/>
        </w:rPr>
      </w:pPr>
      <w:r>
        <w:rPr>
          <w:rFonts w:ascii="Calibri" w:hAnsi="Calibri" w:cs="Calibri"/>
          <w:color w:val="000000"/>
        </w:rPr>
        <w:t>Survey research compliments case study</w:t>
      </w:r>
      <w:r w:rsidR="009E0E40">
        <w:rPr>
          <w:rFonts w:ascii="Calibri" w:hAnsi="Calibri" w:cs="Calibri"/>
          <w:color w:val="000000"/>
        </w:rPr>
        <w:t xml:space="preserve"> analysis by supplying quantitative data from critical stakeholders.  Engaging regulators, board members and executive leader’s guarantees coverage across all levels of organisational authority and regulatory structures. When qualitative and quantitative results are combined, they provide a thorough and robust view of the factors influencing effective governance, particularly in respect of the rapidly growing area of emerging economies.</w:t>
      </w:r>
    </w:p>
    <w:p w14:paraId="46864E91" w14:textId="77777777" w:rsidR="00CA72C9" w:rsidRDefault="00B6654B" w:rsidP="001A2C37">
      <w:pPr>
        <w:jc w:val="both"/>
        <w:rPr>
          <w:rFonts w:ascii="Calibri" w:hAnsi="Calibri" w:cs="Calibri"/>
          <w:color w:val="000000"/>
        </w:rPr>
      </w:pPr>
      <w:r>
        <w:rPr>
          <w:rFonts w:ascii="Calibri" w:hAnsi="Calibri" w:cs="Calibri"/>
          <w:color w:val="000000"/>
        </w:rPr>
        <w:t xml:space="preserve">The results of this research underscore the </w:t>
      </w:r>
      <w:r w:rsidR="004571EA">
        <w:rPr>
          <w:rFonts w:ascii="Calibri" w:hAnsi="Calibri" w:cs="Calibri"/>
          <w:color w:val="000000"/>
        </w:rPr>
        <w:t xml:space="preserve">critical importance of robust corporate governance structures for organisations aiming to achieve sustained success, uphold transparency and ensure accountability.  With the continuous evolution of global markets and changes in regulatory frameworks, it is vital for companies to regularly evaluate and adapt their governance models.  </w:t>
      </w:r>
    </w:p>
    <w:p w14:paraId="098D4922" w14:textId="3483FCCF" w:rsidR="00B6654B" w:rsidRDefault="004571EA" w:rsidP="001A2C37">
      <w:pPr>
        <w:jc w:val="both"/>
        <w:rPr>
          <w:rFonts w:ascii="Calibri" w:hAnsi="Calibri" w:cs="Calibri"/>
          <w:color w:val="000000"/>
        </w:rPr>
      </w:pPr>
      <w:r>
        <w:rPr>
          <w:rFonts w:ascii="Calibri" w:hAnsi="Calibri" w:cs="Calibri"/>
          <w:color w:val="000000"/>
        </w:rPr>
        <w:t>The application of mixed methodologies enhances the ability of both organisations and researchers to ascertain improvement areas, address emerging challenges effectively, and support sustainable development.  Continuous enhancement of corporate governance practice remains fundamental to cultivating stakeholder confidence, optimising organisational performance, and advancing overall societal wellbeing.</w:t>
      </w:r>
    </w:p>
    <w:p w14:paraId="22C6825D" w14:textId="5055CB46" w:rsidR="00CA72C9" w:rsidRDefault="00CA72C9" w:rsidP="00CA72C9">
      <w:pPr>
        <w:jc w:val="both"/>
      </w:pPr>
      <w:r>
        <w:lastRenderedPageBreak/>
        <w:t xml:space="preserve">Future research should adopt interdisciplinary, comparative, and context sensitive approaches, leveraging new data sources and methodologies to deepen understanding. As emerging economies continue to reshape the global economic </w:t>
      </w:r>
      <w:r>
        <w:t>landscape</w:t>
      </w:r>
      <w:r>
        <w:t>, robust corporate governance will be essential for sustainable growth, innovation, and stakeholder trust.</w:t>
      </w:r>
    </w:p>
    <w:p w14:paraId="450F7FF3" w14:textId="77777777" w:rsidR="00055DFD" w:rsidRDefault="00055DFD" w:rsidP="00CA72C9">
      <w:pPr>
        <w:jc w:val="both"/>
      </w:pPr>
    </w:p>
    <w:p w14:paraId="341FD38D" w14:textId="223204A3" w:rsidR="00055DFD" w:rsidRPr="00037895" w:rsidRDefault="00055DFD" w:rsidP="00CA72C9">
      <w:pPr>
        <w:jc w:val="both"/>
      </w:pPr>
      <w:r>
        <w:t>Word Count: 5542</w:t>
      </w:r>
    </w:p>
    <w:p w14:paraId="33E2E70C" w14:textId="77777777" w:rsidR="00CA72C9" w:rsidRPr="00AC50ED" w:rsidRDefault="00CA72C9" w:rsidP="001A2C37">
      <w:pPr>
        <w:jc w:val="both"/>
        <w:rPr>
          <w:rFonts w:ascii="Calibri" w:hAnsi="Calibri" w:cs="Calibri"/>
          <w:color w:val="000000"/>
        </w:rPr>
      </w:pPr>
    </w:p>
    <w:p w14:paraId="024D43E1" w14:textId="77777777" w:rsidR="00F5492E" w:rsidRDefault="00F5492E" w:rsidP="00471A4C">
      <w:pPr>
        <w:jc w:val="both"/>
        <w:rPr>
          <w:b/>
          <w:bCs/>
          <w:u w:val="single"/>
        </w:rPr>
      </w:pPr>
    </w:p>
    <w:p w14:paraId="41B1ADC8" w14:textId="77777777" w:rsidR="00287B25" w:rsidRDefault="00287B25" w:rsidP="00471A4C">
      <w:pPr>
        <w:jc w:val="both"/>
        <w:rPr>
          <w:b/>
          <w:bCs/>
          <w:u w:val="single"/>
        </w:rPr>
      </w:pPr>
    </w:p>
    <w:p w14:paraId="791A98AC" w14:textId="77777777" w:rsidR="00892530" w:rsidRDefault="00892530" w:rsidP="00471A4C">
      <w:pPr>
        <w:jc w:val="both"/>
        <w:rPr>
          <w:b/>
          <w:bCs/>
          <w:u w:val="single"/>
        </w:rPr>
      </w:pPr>
    </w:p>
    <w:p w14:paraId="5FD031D2" w14:textId="77777777" w:rsidR="00471A4C" w:rsidRDefault="00471A4C" w:rsidP="00471A4C">
      <w:pPr>
        <w:jc w:val="both"/>
        <w:rPr>
          <w:b/>
          <w:bCs/>
          <w:u w:val="single"/>
        </w:rPr>
      </w:pPr>
    </w:p>
    <w:p w14:paraId="0C907FF0" w14:textId="77777777" w:rsidR="00471A4C" w:rsidRDefault="00471A4C" w:rsidP="00471A4C">
      <w:pPr>
        <w:jc w:val="both"/>
        <w:rPr>
          <w:b/>
          <w:bCs/>
          <w:u w:val="single"/>
        </w:rPr>
      </w:pPr>
    </w:p>
    <w:p w14:paraId="0396E9CB" w14:textId="77777777" w:rsidR="00471A4C" w:rsidRDefault="00471A4C" w:rsidP="00471A4C">
      <w:pPr>
        <w:jc w:val="both"/>
        <w:rPr>
          <w:b/>
          <w:bCs/>
          <w:u w:val="single"/>
        </w:rPr>
      </w:pPr>
    </w:p>
    <w:p w14:paraId="720C99B0" w14:textId="77777777" w:rsidR="00471A4C" w:rsidRDefault="00471A4C" w:rsidP="00471A4C">
      <w:pPr>
        <w:jc w:val="both"/>
        <w:rPr>
          <w:b/>
          <w:bCs/>
          <w:u w:val="single"/>
        </w:rPr>
      </w:pPr>
    </w:p>
    <w:p w14:paraId="4EE10A30" w14:textId="77777777" w:rsidR="00471A4C" w:rsidRDefault="00471A4C" w:rsidP="00471A4C">
      <w:pPr>
        <w:jc w:val="both"/>
        <w:rPr>
          <w:b/>
          <w:bCs/>
          <w:u w:val="single"/>
        </w:rPr>
      </w:pPr>
    </w:p>
    <w:p w14:paraId="76841266" w14:textId="77777777" w:rsidR="00471A4C" w:rsidRDefault="00471A4C" w:rsidP="00471A4C">
      <w:pPr>
        <w:jc w:val="both"/>
        <w:rPr>
          <w:b/>
          <w:bCs/>
          <w:u w:val="single"/>
        </w:rPr>
      </w:pPr>
    </w:p>
    <w:p w14:paraId="22551224" w14:textId="77777777" w:rsidR="00471A4C" w:rsidRDefault="00471A4C" w:rsidP="00471A4C">
      <w:pPr>
        <w:jc w:val="both"/>
        <w:rPr>
          <w:b/>
          <w:bCs/>
          <w:u w:val="single"/>
        </w:rPr>
      </w:pPr>
    </w:p>
    <w:p w14:paraId="51CA0E37" w14:textId="77777777" w:rsidR="00471A4C" w:rsidRDefault="00471A4C" w:rsidP="00471A4C">
      <w:pPr>
        <w:jc w:val="both"/>
        <w:rPr>
          <w:b/>
          <w:bCs/>
          <w:u w:val="single"/>
        </w:rPr>
      </w:pPr>
    </w:p>
    <w:p w14:paraId="68129048" w14:textId="77777777" w:rsidR="00471A4C" w:rsidRDefault="00471A4C" w:rsidP="00471A4C">
      <w:pPr>
        <w:jc w:val="both"/>
        <w:rPr>
          <w:b/>
          <w:bCs/>
          <w:u w:val="single"/>
        </w:rPr>
      </w:pPr>
    </w:p>
    <w:p w14:paraId="502BEBD1" w14:textId="77777777" w:rsidR="00471A4C" w:rsidRDefault="00471A4C" w:rsidP="00471A4C">
      <w:pPr>
        <w:jc w:val="both"/>
        <w:rPr>
          <w:b/>
          <w:bCs/>
          <w:u w:val="single"/>
        </w:rPr>
      </w:pPr>
    </w:p>
    <w:p w14:paraId="3D13AD0E" w14:textId="77777777" w:rsidR="00471A4C" w:rsidRDefault="00471A4C" w:rsidP="00471A4C">
      <w:pPr>
        <w:jc w:val="both"/>
        <w:rPr>
          <w:b/>
          <w:bCs/>
          <w:u w:val="single"/>
        </w:rPr>
      </w:pPr>
    </w:p>
    <w:p w14:paraId="5B24A763" w14:textId="77777777" w:rsidR="00892530" w:rsidRDefault="00892530" w:rsidP="00471A4C">
      <w:pPr>
        <w:jc w:val="both"/>
        <w:rPr>
          <w:b/>
          <w:bCs/>
          <w:u w:val="single"/>
        </w:rPr>
      </w:pPr>
    </w:p>
    <w:p w14:paraId="27403674" w14:textId="77777777" w:rsidR="00423DA2" w:rsidRDefault="00423DA2" w:rsidP="00471A4C">
      <w:pPr>
        <w:jc w:val="both"/>
        <w:rPr>
          <w:b/>
          <w:bCs/>
          <w:u w:val="single"/>
        </w:rPr>
      </w:pPr>
    </w:p>
    <w:p w14:paraId="72AEA115" w14:textId="77777777" w:rsidR="00423DA2" w:rsidRDefault="00423DA2" w:rsidP="00471A4C">
      <w:pPr>
        <w:jc w:val="both"/>
        <w:rPr>
          <w:b/>
          <w:bCs/>
          <w:u w:val="single"/>
        </w:rPr>
      </w:pPr>
    </w:p>
    <w:p w14:paraId="6848C7C0" w14:textId="77777777" w:rsidR="00423DA2" w:rsidRDefault="00423DA2" w:rsidP="00471A4C">
      <w:pPr>
        <w:jc w:val="both"/>
        <w:rPr>
          <w:b/>
          <w:bCs/>
          <w:u w:val="single"/>
        </w:rPr>
      </w:pPr>
    </w:p>
    <w:p w14:paraId="4BEC987A" w14:textId="77777777" w:rsidR="00892530" w:rsidRDefault="00892530" w:rsidP="00471A4C">
      <w:pPr>
        <w:jc w:val="both"/>
        <w:rPr>
          <w:b/>
          <w:bCs/>
          <w:u w:val="single"/>
        </w:rPr>
      </w:pPr>
    </w:p>
    <w:p w14:paraId="48A307A5" w14:textId="77777777" w:rsidR="00CA72C9" w:rsidRDefault="00CA72C9" w:rsidP="00471A4C">
      <w:pPr>
        <w:jc w:val="both"/>
        <w:rPr>
          <w:b/>
          <w:bCs/>
          <w:u w:val="single"/>
        </w:rPr>
      </w:pPr>
    </w:p>
    <w:p w14:paraId="27506188" w14:textId="77777777" w:rsidR="00CA72C9" w:rsidRDefault="00CA72C9" w:rsidP="00471A4C">
      <w:pPr>
        <w:jc w:val="both"/>
        <w:rPr>
          <w:b/>
          <w:bCs/>
          <w:u w:val="single"/>
        </w:rPr>
      </w:pPr>
    </w:p>
    <w:p w14:paraId="75796A89" w14:textId="77777777" w:rsidR="00CA72C9" w:rsidRDefault="00CA72C9" w:rsidP="00471A4C">
      <w:pPr>
        <w:jc w:val="both"/>
        <w:rPr>
          <w:b/>
          <w:bCs/>
          <w:u w:val="single"/>
        </w:rPr>
      </w:pPr>
    </w:p>
    <w:p w14:paraId="651791C1" w14:textId="77777777" w:rsidR="00CA72C9" w:rsidRDefault="00CA72C9" w:rsidP="00471A4C">
      <w:pPr>
        <w:jc w:val="both"/>
        <w:rPr>
          <w:b/>
          <w:bCs/>
          <w:u w:val="single"/>
        </w:rPr>
      </w:pPr>
    </w:p>
    <w:p w14:paraId="217768D3" w14:textId="77777777" w:rsidR="00CA72C9" w:rsidRDefault="00CA72C9" w:rsidP="00471A4C">
      <w:pPr>
        <w:jc w:val="both"/>
        <w:rPr>
          <w:b/>
          <w:bCs/>
          <w:u w:val="single"/>
        </w:rPr>
      </w:pPr>
    </w:p>
    <w:p w14:paraId="15618FD8" w14:textId="77777777" w:rsidR="00CA72C9" w:rsidRDefault="00CA72C9" w:rsidP="00471A4C">
      <w:pPr>
        <w:jc w:val="both"/>
        <w:rPr>
          <w:b/>
          <w:bCs/>
          <w:u w:val="single"/>
        </w:rPr>
      </w:pPr>
    </w:p>
    <w:p w14:paraId="45D9C386" w14:textId="77777777" w:rsidR="00892530" w:rsidRDefault="00892530" w:rsidP="00471A4C">
      <w:pPr>
        <w:jc w:val="both"/>
        <w:rPr>
          <w:b/>
          <w:bCs/>
          <w:u w:val="single"/>
        </w:rPr>
      </w:pPr>
    </w:p>
    <w:p w14:paraId="72343E4E" w14:textId="77777777" w:rsidR="00892530" w:rsidRDefault="00892530" w:rsidP="00471A4C">
      <w:pPr>
        <w:jc w:val="both"/>
        <w:rPr>
          <w:b/>
          <w:bCs/>
          <w:u w:val="single"/>
        </w:rPr>
      </w:pPr>
    </w:p>
    <w:p w14:paraId="1C51BA77" w14:textId="546148C7" w:rsidR="00892530" w:rsidRDefault="00C618FF" w:rsidP="00471A4C">
      <w:pPr>
        <w:jc w:val="both"/>
        <w:rPr>
          <w:b/>
          <w:bCs/>
          <w:u w:val="single"/>
        </w:rPr>
      </w:pPr>
      <w:r>
        <w:rPr>
          <w:b/>
          <w:bCs/>
          <w:u w:val="single"/>
        </w:rPr>
        <w:t>Bibliography</w:t>
      </w:r>
    </w:p>
    <w:p w14:paraId="2A028E14" w14:textId="5944705F" w:rsidR="00287B25" w:rsidRPr="00EF16FA" w:rsidRDefault="00EF16FA" w:rsidP="00471A4C">
      <w:pPr>
        <w:jc w:val="both"/>
      </w:pPr>
      <w:r w:rsidRPr="00EF16FA">
        <w:t>Adegbite, E., Nakajima, C., &amp; Amaeshi, K. (2012). Institutional determinants of good corporate governance: The case of Nigeria. Business &amp; Society</w:t>
      </w:r>
      <w:r w:rsidR="001335A7">
        <w:t>.</w:t>
      </w:r>
    </w:p>
    <w:p w14:paraId="3999C1BF" w14:textId="5E2FEAA1" w:rsidR="00CC58E4" w:rsidRDefault="00CC58E4" w:rsidP="00471A4C">
      <w:pPr>
        <w:jc w:val="both"/>
      </w:pPr>
      <w:r>
        <w:t>Aguilera, R. V., &amp; Cuervo-Cazurra, A. (2004). Codes of Good Governance Worldwide: What is the Trigger? Organization Studies</w:t>
      </w:r>
      <w:r w:rsidR="00416B22">
        <w:t>.</w:t>
      </w:r>
    </w:p>
    <w:p w14:paraId="33590250" w14:textId="68CEE97F" w:rsidR="00035ACE" w:rsidRDefault="00035ACE" w:rsidP="00471A4C">
      <w:pPr>
        <w:jc w:val="both"/>
      </w:pPr>
      <w:r w:rsidRPr="002007C1">
        <w:t>Aguilera, R. V., &amp; Crespi-Cladera, R. (2016). Global corporate governance: On the relevance of firms’ ownership structure. Journal of World Business</w:t>
      </w:r>
      <w:r w:rsidR="00D853E4">
        <w:t>.</w:t>
      </w:r>
    </w:p>
    <w:p w14:paraId="2B486F9A" w14:textId="328D9679" w:rsidR="00FE7735" w:rsidRDefault="00FE7735" w:rsidP="00471A4C">
      <w:pPr>
        <w:jc w:val="both"/>
      </w:pPr>
      <w:bookmarkStart w:id="3" w:name="_Hlk219149895"/>
      <w:r w:rsidRPr="002007C1">
        <w:t>Aguilera, R. V., &amp; Cuervo-Cazurra, A. (2022). Corporate governance in emerging markets. Corporate Governance: An International Review</w:t>
      </w:r>
      <w:bookmarkEnd w:id="3"/>
      <w:r>
        <w:t>.</w:t>
      </w:r>
    </w:p>
    <w:p w14:paraId="4BBAD27F" w14:textId="68AF866F" w:rsidR="00793674" w:rsidRDefault="00793674" w:rsidP="00471A4C">
      <w:pPr>
        <w:jc w:val="both"/>
      </w:pPr>
      <w:r w:rsidRPr="00793674">
        <w:t>Ahmed, M., Khan, S., &amp; Rahman, A. (2017). “Corporate Governance and Market Development in South Asia.” Journal of Emerging Market Studies.</w:t>
      </w:r>
    </w:p>
    <w:p w14:paraId="5E4D7A92" w14:textId="65120598" w:rsidR="00243EAC" w:rsidRDefault="00243EAC" w:rsidP="00243EAC">
      <w:pPr>
        <w:pStyle w:val="FootnoteText"/>
      </w:pPr>
      <w:r w:rsidRPr="00243EAC">
        <w:t>Allen, F., Qian, J., &amp; Qian, M. (2012). Law, finance, and economic growth in China. Journal of Financial Economics</w:t>
      </w:r>
      <w:r>
        <w:t>.</w:t>
      </w:r>
    </w:p>
    <w:p w14:paraId="27F955E1" w14:textId="77777777" w:rsidR="00243EAC" w:rsidRDefault="00243EAC" w:rsidP="00243EAC">
      <w:pPr>
        <w:pStyle w:val="FootnoteText"/>
      </w:pPr>
    </w:p>
    <w:p w14:paraId="31A260A2" w14:textId="00B45F92" w:rsidR="00D22E97" w:rsidRDefault="00D22E97" w:rsidP="00471A4C">
      <w:pPr>
        <w:jc w:val="both"/>
      </w:pPr>
      <w:bookmarkStart w:id="4" w:name="_Hlk219123606"/>
      <w:r w:rsidRPr="00D22E97">
        <w:t>Barako, D. G., &amp; Brown, A. M. (2018). Corporate governance and voluntary disclosure in emerging markets. Corporate Governance: The International Journal of Business in Society</w:t>
      </w:r>
      <w:r>
        <w:t>.</w:t>
      </w:r>
    </w:p>
    <w:p w14:paraId="705C4D67" w14:textId="0F67E4CB" w:rsidR="007D061B" w:rsidRDefault="007D061B" w:rsidP="00471A4C">
      <w:pPr>
        <w:jc w:val="both"/>
      </w:pPr>
      <w:r w:rsidRPr="007D061B">
        <w:t>Bertrand, M., Kramarz, F., Schoar, A., &amp; Thesmar, D. (2021). The Cost of Political Connections. Review of Finance.</w:t>
      </w:r>
    </w:p>
    <w:p w14:paraId="3EC0F7D6" w14:textId="74755CF5" w:rsidR="00490640" w:rsidRDefault="00490640" w:rsidP="00471A4C">
      <w:pPr>
        <w:jc w:val="both"/>
      </w:pPr>
      <w:r w:rsidRPr="00490640">
        <w:t>Boubakri, N., Cosset, J.-C., &amp; Saffar, W. (2012). Political Connections of Newly Privatised Firms. Journal of Corporate Finance.</w:t>
      </w:r>
    </w:p>
    <w:p w14:paraId="4D57A648" w14:textId="2403C8C0" w:rsidR="007D2596" w:rsidRDefault="007D2596" w:rsidP="00471A4C">
      <w:pPr>
        <w:jc w:val="both"/>
      </w:pPr>
      <w:r w:rsidRPr="007D2596">
        <w:t>Celikyurt, U., &amp; Sevilir, M. (2018). How do political connections affect firm performance? Evidence from emerging markets. Emerging Markets Review</w:t>
      </w:r>
    </w:p>
    <w:bookmarkEnd w:id="4"/>
    <w:p w14:paraId="19CB7B43" w14:textId="7DC803C5" w:rsidR="00D853E4" w:rsidRDefault="00D853E4" w:rsidP="00471A4C">
      <w:pPr>
        <w:jc w:val="both"/>
      </w:pPr>
      <w:r w:rsidRPr="00D853E4">
        <w:t>Chauhan, Y., &amp; Kumar, S. (2018). Voluntary disclosure practices in Indian companies: The effect of ownership structure. Journal of Financial Reporting and Accounting.</w:t>
      </w:r>
    </w:p>
    <w:p w14:paraId="667DC54B" w14:textId="0704E266" w:rsidR="001335A7" w:rsidRDefault="001335A7" w:rsidP="00471A4C">
      <w:pPr>
        <w:jc w:val="both"/>
      </w:pPr>
      <w:r w:rsidRPr="001335A7">
        <w:t>Claessens, S., &amp; Yafeh, Y. (2012). How does corporate governance affect bank capitalization strategies? Journal of Financial Intermediation.</w:t>
      </w:r>
    </w:p>
    <w:p w14:paraId="5831FF28" w14:textId="0D1299CC" w:rsidR="00CC58E4" w:rsidRPr="00CC58E4" w:rsidRDefault="00CC58E4" w:rsidP="00471A4C">
      <w:pPr>
        <w:jc w:val="both"/>
      </w:pPr>
      <w:r>
        <w:t>Claessens, S., &amp; Yurtoglu, B. B. (2013). Corporate Governance in Emerging Markets: A Survey. Emerging Markets Review</w:t>
      </w:r>
      <w:r w:rsidR="00416B22">
        <w:t>.</w:t>
      </w:r>
    </w:p>
    <w:p w14:paraId="158ACDEA" w14:textId="6373B92F" w:rsidR="00287B25" w:rsidRDefault="00287B25" w:rsidP="00471A4C">
      <w:pPr>
        <w:jc w:val="both"/>
      </w:pPr>
      <w:hyperlink r:id="rId8" w:history="1">
        <w:r w:rsidRPr="00CC58E4">
          <w:rPr>
            <w:rStyle w:val="Hyperlink"/>
            <w:color w:val="auto"/>
            <w:u w:val="none"/>
          </w:rPr>
          <w:t>Corporate Governance in Developing, Transition and Emerging-Market Economies (EN)</w:t>
        </w:r>
      </w:hyperlink>
      <w:r w:rsidRPr="007C6D9C">
        <w:t xml:space="preserve"> </w:t>
      </w:r>
      <w:r w:rsidR="00C92BC2" w:rsidRPr="007C6D9C">
        <w:t>OECD Development Centre Policy Brief No. 23</w:t>
      </w:r>
      <w:r w:rsidR="00C92BC2" w:rsidRPr="007C6D9C">
        <w:t xml:space="preserve"> </w:t>
      </w:r>
      <w:r w:rsidRPr="007C6D9C">
        <w:t>CORPORATE GOVERNANCE</w:t>
      </w:r>
      <w:r w:rsidR="00C92BC2" w:rsidRPr="007C6D9C">
        <w:t xml:space="preserve"> </w:t>
      </w:r>
      <w:r w:rsidRPr="007C6D9C">
        <w:t>in Developing, Transition</w:t>
      </w:r>
      <w:r w:rsidR="00C92BC2" w:rsidRPr="007C6D9C">
        <w:t xml:space="preserve"> </w:t>
      </w:r>
      <w:r w:rsidRPr="007C6D9C">
        <w:t>and Emerging–Market Economies</w:t>
      </w:r>
      <w:r w:rsidR="00C92BC2" w:rsidRPr="007C6D9C">
        <w:t xml:space="preserve"> </w:t>
      </w:r>
      <w:r w:rsidRPr="007C6D9C">
        <w:t>by</w:t>
      </w:r>
      <w:r w:rsidR="00C92BC2" w:rsidRPr="007C6D9C">
        <w:t xml:space="preserve"> </w:t>
      </w:r>
      <w:r w:rsidRPr="007C6D9C">
        <w:t>Charles Oman, Steven Fries and Willem Buiter</w:t>
      </w:r>
      <w:r w:rsidR="000A4E0B">
        <w:t>.</w:t>
      </w:r>
    </w:p>
    <w:p w14:paraId="7647C2E9" w14:textId="32286A7A" w:rsidR="000A4E0B" w:rsidRDefault="000A4E0B" w:rsidP="00471A4C">
      <w:pPr>
        <w:jc w:val="both"/>
      </w:pPr>
      <w:r w:rsidRPr="000A4E0B">
        <w:t>Djankov, S., La Porta, R., Lopez-de-Silanes, F., &amp; Shleifer, A. (2008). The law and economics of self-dealing. Journal of Financial Economics</w:t>
      </w:r>
      <w:r w:rsidR="00416B22">
        <w:t>.</w:t>
      </w:r>
    </w:p>
    <w:p w14:paraId="0CBCC750" w14:textId="4136F7A4" w:rsidR="0093766A" w:rsidRDefault="0093766A" w:rsidP="00471A4C">
      <w:pPr>
        <w:jc w:val="both"/>
      </w:pPr>
      <w:r w:rsidRPr="0093766A">
        <w:t>D'Souza, J., Nash, R., &amp; Megginson, W. (2017). Corporate Governance and Firm Performance: Evidence from Privatization. Journal of Financial Economics</w:t>
      </w:r>
      <w:r>
        <w:t>.</w:t>
      </w:r>
    </w:p>
    <w:p w14:paraId="187A1A04" w14:textId="56635C96" w:rsidR="00DC74D6" w:rsidRDefault="00DC74D6" w:rsidP="00471A4C">
      <w:pPr>
        <w:jc w:val="both"/>
      </w:pPr>
      <w:r w:rsidRPr="00DC74D6">
        <w:lastRenderedPageBreak/>
        <w:t>Estrin, S., &amp; Prevezer, M. (2011). The role of informal institutions in corporate governance: Brazil, Russia, India, and China compared. Asia Pacific Journal of Management.</w:t>
      </w:r>
    </w:p>
    <w:p w14:paraId="2D7C0949" w14:textId="15FB4235" w:rsidR="00031128" w:rsidRDefault="00031128" w:rsidP="00471A4C">
      <w:pPr>
        <w:jc w:val="both"/>
      </w:pPr>
      <w:r w:rsidRPr="00031128">
        <w:t>Faccio, M. (2006). Politically Connected Firms. American Economic Review.</w:t>
      </w:r>
    </w:p>
    <w:p w14:paraId="18BB4BF9" w14:textId="645E3DC3" w:rsidR="004D5DC6" w:rsidRDefault="004D5DC6" w:rsidP="00471A4C">
      <w:pPr>
        <w:jc w:val="both"/>
      </w:pPr>
      <w:r w:rsidRPr="004D5DC6">
        <w:t>García-Sánchez, I. M., &amp; García-Meca, E. (2018). Institutional investors and corporate governance in emerging economies. Corporate Governance: The International Journal of Business in Society</w:t>
      </w:r>
      <w:r>
        <w:t>.</w:t>
      </w:r>
    </w:p>
    <w:p w14:paraId="57695F21" w14:textId="6AEE4B9E" w:rsidR="00D22E97" w:rsidRPr="007C6D9C" w:rsidRDefault="00D22E97" w:rsidP="00471A4C">
      <w:pPr>
        <w:jc w:val="both"/>
      </w:pPr>
      <w:r w:rsidRPr="00D22E97">
        <w:t>Hassan, O. A. G., &amp; Marston, C. (2019). Disclosure measurement in the corporate annual reports of emerging economies. Journal of Accounting in Emerging Economies</w:t>
      </w:r>
      <w:r>
        <w:t>.</w:t>
      </w:r>
    </w:p>
    <w:p w14:paraId="0B9F60EC" w14:textId="158D695B" w:rsidR="00CC58E4" w:rsidRDefault="00CC58E4" w:rsidP="00471A4C">
      <w:pPr>
        <w:jc w:val="both"/>
      </w:pPr>
      <w:r w:rsidRPr="00814CCD">
        <w:t>Hofstede, G. (2001). Culture’s Consequences: Comparing Values, Behaviours, Institutions and Organizations Across Nations. Sage</w:t>
      </w:r>
      <w:r w:rsidR="004D3166">
        <w:t>.</w:t>
      </w:r>
    </w:p>
    <w:p w14:paraId="36BAAAB6" w14:textId="3233E927" w:rsidR="001D397B" w:rsidRDefault="001D397B" w:rsidP="00471A4C">
      <w:pPr>
        <w:jc w:val="both"/>
      </w:pPr>
      <w:r w:rsidRPr="001D397B">
        <w:t>Hoskisson, R. E., Wright, M., Filatotchev, I., &amp; Peng, M. W. (2013). Emerging multinationals from mid-range economies: The influence of institutions and factor markets. Journal of Management Studies</w:t>
      </w:r>
    </w:p>
    <w:p w14:paraId="07E032FA" w14:textId="202F0797" w:rsidR="004D3166" w:rsidRDefault="004D3166" w:rsidP="00471A4C">
      <w:pPr>
        <w:jc w:val="both"/>
      </w:pPr>
      <w:r w:rsidRPr="004D3166">
        <w:t>Kim, J., &amp; Park, S. (2015). “Regulatory Reforms and Financial Market Deepening in East Asia.” Asian Economic Policy Review.</w:t>
      </w:r>
    </w:p>
    <w:p w14:paraId="5C337D19" w14:textId="3E530D63" w:rsidR="00997E8F" w:rsidRDefault="00997E8F" w:rsidP="00471A4C">
      <w:pPr>
        <w:jc w:val="both"/>
      </w:pPr>
      <w:r w:rsidRPr="00997E8F">
        <w:t>Klapper, L. F., &amp; Love, I. (2004). Corporate governance, investor protection, and performance in emerging markets. Journal of Corporate Finance</w:t>
      </w:r>
    </w:p>
    <w:p w14:paraId="633DD70E" w14:textId="478BEDF5" w:rsidR="008E5374" w:rsidRDefault="008E5374" w:rsidP="00471A4C">
      <w:pPr>
        <w:jc w:val="both"/>
      </w:pPr>
      <w:r w:rsidRPr="008E5374">
        <w:t>La Porta, R., Lopez-de-Silanes, F., Shleifer, A., &amp; Vishny, R. W. (1998). Law and finance. Journal of Political Economy</w:t>
      </w:r>
      <w:r>
        <w:t>.</w:t>
      </w:r>
    </w:p>
    <w:p w14:paraId="693119B3" w14:textId="7D5A8BE3" w:rsidR="005D2327" w:rsidRDefault="005D2327" w:rsidP="00471A4C">
      <w:pPr>
        <w:jc w:val="both"/>
      </w:pPr>
      <w:r w:rsidRPr="005D2327">
        <w:t>La Porta, R., Lopez-de-Silanes, F., Shleifer, A., &amp; Vishny, R. W. (2000). Investor protection and corporate governance. Journal of Financial Economics</w:t>
      </w:r>
      <w:r w:rsidR="001335A7">
        <w:t>.</w:t>
      </w:r>
    </w:p>
    <w:p w14:paraId="08B5D56B" w14:textId="42C91E9F" w:rsidR="00D22E97" w:rsidRDefault="00D22E97" w:rsidP="00471A4C">
      <w:pPr>
        <w:jc w:val="both"/>
      </w:pPr>
      <w:r w:rsidRPr="00D22E97">
        <w:t>Li, W., Song, G., &amp; Wong, T. J. (2017). Corporate disclosure and information asymmetry in China. China Journal of Accounting Research</w:t>
      </w:r>
      <w:r>
        <w:t>.</w:t>
      </w:r>
    </w:p>
    <w:p w14:paraId="4E998091" w14:textId="4D3E9D37" w:rsidR="00490640" w:rsidRDefault="00490640" w:rsidP="00471A4C">
      <w:pPr>
        <w:jc w:val="both"/>
      </w:pPr>
      <w:r w:rsidRPr="00490640">
        <w:t>Li, H., Meng, L., Wang, Q., &amp; Zhou, L.-A. (2019). Political Connections, Financing and Firm Performance: Evidence from China. World Development.</w:t>
      </w:r>
    </w:p>
    <w:p w14:paraId="66BFC956" w14:textId="4C76B876" w:rsidR="00131A2D" w:rsidRDefault="00131A2D" w:rsidP="00471A4C">
      <w:pPr>
        <w:jc w:val="both"/>
      </w:pPr>
      <w:r w:rsidRPr="00131A2D">
        <w:t>Muhammad Asifand Muhammad Akhlaq</w:t>
      </w:r>
      <w:r>
        <w:t xml:space="preserve"> </w:t>
      </w:r>
      <w:r w:rsidRPr="00131A2D">
        <w:t>(2024).</w:t>
      </w:r>
      <w:r>
        <w:t xml:space="preserve"> </w:t>
      </w:r>
      <w:r w:rsidRPr="00131A2D">
        <w:t>Sharia     Compliance     in     Modern     Business     Practices. Tanazur</w:t>
      </w:r>
      <w:r w:rsidR="00416B22">
        <w:t>.</w:t>
      </w:r>
    </w:p>
    <w:p w14:paraId="583B1AE3" w14:textId="334B1532" w:rsidR="00CC58E4" w:rsidRDefault="00CC58E4" w:rsidP="00471A4C">
      <w:pPr>
        <w:jc w:val="both"/>
      </w:pPr>
      <w:bookmarkStart w:id="5" w:name="_Hlk219129420"/>
      <w:r w:rsidRPr="00CC58E4">
        <w:t>Musacchio, A., &amp; Lazzarini, S. G. (2014). Reinventing state capitalism: Leviathan in business, Brazil and beyond. Brookings Institution Press</w:t>
      </w:r>
      <w:bookmarkEnd w:id="5"/>
      <w:r w:rsidRPr="00CC58E4">
        <w:t>.</w:t>
      </w:r>
      <w:r>
        <w:t xml:space="preserve"> </w:t>
      </w:r>
    </w:p>
    <w:p w14:paraId="4E8DA003" w14:textId="77777777" w:rsidR="002C398B" w:rsidRDefault="002C398B" w:rsidP="002C398B">
      <w:pPr>
        <w:jc w:val="both"/>
      </w:pPr>
      <w:r>
        <w:t>Ntim, C. G., Lindop, S., &amp; Thomas, D. A. (2013). Corporate governance and transparency: Evidence from Africa. International Review of Financial Analysis.</w:t>
      </w:r>
    </w:p>
    <w:p w14:paraId="383F00BD" w14:textId="4FFB47BB" w:rsidR="002C398B" w:rsidRDefault="002C398B" w:rsidP="002C398B">
      <w:pPr>
        <w:jc w:val="both"/>
      </w:pPr>
      <w:r>
        <w:t>Ntim, C. G., Opong, K. K., Danbolt, J., &amp; Thomas, D. A. (2017). Voluntary disclosure and corporate governance in Latin America. Research in International Business and Finance.</w:t>
      </w:r>
    </w:p>
    <w:p w14:paraId="6E42B68B" w14:textId="176F3CF3" w:rsidR="004D3166" w:rsidRDefault="004D3166" w:rsidP="002C398B">
      <w:pPr>
        <w:jc w:val="both"/>
      </w:pPr>
      <w:r>
        <w:t>OECD (2017). Corporate Governance in Emerging Markets. OECD Publishing.</w:t>
      </w:r>
    </w:p>
    <w:p w14:paraId="308773CD" w14:textId="331B8D2C" w:rsidR="00A877ED" w:rsidRDefault="00A877ED" w:rsidP="00471A4C">
      <w:pPr>
        <w:jc w:val="both"/>
      </w:pPr>
      <w:r w:rsidRPr="00A877ED">
        <w:t>Okeahalam, C. C. (2004). Corporate governance dynamics and some evidence of institutional impediments to the OECD principles in sub-Saharan Africa. South African Journal of Economics</w:t>
      </w:r>
      <w:r w:rsidR="00416B22">
        <w:t>.</w:t>
      </w:r>
    </w:p>
    <w:p w14:paraId="3A07E8A4" w14:textId="52D16F9B" w:rsidR="00416B22" w:rsidRDefault="00416B22" w:rsidP="00471A4C">
      <w:pPr>
        <w:jc w:val="both"/>
      </w:pPr>
      <w:r w:rsidRPr="00416B22">
        <w:t>Pistor, K., Raiser, M., &amp; Gelfer, S. (2000). Law and finance in transition economies. Economics of Transition</w:t>
      </w:r>
      <w:r>
        <w:t>.</w:t>
      </w:r>
    </w:p>
    <w:p w14:paraId="26CBCD76" w14:textId="621E80F1" w:rsidR="007D2596" w:rsidRDefault="007D2596" w:rsidP="00471A4C">
      <w:pPr>
        <w:jc w:val="both"/>
      </w:pPr>
      <w:r w:rsidRPr="007D2596">
        <w:lastRenderedPageBreak/>
        <w:t>Puni, A., Osei, B. A., &amp; Ofei, S. B. (2017). The impact of board involvement in policy making on corporate governance in state-owned enterprises. Corporate Governance: The International Journal of Business in Society.</w:t>
      </w:r>
    </w:p>
    <w:p w14:paraId="0B2A2965" w14:textId="6B82BF10" w:rsidR="008379E4" w:rsidRDefault="008379E4" w:rsidP="00471A4C">
      <w:pPr>
        <w:jc w:val="both"/>
      </w:pPr>
      <w:r w:rsidRPr="008379E4">
        <w:t>World Bank. (2022). World Development Report 2022: Finance for an Equitable Recovery. Washington, DC: World Bank.</w:t>
      </w:r>
    </w:p>
    <w:p w14:paraId="7353DEFC" w14:textId="5471B918" w:rsidR="00E11E7C" w:rsidRDefault="00E11E7C" w:rsidP="00471A4C">
      <w:pPr>
        <w:jc w:val="both"/>
      </w:pPr>
      <w:r w:rsidRPr="00E11E7C">
        <w:t>Young, M. N., Peng, M. W., Ahlstrom, D., Bruton, G. D., &amp; Jiang, Y. (2008). Corporate Governance in Emerging Economies: A Review of the Principal–Principal Perspective. Journal of Management Studies</w:t>
      </w:r>
      <w:r w:rsidR="00416B22">
        <w:t>.</w:t>
      </w:r>
    </w:p>
    <w:p w14:paraId="4BED952B" w14:textId="42F5FAB0" w:rsidR="00A97896" w:rsidRDefault="00A97896" w:rsidP="00A97896">
      <w:r w:rsidRPr="008325DC">
        <w:t>Young, M. N., &amp; Thyil, V. (2014). Corporate governance research in emerging economies: Review, synthesis, and recommendations. Asia Pacific Journal of Management</w:t>
      </w:r>
      <w:r w:rsidR="00997E8F">
        <w:t>.</w:t>
      </w:r>
    </w:p>
    <w:p w14:paraId="31AC0B84" w14:textId="33067123" w:rsidR="00F341F9" w:rsidRDefault="00F341F9" w:rsidP="00A97896">
      <w:r w:rsidRPr="00F341F9">
        <w:t>Zattoni, A., Gnan, L., &amp; Huse, M. (2017). Board monitoring and strategy involvement in family-owned firms: The moderating effect of board compensation. Corporate Governance: An International Review.</w:t>
      </w:r>
    </w:p>
    <w:bookmarkEnd w:id="0"/>
    <w:p w14:paraId="7B3F7161" w14:textId="77777777" w:rsidR="00A97896" w:rsidRPr="00E11E7C" w:rsidRDefault="00A97896" w:rsidP="00471A4C">
      <w:pPr>
        <w:jc w:val="both"/>
      </w:pPr>
    </w:p>
    <w:sectPr w:rsidR="00A97896" w:rsidRPr="00E11E7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D95921" w14:textId="77777777" w:rsidR="00A326EC" w:rsidRDefault="00A326EC" w:rsidP="007059F2">
      <w:pPr>
        <w:spacing w:after="0" w:line="240" w:lineRule="auto"/>
      </w:pPr>
      <w:r>
        <w:separator/>
      </w:r>
    </w:p>
  </w:endnote>
  <w:endnote w:type="continuationSeparator" w:id="0">
    <w:p w14:paraId="61440C27" w14:textId="77777777" w:rsidR="00A326EC" w:rsidRDefault="00A326EC" w:rsidP="00705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altName w:val="Times New Roman P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16EAE8" w14:textId="77777777" w:rsidR="00A326EC" w:rsidRDefault="00A326EC" w:rsidP="007059F2">
      <w:pPr>
        <w:spacing w:after="0" w:line="240" w:lineRule="auto"/>
      </w:pPr>
      <w:r>
        <w:separator/>
      </w:r>
    </w:p>
  </w:footnote>
  <w:footnote w:type="continuationSeparator" w:id="0">
    <w:p w14:paraId="487FD52E" w14:textId="77777777" w:rsidR="00A326EC" w:rsidRDefault="00A326EC" w:rsidP="007059F2">
      <w:pPr>
        <w:spacing w:after="0" w:line="240" w:lineRule="auto"/>
      </w:pPr>
      <w:r>
        <w:continuationSeparator/>
      </w:r>
    </w:p>
  </w:footnote>
  <w:footnote w:id="1">
    <w:p w14:paraId="51762E4E" w14:textId="1C21E703" w:rsidR="001579F9" w:rsidRDefault="001579F9">
      <w:pPr>
        <w:pStyle w:val="FootnoteText"/>
      </w:pPr>
      <w:r>
        <w:rPr>
          <w:rStyle w:val="FootnoteReference"/>
        </w:rPr>
        <w:footnoteRef/>
      </w:r>
      <w:r>
        <w:t xml:space="preserve"> </w:t>
      </w:r>
      <w:r w:rsidR="008379E4" w:rsidRPr="008379E4">
        <w:t>World Bank. (2022). World Development Report 2022: Finance for an Equitable Recovery. Washington, DC: World Bank.</w:t>
      </w:r>
    </w:p>
  </w:footnote>
  <w:footnote w:id="2">
    <w:p w14:paraId="52BD9EDD" w14:textId="601750C4" w:rsidR="001579F9" w:rsidRDefault="001579F9">
      <w:pPr>
        <w:pStyle w:val="FootnoteText"/>
      </w:pPr>
      <w:r>
        <w:rPr>
          <w:rStyle w:val="FootnoteReference"/>
        </w:rPr>
        <w:footnoteRef/>
      </w:r>
      <w:r>
        <w:t xml:space="preserve"> </w:t>
      </w:r>
      <w:r w:rsidRPr="001579F9">
        <w:t>Claessens, S., &amp; Yafeh, Y. (2012). How does corporate governance affect bank capitalization strategies? Journal of Financial Intermediation</w:t>
      </w:r>
      <w:r>
        <w:t>.</w:t>
      </w:r>
    </w:p>
  </w:footnote>
  <w:footnote w:id="3">
    <w:p w14:paraId="6502BCFC" w14:textId="197A3A54" w:rsidR="001579F9" w:rsidRDefault="001579F9">
      <w:pPr>
        <w:pStyle w:val="FootnoteText"/>
      </w:pPr>
      <w:r>
        <w:rPr>
          <w:rStyle w:val="FootnoteReference"/>
        </w:rPr>
        <w:footnoteRef/>
      </w:r>
      <w:r>
        <w:t xml:space="preserve"> </w:t>
      </w:r>
      <w:r w:rsidR="001D397B" w:rsidRPr="001D397B">
        <w:t>Hoskisson, R. E., Wright, M., Filatotchev, I., &amp; Peng, M. W. (2013). Emerging multinationals from mid-range economies: The influence of institutions and factor markets. Journal of Management Studies</w:t>
      </w:r>
      <w:r w:rsidR="001D397B">
        <w:t>.</w:t>
      </w:r>
    </w:p>
  </w:footnote>
  <w:footnote w:id="4">
    <w:p w14:paraId="2B85B310" w14:textId="3C3CB67A" w:rsidR="005E29B3" w:rsidRDefault="005E29B3">
      <w:pPr>
        <w:pStyle w:val="FootnoteText"/>
      </w:pPr>
      <w:r>
        <w:rPr>
          <w:rStyle w:val="FootnoteReference"/>
        </w:rPr>
        <w:footnoteRef/>
      </w:r>
      <w:r>
        <w:t xml:space="preserve"> </w:t>
      </w:r>
      <w:r w:rsidRPr="005E29B3">
        <w:t>Mallin, C. A. (2016). Corporate Governance (5th ed.). Oxford University Press</w:t>
      </w:r>
    </w:p>
  </w:footnote>
  <w:footnote w:id="5">
    <w:p w14:paraId="0BCC7250" w14:textId="14EBD603" w:rsidR="005E29B3" w:rsidRDefault="005E29B3">
      <w:pPr>
        <w:pStyle w:val="FootnoteText"/>
      </w:pPr>
      <w:r>
        <w:rPr>
          <w:rStyle w:val="FootnoteReference"/>
        </w:rPr>
        <w:footnoteRef/>
      </w:r>
      <w:r>
        <w:t xml:space="preserve"> Ibid</w:t>
      </w:r>
    </w:p>
  </w:footnote>
  <w:footnote w:id="6">
    <w:p w14:paraId="660BE597" w14:textId="32EAFC3A" w:rsidR="005E29B3" w:rsidRDefault="005E29B3">
      <w:pPr>
        <w:pStyle w:val="FootnoteText"/>
      </w:pPr>
      <w:r>
        <w:rPr>
          <w:rStyle w:val="FootnoteReference"/>
        </w:rPr>
        <w:footnoteRef/>
      </w:r>
      <w:r>
        <w:t xml:space="preserve"> </w:t>
      </w:r>
      <w:r w:rsidR="00FE7735" w:rsidRPr="00FE7735">
        <w:t>Aguilera, R. V., &amp; Cuervo-Cazurra, A. (2022). Corporate governance in emerging markets. Corporate Governance: An International Review</w:t>
      </w:r>
      <w:r w:rsidR="00FE7735">
        <w:t>.</w:t>
      </w:r>
    </w:p>
  </w:footnote>
  <w:footnote w:id="7">
    <w:p w14:paraId="3D0AA341" w14:textId="5BB8BA62" w:rsidR="0089274D" w:rsidRDefault="00E11E7C" w:rsidP="00E11E7C">
      <w:pPr>
        <w:pStyle w:val="FootnoteText"/>
      </w:pPr>
      <w:r>
        <w:rPr>
          <w:rStyle w:val="FootnoteReference"/>
        </w:rPr>
        <w:footnoteRef/>
      </w:r>
      <w:r>
        <w:t xml:space="preserve"> </w:t>
      </w:r>
      <w:r w:rsidR="0089274D" w:rsidRPr="0089274D">
        <w:t>Claessens, S., &amp; Yurtoglu, B. B. (2013). Corporate Governance in Emerging Markets: A Survey. Emerging Markets Review.</w:t>
      </w:r>
    </w:p>
    <w:p w14:paraId="7FFE9132" w14:textId="7E7DD96A" w:rsidR="00E11E7C" w:rsidRDefault="00E11E7C" w:rsidP="00E11E7C">
      <w:pPr>
        <w:pStyle w:val="FootnoteText"/>
      </w:pPr>
      <w:r w:rsidRPr="007C6D9C">
        <w:t>Claessens &amp; Yurtoglu (2013), Aguilera &amp; Cuervo-Cazurra (2004), OECD (2017), or Young et al. (2008),</w:t>
      </w:r>
    </w:p>
  </w:footnote>
  <w:footnote w:id="8">
    <w:p w14:paraId="18606408" w14:textId="56E5BB72" w:rsidR="00997E8F" w:rsidRDefault="00997E8F">
      <w:pPr>
        <w:pStyle w:val="FootnoteText"/>
      </w:pPr>
      <w:r>
        <w:rPr>
          <w:rStyle w:val="FootnoteReference"/>
        </w:rPr>
        <w:footnoteRef/>
      </w:r>
      <w:r>
        <w:t xml:space="preserve"> </w:t>
      </w:r>
      <w:r w:rsidRPr="00997E8F">
        <w:t>Young, M. N., Peng, M. W., Ahlstrom, D., Bruton, G. D., &amp; Jiang, Y. (2008). Corporate governance in emerging economies: A review of the principal–principal perspective. Journal of Management Studies</w:t>
      </w:r>
      <w:r>
        <w:t>.</w:t>
      </w:r>
    </w:p>
  </w:footnote>
  <w:footnote w:id="9">
    <w:p w14:paraId="2ADE6FE2" w14:textId="08E30F9B" w:rsidR="00997E8F" w:rsidRDefault="00997E8F">
      <w:pPr>
        <w:pStyle w:val="FootnoteText"/>
      </w:pPr>
      <w:r>
        <w:rPr>
          <w:rStyle w:val="FootnoteReference"/>
        </w:rPr>
        <w:footnoteRef/>
      </w:r>
      <w:r>
        <w:t xml:space="preserve"> </w:t>
      </w:r>
      <w:r w:rsidR="004D5DC6" w:rsidRPr="004D5DC6">
        <w:t>García-Sánchez, I. M., &amp; García-Meca, E. (2018). Institutional investors and corporate governance in emerging economies. Corporate Governance: The International Journal of Business in Society</w:t>
      </w:r>
      <w:r w:rsidR="004D5DC6">
        <w:t>.</w:t>
      </w:r>
    </w:p>
  </w:footnote>
  <w:footnote w:id="10">
    <w:p w14:paraId="3E995E29" w14:textId="4643581F" w:rsidR="00997E8F" w:rsidRDefault="00997E8F">
      <w:pPr>
        <w:pStyle w:val="FootnoteText"/>
      </w:pPr>
      <w:r>
        <w:rPr>
          <w:rStyle w:val="FootnoteReference"/>
        </w:rPr>
        <w:footnoteRef/>
      </w:r>
      <w:r>
        <w:t xml:space="preserve"> </w:t>
      </w:r>
      <w:r w:rsidRPr="00997E8F">
        <w:t>Klapper, L. F., &amp; Love, I. (2004). Corporate governance, investor protection, and performance in emerging markets. Journal of Corporate Finance</w:t>
      </w:r>
      <w:r>
        <w:t>.</w:t>
      </w:r>
    </w:p>
  </w:footnote>
  <w:footnote w:id="11">
    <w:p w14:paraId="14235492" w14:textId="7D3F72CD" w:rsidR="00997E8F" w:rsidRDefault="00997E8F">
      <w:pPr>
        <w:pStyle w:val="FootnoteText"/>
      </w:pPr>
      <w:r>
        <w:rPr>
          <w:rStyle w:val="FootnoteReference"/>
        </w:rPr>
        <w:footnoteRef/>
      </w:r>
      <w:r>
        <w:t xml:space="preserve"> Ibid n6.</w:t>
      </w:r>
    </w:p>
  </w:footnote>
  <w:footnote w:id="12">
    <w:p w14:paraId="59228CE5" w14:textId="1B074E03" w:rsidR="005D2327" w:rsidRDefault="005D2327">
      <w:pPr>
        <w:pStyle w:val="FootnoteText"/>
      </w:pPr>
      <w:r>
        <w:rPr>
          <w:rStyle w:val="FootnoteReference"/>
        </w:rPr>
        <w:footnoteRef/>
      </w:r>
      <w:r>
        <w:t xml:space="preserve"> Notable academic work such as </w:t>
      </w:r>
      <w:r w:rsidRPr="005D2327">
        <w:t>La Porta, R., Lopez-de-Silanes, F., Shleifer, A., &amp; Vishny, R. W.</w:t>
      </w:r>
      <w:r>
        <w:t xml:space="preserve"> (</w:t>
      </w:r>
      <w:r w:rsidR="0036783A">
        <w:t>“</w:t>
      </w:r>
      <w:r>
        <w:t>LLSV</w:t>
      </w:r>
      <w:r w:rsidR="0036783A">
        <w:t>”</w:t>
      </w:r>
      <w:r>
        <w:t>).</w:t>
      </w:r>
    </w:p>
  </w:footnote>
  <w:footnote w:id="13">
    <w:p w14:paraId="52A64AB7" w14:textId="4B69132C" w:rsidR="00F322F6" w:rsidRDefault="00F322F6">
      <w:pPr>
        <w:pStyle w:val="FootnoteText"/>
      </w:pPr>
      <w:r>
        <w:rPr>
          <w:rStyle w:val="FootnoteReference"/>
        </w:rPr>
        <w:footnoteRef/>
      </w:r>
      <w:r>
        <w:t xml:space="preserve"> </w:t>
      </w:r>
      <w:r w:rsidR="00EF16FA" w:rsidRPr="00EF16FA">
        <w:t>Adegbite, E., Nakajima, C., &amp; Amaeshi, K. (2012). Institutional determinants of good corporate governance: The case of Nigeria. Business &amp; Society, 51(4), 474–496.</w:t>
      </w:r>
    </w:p>
  </w:footnote>
  <w:footnote w:id="14">
    <w:p w14:paraId="3033DFD4" w14:textId="0A09FFF5" w:rsidR="00DC74D6" w:rsidRDefault="00DC74D6">
      <w:pPr>
        <w:pStyle w:val="FootnoteText"/>
      </w:pPr>
      <w:r>
        <w:rPr>
          <w:rStyle w:val="FootnoteReference"/>
        </w:rPr>
        <w:footnoteRef/>
      </w:r>
      <w:r>
        <w:t xml:space="preserve"> </w:t>
      </w:r>
      <w:r w:rsidRPr="00DC74D6">
        <w:t>Estrin, S., &amp; Prevezer, M. (2011). The role of informal institutions in corporate governance: Brazil, Russia, India, and China compared. Asia Pacific Journal of Management.</w:t>
      </w:r>
    </w:p>
  </w:footnote>
  <w:footnote w:id="15">
    <w:p w14:paraId="3CC8778C" w14:textId="0D6419B8" w:rsidR="00F341F9" w:rsidRDefault="00F341F9">
      <w:pPr>
        <w:pStyle w:val="FootnoteText"/>
      </w:pPr>
      <w:r>
        <w:rPr>
          <w:rStyle w:val="FootnoteReference"/>
        </w:rPr>
        <w:footnoteRef/>
      </w:r>
      <w:r w:rsidR="008E5374">
        <w:t xml:space="preserve"> </w:t>
      </w:r>
      <w:r w:rsidR="008E5374" w:rsidRPr="008E5374">
        <w:t>La Porta, R., Lopez-de-Silanes, F., Shleifer, A., &amp; Vishny, R. W. (2000). Investor protection and corporate governance. Journal of Financial Economics</w:t>
      </w:r>
      <w:r w:rsidR="008E5374">
        <w:t>.</w:t>
      </w:r>
    </w:p>
  </w:footnote>
  <w:footnote w:id="16">
    <w:p w14:paraId="6985FE4D" w14:textId="499B051C" w:rsidR="00F341F9" w:rsidRDefault="00F341F9">
      <w:pPr>
        <w:pStyle w:val="FootnoteText"/>
      </w:pPr>
      <w:r>
        <w:rPr>
          <w:rStyle w:val="FootnoteReference"/>
        </w:rPr>
        <w:footnoteRef/>
      </w:r>
      <w:r>
        <w:t xml:space="preserve"> </w:t>
      </w:r>
      <w:r w:rsidRPr="00F341F9">
        <w:t>Zattoni, A., Gnan, L., &amp; Huse, M. (2017). Board monitoring and strategy involvement in family-owned firms: The moderating effect of board compensation. Corporate Governance: An International Review.</w:t>
      </w:r>
    </w:p>
  </w:footnote>
  <w:footnote w:id="17">
    <w:p w14:paraId="4EB2451C" w14:textId="1722F6AD" w:rsidR="00F341F9" w:rsidRDefault="00F341F9">
      <w:pPr>
        <w:pStyle w:val="FootnoteText"/>
      </w:pPr>
      <w:r>
        <w:rPr>
          <w:rStyle w:val="FootnoteReference"/>
        </w:rPr>
        <w:footnoteRef/>
      </w:r>
      <w:r>
        <w:t xml:space="preserve"> </w:t>
      </w:r>
      <w:r w:rsidR="001D397B">
        <w:t>Ibid n3.</w:t>
      </w:r>
    </w:p>
  </w:footnote>
  <w:footnote w:id="18">
    <w:p w14:paraId="468C3F14" w14:textId="0A567099" w:rsidR="00205C4E" w:rsidRDefault="00205C4E">
      <w:pPr>
        <w:pStyle w:val="FootnoteText"/>
      </w:pPr>
      <w:r>
        <w:rPr>
          <w:rStyle w:val="FootnoteReference"/>
        </w:rPr>
        <w:footnoteRef/>
      </w:r>
      <w:r>
        <w:t xml:space="preserve"> </w:t>
      </w:r>
      <w:r w:rsidRPr="00205C4E">
        <w:t>There are four agreed pillars (Principles) of corporate governance: accountability; transparency; fairness; and responsibility</w:t>
      </w:r>
      <w:r>
        <w:t>.</w:t>
      </w:r>
    </w:p>
  </w:footnote>
  <w:footnote w:id="19">
    <w:p w14:paraId="147064AE" w14:textId="13A23F06" w:rsidR="0089274D" w:rsidRDefault="0089274D">
      <w:pPr>
        <w:pStyle w:val="FootnoteText"/>
      </w:pPr>
      <w:r>
        <w:rPr>
          <w:rStyle w:val="FootnoteReference"/>
        </w:rPr>
        <w:footnoteRef/>
      </w:r>
      <w:r>
        <w:t xml:space="preserve"> Ibid n2</w:t>
      </w:r>
    </w:p>
  </w:footnote>
  <w:footnote w:id="20">
    <w:p w14:paraId="0A588115" w14:textId="5855E157" w:rsidR="00D853E4" w:rsidRDefault="00D853E4">
      <w:pPr>
        <w:pStyle w:val="FootnoteText"/>
      </w:pPr>
      <w:r>
        <w:rPr>
          <w:rStyle w:val="FootnoteReference"/>
        </w:rPr>
        <w:footnoteRef/>
      </w:r>
      <w:r>
        <w:t xml:space="preserve"> </w:t>
      </w:r>
      <w:bookmarkStart w:id="1" w:name="_Hlk219122010"/>
      <w:r w:rsidRPr="00D853E4">
        <w:t>Chauhan, Y., &amp; Kumar, S. (2018). Voluntary disclosure practices in Indian companies: The effect of ownership structure. Journal of Financial Reporting and Accounting</w:t>
      </w:r>
      <w:r>
        <w:t>.</w:t>
      </w:r>
      <w:bookmarkEnd w:id="1"/>
    </w:p>
  </w:footnote>
  <w:footnote w:id="21">
    <w:p w14:paraId="6F7A9ACE" w14:textId="36B5E95A" w:rsidR="001B316A" w:rsidRDefault="001B316A">
      <w:pPr>
        <w:pStyle w:val="FootnoteText"/>
      </w:pPr>
      <w:r>
        <w:rPr>
          <w:rStyle w:val="FootnoteReference"/>
        </w:rPr>
        <w:footnoteRef/>
      </w:r>
      <w:r>
        <w:t xml:space="preserve"> Ibid</w:t>
      </w:r>
      <w:r w:rsidR="006E22ED">
        <w:t xml:space="preserve"> n2</w:t>
      </w:r>
    </w:p>
  </w:footnote>
  <w:footnote w:id="22">
    <w:p w14:paraId="5A09A8C6" w14:textId="4078A096" w:rsidR="006E22ED" w:rsidRDefault="006E22ED">
      <w:pPr>
        <w:pStyle w:val="FootnoteText"/>
      </w:pPr>
      <w:r>
        <w:rPr>
          <w:rStyle w:val="FootnoteReference"/>
        </w:rPr>
        <w:footnoteRef/>
      </w:r>
      <w:r>
        <w:t xml:space="preserve"> </w:t>
      </w:r>
      <w:bookmarkStart w:id="2" w:name="_Hlk219122660"/>
      <w:r w:rsidR="002C398B" w:rsidRPr="002C398B">
        <w:t>Ntim, C. G., Lindop, S., &amp; Thomas, D. A. (2013). Corporate governance and transparency: Evidence from Africa. International Review of Financial Analysis</w:t>
      </w:r>
      <w:r w:rsidR="002C398B">
        <w:t>.</w:t>
      </w:r>
    </w:p>
  </w:footnote>
  <w:footnote w:id="23">
    <w:p w14:paraId="72E40CFF" w14:textId="5B40A4B9" w:rsidR="002C398B" w:rsidRDefault="002C398B">
      <w:pPr>
        <w:pStyle w:val="FootnoteText"/>
      </w:pPr>
      <w:r>
        <w:rPr>
          <w:rStyle w:val="FootnoteReference"/>
        </w:rPr>
        <w:footnoteRef/>
      </w:r>
      <w:r>
        <w:t xml:space="preserve"> </w:t>
      </w:r>
      <w:r w:rsidRPr="002C398B">
        <w:t>Ntim, C. G., Opong, K. K., Danbolt, J., &amp; Thomas, D. A. (2017). Voluntary disclosure and corporate governance in Latin America. Research in International Business and Finance</w:t>
      </w:r>
      <w:r>
        <w:t>.</w:t>
      </w:r>
    </w:p>
  </w:footnote>
  <w:footnote w:id="24">
    <w:p w14:paraId="063FAFB1" w14:textId="34B2ABF2" w:rsidR="00941791" w:rsidRDefault="00941791">
      <w:pPr>
        <w:pStyle w:val="FootnoteText"/>
      </w:pPr>
      <w:r>
        <w:rPr>
          <w:rStyle w:val="FootnoteReference"/>
        </w:rPr>
        <w:footnoteRef/>
      </w:r>
      <w:r>
        <w:t xml:space="preserve"> </w:t>
      </w:r>
      <w:r w:rsidR="00D22E97">
        <w:t>Ibid n11.</w:t>
      </w:r>
    </w:p>
  </w:footnote>
  <w:footnote w:id="25">
    <w:p w14:paraId="4A812B7F" w14:textId="0A0733A8" w:rsidR="00941791" w:rsidRDefault="00941791">
      <w:pPr>
        <w:pStyle w:val="FootnoteText"/>
      </w:pPr>
      <w:r>
        <w:rPr>
          <w:rStyle w:val="FootnoteReference"/>
        </w:rPr>
        <w:footnoteRef/>
      </w:r>
      <w:r>
        <w:t xml:space="preserve"> </w:t>
      </w:r>
      <w:r w:rsidR="00D22E97" w:rsidRPr="00D22E97">
        <w:t>Hassan, O. A. G., &amp; Marston, C. (2019). Disclosure measurement in the corporate annual reports of emerging economies. Journal of Accounting in Emerging Economies.</w:t>
      </w:r>
    </w:p>
  </w:footnote>
  <w:footnote w:id="26">
    <w:p w14:paraId="7CC44448" w14:textId="3ED5FF0F" w:rsidR="00D22E97" w:rsidRDefault="00D22E97">
      <w:pPr>
        <w:pStyle w:val="FootnoteText"/>
      </w:pPr>
      <w:r>
        <w:rPr>
          <w:rStyle w:val="FootnoteReference"/>
        </w:rPr>
        <w:footnoteRef/>
      </w:r>
      <w:r>
        <w:t xml:space="preserve"> </w:t>
      </w:r>
      <w:r w:rsidRPr="00D22E97">
        <w:t>Li, W., Song, G., &amp; Wong, T. J. (2017). Corporate disclosure and information asymmetry in China. China Journal of Accounting Research</w:t>
      </w:r>
      <w:r>
        <w:t>.</w:t>
      </w:r>
    </w:p>
  </w:footnote>
  <w:footnote w:id="27">
    <w:p w14:paraId="2E47A299" w14:textId="7269D9AB" w:rsidR="00D22E97" w:rsidRDefault="00D22E97">
      <w:pPr>
        <w:pStyle w:val="FootnoteText"/>
      </w:pPr>
      <w:r>
        <w:rPr>
          <w:rStyle w:val="FootnoteReference"/>
        </w:rPr>
        <w:footnoteRef/>
      </w:r>
      <w:r>
        <w:t xml:space="preserve"> </w:t>
      </w:r>
      <w:r w:rsidR="00A67BEB" w:rsidRPr="00A67BEB">
        <w:t>Barako, D. G., &amp; Brown, A. M. (2018). Corporate governance and voluntary disclosure in emerging markets. Corporate Governance: The International Journal of Business in Society.</w:t>
      </w:r>
    </w:p>
  </w:footnote>
  <w:footnote w:id="28">
    <w:p w14:paraId="46329749" w14:textId="67A80A60" w:rsidR="003A5934" w:rsidRDefault="003A5934">
      <w:pPr>
        <w:pStyle w:val="FootnoteText"/>
      </w:pPr>
      <w:r>
        <w:rPr>
          <w:rStyle w:val="FootnoteReference"/>
        </w:rPr>
        <w:footnoteRef/>
      </w:r>
      <w:r>
        <w:t xml:space="preserve"> Ibid n2.</w:t>
      </w:r>
    </w:p>
  </w:footnote>
  <w:footnote w:id="29">
    <w:p w14:paraId="18CDB861" w14:textId="56393211" w:rsidR="00AD79ED" w:rsidRDefault="00AD79ED">
      <w:pPr>
        <w:pStyle w:val="FootnoteText"/>
      </w:pPr>
      <w:r>
        <w:rPr>
          <w:rStyle w:val="FootnoteReference"/>
        </w:rPr>
        <w:footnoteRef/>
      </w:r>
      <w:r>
        <w:t xml:space="preserve"> Ibid.</w:t>
      </w:r>
    </w:p>
  </w:footnote>
  <w:footnote w:id="30">
    <w:p w14:paraId="5481363B" w14:textId="015F75EC" w:rsidR="00031128" w:rsidRDefault="00031128">
      <w:pPr>
        <w:pStyle w:val="FootnoteText"/>
      </w:pPr>
      <w:r>
        <w:rPr>
          <w:rStyle w:val="FootnoteReference"/>
        </w:rPr>
        <w:footnoteRef/>
      </w:r>
      <w:r>
        <w:t xml:space="preserve"> </w:t>
      </w:r>
      <w:r w:rsidRPr="00031128">
        <w:t>Faccio, M. (2006). Politically Connected Firms. American Economic Review</w:t>
      </w:r>
      <w:r>
        <w:t>.</w:t>
      </w:r>
    </w:p>
  </w:footnote>
  <w:footnote w:id="31">
    <w:p w14:paraId="70221836" w14:textId="6707B0A6" w:rsidR="007D2596" w:rsidRDefault="00FF7A40">
      <w:pPr>
        <w:pStyle w:val="FootnoteText"/>
      </w:pPr>
      <w:r>
        <w:rPr>
          <w:rStyle w:val="FootnoteReference"/>
        </w:rPr>
        <w:footnoteRef/>
      </w:r>
      <w:r>
        <w:t xml:space="preserve"> </w:t>
      </w:r>
      <w:r w:rsidR="007D2596" w:rsidRPr="007D2596">
        <w:t>Puni, A., Osei, B. A., &amp; Ofei, S. B. (2017). The impact of board involvement in policy making on corporate governance in state-owned enterprises. Corporate Governance: The International Journal of Business in Society</w:t>
      </w:r>
      <w:r w:rsidR="007D2596">
        <w:t>.</w:t>
      </w:r>
    </w:p>
  </w:footnote>
  <w:footnote w:id="32">
    <w:p w14:paraId="60289C40" w14:textId="4572B241" w:rsidR="00FF7A40" w:rsidRDefault="00FF7A40">
      <w:pPr>
        <w:pStyle w:val="FootnoteText"/>
      </w:pPr>
      <w:r>
        <w:rPr>
          <w:rStyle w:val="FootnoteReference"/>
        </w:rPr>
        <w:footnoteRef/>
      </w:r>
      <w:r>
        <w:t xml:space="preserve"> </w:t>
      </w:r>
      <w:r w:rsidR="007D2596" w:rsidRPr="007D2596">
        <w:t>Celikyurt, U., &amp; Sevilir, M. (2018). How do political connections affect firm performance? Evidence from emerging markets. Emerging Markets Review</w:t>
      </w:r>
      <w:r w:rsidR="007D2596">
        <w:t>.</w:t>
      </w:r>
    </w:p>
  </w:footnote>
  <w:footnote w:id="33">
    <w:p w14:paraId="5746AEF6" w14:textId="76453FF0" w:rsidR="001E42CA" w:rsidRDefault="001E42CA">
      <w:pPr>
        <w:pStyle w:val="FootnoteText"/>
      </w:pPr>
      <w:r>
        <w:rPr>
          <w:rStyle w:val="FootnoteReference"/>
        </w:rPr>
        <w:footnoteRef/>
      </w:r>
      <w:r>
        <w:t xml:space="preserve"> </w:t>
      </w:r>
      <w:r w:rsidRPr="001E42CA">
        <w:t>Musacchio, A., &amp; Lazzarini, S. G. (2014). Reinventing state capitalism: Leviathan in business, Brazil and beyond. Brookings Institution Press</w:t>
      </w:r>
    </w:p>
  </w:footnote>
  <w:footnote w:id="34">
    <w:p w14:paraId="23ECB574" w14:textId="3030803A" w:rsidR="001E42CA" w:rsidRDefault="001E42CA">
      <w:pPr>
        <w:pStyle w:val="FootnoteText"/>
      </w:pPr>
      <w:r>
        <w:rPr>
          <w:rStyle w:val="FootnoteReference"/>
        </w:rPr>
        <w:footnoteRef/>
      </w:r>
      <w:r>
        <w:t xml:space="preserve"> </w:t>
      </w:r>
      <w:r w:rsidR="00490640" w:rsidRPr="00490640">
        <w:t>Li, H., Meng, L., Wang, Q., &amp; Zhou, L.-A. (2019). Political Connections, Financing and Firm Performance: Evidence from China. World Development</w:t>
      </w:r>
      <w:r w:rsidR="00490640">
        <w:t>.</w:t>
      </w:r>
    </w:p>
  </w:footnote>
  <w:footnote w:id="35">
    <w:p w14:paraId="79967051" w14:textId="12C76C30" w:rsidR="007D061B" w:rsidRDefault="007D061B">
      <w:pPr>
        <w:pStyle w:val="FootnoteText"/>
      </w:pPr>
      <w:r>
        <w:rPr>
          <w:rStyle w:val="FootnoteReference"/>
        </w:rPr>
        <w:footnoteRef/>
      </w:r>
      <w:r>
        <w:t xml:space="preserve"> </w:t>
      </w:r>
      <w:r w:rsidRPr="007D061B">
        <w:t>Bertrand, M., Kramarz, F., Schoar, A., &amp; Thesmar, D. (2021). The Cost of Political Connections. Review of Finance</w:t>
      </w:r>
      <w:r>
        <w:t>.</w:t>
      </w:r>
    </w:p>
  </w:footnote>
  <w:footnote w:id="36">
    <w:p w14:paraId="79C42E34" w14:textId="0DB99652" w:rsidR="00490640" w:rsidRDefault="00490640">
      <w:pPr>
        <w:pStyle w:val="FootnoteText"/>
      </w:pPr>
      <w:r>
        <w:rPr>
          <w:rStyle w:val="FootnoteReference"/>
        </w:rPr>
        <w:footnoteRef/>
      </w:r>
      <w:r>
        <w:t xml:space="preserve"> </w:t>
      </w:r>
      <w:r w:rsidRPr="00490640">
        <w:t>Boubakri, N., Cosset, J.-C., &amp; Saffar, W. (2012). Political Connections of Newly Privatised Firms. Journal of Corporate Finance</w:t>
      </w:r>
      <w:r>
        <w:t>.</w:t>
      </w:r>
    </w:p>
  </w:footnote>
  <w:footnote w:id="37">
    <w:p w14:paraId="34737361" w14:textId="16CFE163" w:rsidR="00C22583" w:rsidRDefault="00C22583">
      <w:pPr>
        <w:pStyle w:val="FootnoteText"/>
      </w:pPr>
      <w:r>
        <w:rPr>
          <w:rStyle w:val="FootnoteReference"/>
        </w:rPr>
        <w:footnoteRef/>
      </w:r>
      <w:r>
        <w:t xml:space="preserve"> </w:t>
      </w:r>
      <w:r w:rsidR="0093766A" w:rsidRPr="003F6408">
        <w:t>Djankov, S., La Porta, R., Lopez-de-Silanes, F., &amp; Shleifer, A. (2008). The law and economics of self-dealing. Journal of Financial Economics.</w:t>
      </w:r>
    </w:p>
  </w:footnote>
  <w:footnote w:id="38">
    <w:p w14:paraId="5083B1E8" w14:textId="0EE28D56" w:rsidR="00B94314" w:rsidRDefault="00B94314">
      <w:pPr>
        <w:pStyle w:val="FootnoteText"/>
      </w:pPr>
      <w:r>
        <w:rPr>
          <w:rStyle w:val="FootnoteReference"/>
        </w:rPr>
        <w:footnoteRef/>
      </w:r>
      <w:r>
        <w:t xml:space="preserve"> Ibid n26.</w:t>
      </w:r>
    </w:p>
  </w:footnote>
  <w:footnote w:id="39">
    <w:p w14:paraId="2FCF0209" w14:textId="0BB8F9C2" w:rsidR="00C22583" w:rsidRDefault="00C22583">
      <w:pPr>
        <w:pStyle w:val="FootnoteText"/>
      </w:pPr>
      <w:r>
        <w:rPr>
          <w:rStyle w:val="FootnoteReference"/>
        </w:rPr>
        <w:footnoteRef/>
      </w:r>
      <w:r>
        <w:t xml:space="preserve"> </w:t>
      </w:r>
      <w:r w:rsidR="0093766A">
        <w:t>Ibid n28</w:t>
      </w:r>
      <w:r w:rsidR="00626CB1">
        <w:t>.</w:t>
      </w:r>
    </w:p>
  </w:footnote>
  <w:footnote w:id="40">
    <w:p w14:paraId="68A9F878" w14:textId="1A320365" w:rsidR="00C22583" w:rsidRDefault="00C22583">
      <w:pPr>
        <w:pStyle w:val="FootnoteText"/>
      </w:pPr>
      <w:r>
        <w:rPr>
          <w:rStyle w:val="FootnoteReference"/>
        </w:rPr>
        <w:footnoteRef/>
      </w:r>
      <w:r>
        <w:t xml:space="preserve"> </w:t>
      </w:r>
      <w:r w:rsidR="00626CB1">
        <w:t>Ibid n2.</w:t>
      </w:r>
    </w:p>
  </w:footnote>
  <w:footnote w:id="41">
    <w:p w14:paraId="268AE083" w14:textId="3B210E56" w:rsidR="00125548" w:rsidRDefault="00125548">
      <w:pPr>
        <w:pStyle w:val="FootnoteText"/>
      </w:pPr>
      <w:r>
        <w:rPr>
          <w:rStyle w:val="FootnoteReference"/>
        </w:rPr>
        <w:footnoteRef/>
      </w:r>
      <w:r>
        <w:t xml:space="preserve"> OECD Principles of Corporate Governance</w:t>
      </w:r>
    </w:p>
  </w:footnote>
  <w:footnote w:id="42">
    <w:p w14:paraId="0527C6A0" w14:textId="5C3E0EC1" w:rsidR="00A877ED" w:rsidRDefault="00A877ED">
      <w:pPr>
        <w:pStyle w:val="FootnoteText"/>
      </w:pPr>
      <w:r>
        <w:rPr>
          <w:rStyle w:val="FootnoteReference"/>
        </w:rPr>
        <w:footnoteRef/>
      </w:r>
      <w:r>
        <w:t xml:space="preserve"> </w:t>
      </w:r>
      <w:r w:rsidRPr="00A877ED">
        <w:t>Okeahalam, C. C. (2004). Corporate governance dynamics and some evidence of institutional impediments to the OECD principles in sub-Saharan Africa. South African Journal of Economics.</w:t>
      </w:r>
    </w:p>
  </w:footnote>
  <w:footnote w:id="43">
    <w:p w14:paraId="4FF3862D" w14:textId="026B9132" w:rsidR="00813725" w:rsidRDefault="00813725">
      <w:pPr>
        <w:pStyle w:val="FootnoteText"/>
      </w:pPr>
      <w:r>
        <w:rPr>
          <w:rStyle w:val="FootnoteReference"/>
        </w:rPr>
        <w:footnoteRef/>
      </w:r>
      <w:r>
        <w:t xml:space="preserve"> Ibid</w:t>
      </w:r>
    </w:p>
  </w:footnote>
  <w:footnote w:id="44">
    <w:p w14:paraId="4F8BB1D2" w14:textId="47757576" w:rsidR="000A4E0B" w:rsidRDefault="000A4E0B">
      <w:pPr>
        <w:pStyle w:val="FootnoteText"/>
      </w:pPr>
      <w:r>
        <w:rPr>
          <w:rStyle w:val="FootnoteReference"/>
        </w:rPr>
        <w:footnoteRef/>
      </w:r>
      <w:r>
        <w:t xml:space="preserve"> </w:t>
      </w:r>
      <w:r w:rsidR="003F6408">
        <w:t>Ibid n30.</w:t>
      </w:r>
    </w:p>
  </w:footnote>
  <w:footnote w:id="45">
    <w:p w14:paraId="4F241540" w14:textId="32BFCE73" w:rsidR="0093766A" w:rsidRDefault="0093766A">
      <w:pPr>
        <w:pStyle w:val="FootnoteText"/>
      </w:pPr>
      <w:r>
        <w:rPr>
          <w:rStyle w:val="FootnoteReference"/>
        </w:rPr>
        <w:footnoteRef/>
      </w:r>
      <w:r>
        <w:t xml:space="preserve"> </w:t>
      </w:r>
      <w:r w:rsidRPr="0093766A">
        <w:t>D'Souza, J., Nash, R., &amp; Megginson, W. (2017). Corporate Governance and Firm Performance: Evidence from Privatization. Journal of Financial Economics</w:t>
      </w:r>
      <w:r>
        <w:t>.</w:t>
      </w:r>
    </w:p>
  </w:footnote>
  <w:footnote w:id="46">
    <w:p w14:paraId="4C6DC7B8" w14:textId="34FD22CF" w:rsidR="00782515" w:rsidRDefault="00782515">
      <w:pPr>
        <w:pStyle w:val="FootnoteText"/>
      </w:pPr>
      <w:r>
        <w:rPr>
          <w:rStyle w:val="FootnoteReference"/>
        </w:rPr>
        <w:footnoteRef/>
      </w:r>
      <w:r>
        <w:t xml:space="preserve"> </w:t>
      </w:r>
      <w:r w:rsidR="000117F7" w:rsidRPr="000117F7">
        <w:t>Boubakri, N., Cosset, J.-C., &amp; Saffar, W. (2012). Political Connections of Newly Privatised Firms. Journal of Corporate Finance</w:t>
      </w:r>
      <w:r w:rsidR="000117F7">
        <w:t>.</w:t>
      </w:r>
    </w:p>
  </w:footnote>
  <w:footnote w:id="47">
    <w:p w14:paraId="20880FF2" w14:textId="0BCA27F8" w:rsidR="00782515" w:rsidRDefault="00782515">
      <w:pPr>
        <w:pStyle w:val="FootnoteText"/>
      </w:pPr>
      <w:r>
        <w:rPr>
          <w:rStyle w:val="FootnoteReference"/>
        </w:rPr>
        <w:footnoteRef/>
      </w:r>
      <w:r>
        <w:t xml:space="preserve"> </w:t>
      </w:r>
      <w:r w:rsidR="000117F7">
        <w:t>Ibid n24.</w:t>
      </w:r>
    </w:p>
  </w:footnote>
  <w:footnote w:id="48">
    <w:p w14:paraId="7DFA5BBB" w14:textId="1BB43B7A" w:rsidR="00416B22" w:rsidRDefault="00416B22">
      <w:pPr>
        <w:pStyle w:val="FootnoteText"/>
      </w:pPr>
      <w:r>
        <w:rPr>
          <w:rStyle w:val="FootnoteReference"/>
        </w:rPr>
        <w:footnoteRef/>
      </w:r>
      <w:r>
        <w:t xml:space="preserve"> </w:t>
      </w:r>
      <w:r w:rsidR="00EC242F" w:rsidRPr="00416B22">
        <w:t>Pistor, K., Raiser, M., &amp; Gelfer, S. (2000). Law and finance in transition economies. Economics of Transition.</w:t>
      </w:r>
    </w:p>
  </w:footnote>
  <w:footnote w:id="49">
    <w:p w14:paraId="3C7E6507" w14:textId="18EAF92D" w:rsidR="00416B22" w:rsidRDefault="00416B22">
      <w:pPr>
        <w:pStyle w:val="FootnoteText"/>
      </w:pPr>
      <w:r>
        <w:rPr>
          <w:rStyle w:val="FootnoteReference"/>
        </w:rPr>
        <w:footnoteRef/>
      </w:r>
      <w:r>
        <w:t xml:space="preserve"> </w:t>
      </w:r>
      <w:r w:rsidR="00EC242F">
        <w:t>Ibid</w:t>
      </w:r>
    </w:p>
  </w:footnote>
  <w:footnote w:id="50">
    <w:p w14:paraId="51BF0D86" w14:textId="6245B575" w:rsidR="002328EC" w:rsidRDefault="002328EC">
      <w:pPr>
        <w:pStyle w:val="FootnoteText"/>
      </w:pPr>
      <w:r>
        <w:rPr>
          <w:rStyle w:val="FootnoteReference"/>
        </w:rPr>
        <w:footnoteRef/>
      </w:r>
      <w:r>
        <w:t xml:space="preserve"> Ibid n36.</w:t>
      </w:r>
    </w:p>
  </w:footnote>
  <w:footnote w:id="51">
    <w:p w14:paraId="7CD30950" w14:textId="2F2C2338" w:rsidR="00C31935" w:rsidRDefault="00C31935">
      <w:pPr>
        <w:pStyle w:val="FootnoteText"/>
      </w:pPr>
      <w:r>
        <w:rPr>
          <w:rStyle w:val="FootnoteReference"/>
        </w:rPr>
        <w:footnoteRef/>
      </w:r>
      <w:r>
        <w:t xml:space="preserve"> </w:t>
      </w:r>
      <w:r w:rsidR="00793674" w:rsidRPr="00793674">
        <w:t>Ahmed, M., Khan, S., &amp; Rahman, A. (2017). “Corporate Governance and Market Development in South Asia.” Journal of Emerging Market Studies</w:t>
      </w:r>
      <w:r w:rsidR="00793674">
        <w:t>.</w:t>
      </w:r>
    </w:p>
  </w:footnote>
  <w:footnote w:id="52">
    <w:p w14:paraId="09434B94" w14:textId="2626FAF0" w:rsidR="004D3166" w:rsidRDefault="004D3166">
      <w:pPr>
        <w:pStyle w:val="FootnoteText"/>
      </w:pPr>
      <w:r>
        <w:rPr>
          <w:rStyle w:val="FootnoteReference"/>
        </w:rPr>
        <w:footnoteRef/>
      </w:r>
      <w:r>
        <w:t xml:space="preserve"> </w:t>
      </w:r>
      <w:r w:rsidRPr="004D3166">
        <w:t>Kim, J., &amp; Park, S. (2015). “Regulatory Reforms and Financial Market Deepening in East Asia.” Asian Economic Policy Review</w:t>
      </w:r>
      <w:r>
        <w:t>.</w:t>
      </w:r>
    </w:p>
  </w:footnote>
  <w:footnote w:id="53">
    <w:p w14:paraId="76A1999A" w14:textId="14B5E521" w:rsidR="00CE3B3D" w:rsidRDefault="00CE3B3D">
      <w:pPr>
        <w:pStyle w:val="FootnoteText"/>
      </w:pPr>
      <w:r>
        <w:rPr>
          <w:rStyle w:val="FootnoteReference"/>
        </w:rPr>
        <w:footnoteRef/>
      </w:r>
      <w:r>
        <w:t xml:space="preserve"> Ibid n42.</w:t>
      </w:r>
    </w:p>
  </w:footnote>
  <w:footnote w:id="54">
    <w:p w14:paraId="16ED099A" w14:textId="428A3F88" w:rsidR="008E7BC0" w:rsidRDefault="008E7BC0">
      <w:pPr>
        <w:pStyle w:val="FootnoteText"/>
      </w:pPr>
      <w:r>
        <w:rPr>
          <w:rStyle w:val="FootnoteReference"/>
        </w:rPr>
        <w:footnoteRef/>
      </w:r>
      <w:r>
        <w:t xml:space="preserve"> </w:t>
      </w:r>
      <w:r w:rsidR="00243EAC" w:rsidRPr="00243EAC">
        <w:t>Allen, F., Qian, J., &amp; Qian, M. (2012). Law, finance, and economic growth in China. Journal of Financial Economics</w:t>
      </w:r>
      <w:r w:rsidR="00243EAC">
        <w:t>.</w:t>
      </w:r>
    </w:p>
  </w:footnote>
  <w:footnote w:id="55">
    <w:p w14:paraId="71A25E99" w14:textId="663D6A6F" w:rsidR="00CC58E4" w:rsidRDefault="00CC58E4">
      <w:pPr>
        <w:pStyle w:val="FootnoteText"/>
      </w:pPr>
      <w:r>
        <w:rPr>
          <w:rStyle w:val="FootnoteReference"/>
        </w:rPr>
        <w:footnoteRef/>
      </w:r>
      <w:r>
        <w:t xml:space="preserve"> </w:t>
      </w:r>
      <w:r w:rsidRPr="00CC58E4">
        <w:t>Hofstede, G. (2001). Culture’s Consequences: Comparing Values, Behaviours, Institutions and Organizations Across Nations. Sage</w:t>
      </w:r>
    </w:p>
  </w:footnote>
  <w:footnote w:id="56">
    <w:p w14:paraId="6CE20D39" w14:textId="49BA321E" w:rsidR="00131A2D" w:rsidRDefault="00131A2D">
      <w:pPr>
        <w:pStyle w:val="FootnoteText"/>
      </w:pPr>
      <w:r>
        <w:rPr>
          <w:rStyle w:val="FootnoteReference"/>
        </w:rPr>
        <w:footnoteRef/>
      </w:r>
      <w:r>
        <w:t xml:space="preserve"> </w:t>
      </w:r>
      <w:r w:rsidRPr="00131A2D">
        <w:t>Muhammad Asifand Muhammad Akhlaq</w:t>
      </w:r>
      <w:r>
        <w:t xml:space="preserve"> </w:t>
      </w:r>
      <w:r w:rsidRPr="00131A2D">
        <w:t>(2024).</w:t>
      </w:r>
      <w:r>
        <w:t xml:space="preserve"> </w:t>
      </w:r>
      <w:r w:rsidRPr="00131A2D">
        <w:t>Sharia     Compliance     in     Modern     Business     Practices. Tanazur.</w:t>
      </w:r>
    </w:p>
  </w:footnote>
  <w:footnote w:id="57">
    <w:p w14:paraId="762B31FF" w14:textId="6D6B24BC" w:rsidR="00AB2BD3" w:rsidRDefault="00AB2BD3" w:rsidP="00AB2BD3">
      <w:pPr>
        <w:pStyle w:val="FootnoteText"/>
      </w:pPr>
      <w:r>
        <w:rPr>
          <w:rStyle w:val="FootnoteReference"/>
        </w:rPr>
        <w:footnoteRef/>
      </w:r>
      <w:r>
        <w:t xml:space="preserve"> </w:t>
      </w:r>
      <w:r w:rsidR="00B068A7">
        <w:t>Keefer</w:t>
      </w:r>
      <w:r w:rsidR="00B068A7">
        <w:t xml:space="preserve">, P &amp; </w:t>
      </w:r>
      <w:r w:rsidR="00B068A7">
        <w:t>Scartascini</w:t>
      </w:r>
      <w:r w:rsidR="00B068A7">
        <w:t xml:space="preserve">, C </w:t>
      </w:r>
      <w:r>
        <w:t>(2022). Trust : the key to social cohesion and growth in Latin America and the Caribbean. Inter-American Development Bank. https://publications.iadb.org/publications/english/document/Trust-The-Key-to-Social-Cohesion</w:t>
      </w:r>
      <w:r>
        <w:t>and-Growth-in-Latin-America-and-the-Caribbean.pdf. doi:10.18235/0003792</w:t>
      </w:r>
      <w:r w:rsidR="008E5374">
        <w:t xml:space="preserve"> </w:t>
      </w:r>
    </w:p>
  </w:footnote>
  <w:footnote w:id="58">
    <w:p w14:paraId="1F95D896" w14:textId="4C575595" w:rsidR="00545AFA" w:rsidRDefault="00545AFA">
      <w:pPr>
        <w:pStyle w:val="FootnoteText"/>
      </w:pPr>
      <w:r>
        <w:rPr>
          <w:rStyle w:val="FootnoteReference"/>
        </w:rPr>
        <w:footnoteRef/>
      </w:r>
      <w:r>
        <w:t xml:space="preserve"> Ibid</w:t>
      </w:r>
    </w:p>
  </w:footnote>
  <w:footnote w:id="59">
    <w:p w14:paraId="097BB3FA" w14:textId="7FBE5C45" w:rsidR="00BB1A91" w:rsidRDefault="00BB1A91">
      <w:pPr>
        <w:pStyle w:val="FootnoteText"/>
      </w:pPr>
      <w:r>
        <w:rPr>
          <w:rStyle w:val="FootnoteReference"/>
        </w:rPr>
        <w:footnoteRef/>
      </w:r>
      <w:r>
        <w:t xml:space="preserve"> 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62ACD1" w14:textId="58FD25CB" w:rsidR="00055DFD" w:rsidRDefault="00055DFD">
    <w:pPr>
      <w:pStyle w:val="Header"/>
    </w:pPr>
    <w:r>
      <w:t>Module: BMDP7000</w:t>
    </w:r>
  </w:p>
  <w:p w14:paraId="5B1888C0" w14:textId="525C2776" w:rsidR="00331FF7" w:rsidRDefault="00331FF7">
    <w:pPr>
      <w:pStyle w:val="Header"/>
    </w:pPr>
    <w:r>
      <w:t>Student Number: 2507831</w:t>
    </w:r>
  </w:p>
  <w:p w14:paraId="3B553308" w14:textId="77777777" w:rsidR="00331FF7" w:rsidRDefault="00331F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33467"/>
    <w:multiLevelType w:val="hybridMultilevel"/>
    <w:tmpl w:val="02C0E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07336F"/>
    <w:multiLevelType w:val="hybridMultilevel"/>
    <w:tmpl w:val="9D74D724"/>
    <w:lvl w:ilvl="0" w:tplc="9780AB7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D85EE2"/>
    <w:multiLevelType w:val="hybridMultilevel"/>
    <w:tmpl w:val="3594D8D4"/>
    <w:lvl w:ilvl="0" w:tplc="CF92B08A">
      <w:start w:val="1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E505BB7"/>
    <w:multiLevelType w:val="hybridMultilevel"/>
    <w:tmpl w:val="37CA8EB8"/>
    <w:lvl w:ilvl="0" w:tplc="2DBAA6C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490062">
    <w:abstractNumId w:val="0"/>
  </w:num>
  <w:num w:numId="2" w16cid:durableId="1524780979">
    <w:abstractNumId w:val="1"/>
  </w:num>
  <w:num w:numId="3" w16cid:durableId="277490600">
    <w:abstractNumId w:val="3"/>
  </w:num>
  <w:num w:numId="4" w16cid:durableId="15745847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9F2"/>
    <w:rsid w:val="000117F7"/>
    <w:rsid w:val="0002130D"/>
    <w:rsid w:val="00025E6D"/>
    <w:rsid w:val="00031128"/>
    <w:rsid w:val="00035ACE"/>
    <w:rsid w:val="00037895"/>
    <w:rsid w:val="000412B1"/>
    <w:rsid w:val="00055DFD"/>
    <w:rsid w:val="00072D2C"/>
    <w:rsid w:val="000A4E0B"/>
    <w:rsid w:val="00125548"/>
    <w:rsid w:val="00131A2D"/>
    <w:rsid w:val="001335A7"/>
    <w:rsid w:val="001579F9"/>
    <w:rsid w:val="00173DCC"/>
    <w:rsid w:val="001A2C37"/>
    <w:rsid w:val="001B316A"/>
    <w:rsid w:val="001D397B"/>
    <w:rsid w:val="001E42CA"/>
    <w:rsid w:val="00205C4E"/>
    <w:rsid w:val="00216A28"/>
    <w:rsid w:val="00224D35"/>
    <w:rsid w:val="002328EC"/>
    <w:rsid w:val="002336FE"/>
    <w:rsid w:val="00243EAC"/>
    <w:rsid w:val="00276612"/>
    <w:rsid w:val="00287B25"/>
    <w:rsid w:val="002A5D80"/>
    <w:rsid w:val="002C398B"/>
    <w:rsid w:val="00331FF7"/>
    <w:rsid w:val="00347615"/>
    <w:rsid w:val="0036783A"/>
    <w:rsid w:val="003A5934"/>
    <w:rsid w:val="003C3EFB"/>
    <w:rsid w:val="003F6408"/>
    <w:rsid w:val="00416B22"/>
    <w:rsid w:val="00423DA2"/>
    <w:rsid w:val="00430CE3"/>
    <w:rsid w:val="004571EA"/>
    <w:rsid w:val="00471A4C"/>
    <w:rsid w:val="00482821"/>
    <w:rsid w:val="00490640"/>
    <w:rsid w:val="004D3166"/>
    <w:rsid w:val="004D5DC6"/>
    <w:rsid w:val="00531671"/>
    <w:rsid w:val="005347A9"/>
    <w:rsid w:val="005417BF"/>
    <w:rsid w:val="00544FFF"/>
    <w:rsid w:val="00545AFA"/>
    <w:rsid w:val="005B189F"/>
    <w:rsid w:val="005C57CE"/>
    <w:rsid w:val="005D2327"/>
    <w:rsid w:val="005E29B3"/>
    <w:rsid w:val="00603BD4"/>
    <w:rsid w:val="00626CB1"/>
    <w:rsid w:val="006774E6"/>
    <w:rsid w:val="006C29CD"/>
    <w:rsid w:val="006E22ED"/>
    <w:rsid w:val="0070115F"/>
    <w:rsid w:val="007050B2"/>
    <w:rsid w:val="007059F2"/>
    <w:rsid w:val="00757F2D"/>
    <w:rsid w:val="0076763C"/>
    <w:rsid w:val="00782515"/>
    <w:rsid w:val="00793674"/>
    <w:rsid w:val="007B6EB7"/>
    <w:rsid w:val="007C6D9C"/>
    <w:rsid w:val="007D061B"/>
    <w:rsid w:val="007D2596"/>
    <w:rsid w:val="00813725"/>
    <w:rsid w:val="008379E4"/>
    <w:rsid w:val="008565F5"/>
    <w:rsid w:val="008572F1"/>
    <w:rsid w:val="00892530"/>
    <w:rsid w:val="0089274D"/>
    <w:rsid w:val="008E5374"/>
    <w:rsid w:val="008E7BC0"/>
    <w:rsid w:val="0093766A"/>
    <w:rsid w:val="00941791"/>
    <w:rsid w:val="009540F1"/>
    <w:rsid w:val="00997E8F"/>
    <w:rsid w:val="009B756E"/>
    <w:rsid w:val="009C782E"/>
    <w:rsid w:val="009E0E40"/>
    <w:rsid w:val="00A326EC"/>
    <w:rsid w:val="00A51AFD"/>
    <w:rsid w:val="00A67BEB"/>
    <w:rsid w:val="00A80F29"/>
    <w:rsid w:val="00A877ED"/>
    <w:rsid w:val="00A92225"/>
    <w:rsid w:val="00A97896"/>
    <w:rsid w:val="00AB2BD3"/>
    <w:rsid w:val="00AB7D04"/>
    <w:rsid w:val="00AC50ED"/>
    <w:rsid w:val="00AD79ED"/>
    <w:rsid w:val="00B068A7"/>
    <w:rsid w:val="00B6654B"/>
    <w:rsid w:val="00B75672"/>
    <w:rsid w:val="00B94314"/>
    <w:rsid w:val="00BB1A91"/>
    <w:rsid w:val="00BB3EC6"/>
    <w:rsid w:val="00C22583"/>
    <w:rsid w:val="00C31935"/>
    <w:rsid w:val="00C618FF"/>
    <w:rsid w:val="00C830A5"/>
    <w:rsid w:val="00C92BC2"/>
    <w:rsid w:val="00CA72C9"/>
    <w:rsid w:val="00CC58E4"/>
    <w:rsid w:val="00CE3B3D"/>
    <w:rsid w:val="00D22E97"/>
    <w:rsid w:val="00D80510"/>
    <w:rsid w:val="00D853E4"/>
    <w:rsid w:val="00DC74D6"/>
    <w:rsid w:val="00E11E7C"/>
    <w:rsid w:val="00E505C5"/>
    <w:rsid w:val="00EA27D2"/>
    <w:rsid w:val="00EA623E"/>
    <w:rsid w:val="00EC242F"/>
    <w:rsid w:val="00EF16FA"/>
    <w:rsid w:val="00F03FA8"/>
    <w:rsid w:val="00F2036B"/>
    <w:rsid w:val="00F25453"/>
    <w:rsid w:val="00F322F6"/>
    <w:rsid w:val="00F341F9"/>
    <w:rsid w:val="00F34712"/>
    <w:rsid w:val="00F5492E"/>
    <w:rsid w:val="00FE7735"/>
    <w:rsid w:val="00FF7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A5519"/>
  <w15:chartTrackingRefBased/>
  <w15:docId w15:val="{F67BC798-CC98-4E33-B570-3A153DC07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59F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059F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059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059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059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059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59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59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59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9F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059F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059F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059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059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059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59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59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59F2"/>
    <w:rPr>
      <w:rFonts w:eastAsiaTheme="majorEastAsia" w:cstheme="majorBidi"/>
      <w:color w:val="272727" w:themeColor="text1" w:themeTint="D8"/>
    </w:rPr>
  </w:style>
  <w:style w:type="paragraph" w:styleId="Title">
    <w:name w:val="Title"/>
    <w:basedOn w:val="Normal"/>
    <w:next w:val="Normal"/>
    <w:link w:val="TitleChar"/>
    <w:uiPriority w:val="10"/>
    <w:qFormat/>
    <w:rsid w:val="007059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59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59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59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59F2"/>
    <w:pPr>
      <w:spacing w:before="160"/>
      <w:jc w:val="center"/>
    </w:pPr>
    <w:rPr>
      <w:i/>
      <w:iCs/>
      <w:color w:val="404040" w:themeColor="text1" w:themeTint="BF"/>
    </w:rPr>
  </w:style>
  <w:style w:type="character" w:customStyle="1" w:styleId="QuoteChar">
    <w:name w:val="Quote Char"/>
    <w:basedOn w:val="DefaultParagraphFont"/>
    <w:link w:val="Quote"/>
    <w:uiPriority w:val="29"/>
    <w:rsid w:val="007059F2"/>
    <w:rPr>
      <w:i/>
      <w:iCs/>
      <w:color w:val="404040" w:themeColor="text1" w:themeTint="BF"/>
    </w:rPr>
  </w:style>
  <w:style w:type="paragraph" w:styleId="ListParagraph">
    <w:name w:val="List Paragraph"/>
    <w:basedOn w:val="Normal"/>
    <w:uiPriority w:val="34"/>
    <w:qFormat/>
    <w:rsid w:val="007059F2"/>
    <w:pPr>
      <w:ind w:left="720"/>
      <w:contextualSpacing/>
    </w:pPr>
  </w:style>
  <w:style w:type="character" w:styleId="IntenseEmphasis">
    <w:name w:val="Intense Emphasis"/>
    <w:basedOn w:val="DefaultParagraphFont"/>
    <w:uiPriority w:val="21"/>
    <w:qFormat/>
    <w:rsid w:val="007059F2"/>
    <w:rPr>
      <w:i/>
      <w:iCs/>
      <w:color w:val="2F5496" w:themeColor="accent1" w:themeShade="BF"/>
    </w:rPr>
  </w:style>
  <w:style w:type="paragraph" w:styleId="IntenseQuote">
    <w:name w:val="Intense Quote"/>
    <w:basedOn w:val="Normal"/>
    <w:next w:val="Normal"/>
    <w:link w:val="IntenseQuoteChar"/>
    <w:uiPriority w:val="30"/>
    <w:qFormat/>
    <w:rsid w:val="007059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059F2"/>
    <w:rPr>
      <w:i/>
      <w:iCs/>
      <w:color w:val="2F5496" w:themeColor="accent1" w:themeShade="BF"/>
    </w:rPr>
  </w:style>
  <w:style w:type="character" w:styleId="IntenseReference">
    <w:name w:val="Intense Reference"/>
    <w:basedOn w:val="DefaultParagraphFont"/>
    <w:uiPriority w:val="32"/>
    <w:qFormat/>
    <w:rsid w:val="007059F2"/>
    <w:rPr>
      <w:b/>
      <w:bCs/>
      <w:smallCaps/>
      <w:color w:val="2F5496" w:themeColor="accent1" w:themeShade="BF"/>
      <w:spacing w:val="5"/>
    </w:rPr>
  </w:style>
  <w:style w:type="paragraph" w:styleId="FootnoteText">
    <w:name w:val="footnote text"/>
    <w:basedOn w:val="Normal"/>
    <w:link w:val="FootnoteTextChar"/>
    <w:uiPriority w:val="99"/>
    <w:unhideWhenUsed/>
    <w:rsid w:val="007059F2"/>
    <w:pPr>
      <w:spacing w:after="0" w:line="240" w:lineRule="auto"/>
    </w:pPr>
    <w:rPr>
      <w:sz w:val="20"/>
      <w:szCs w:val="20"/>
    </w:rPr>
  </w:style>
  <w:style w:type="character" w:customStyle="1" w:styleId="FootnoteTextChar">
    <w:name w:val="Footnote Text Char"/>
    <w:basedOn w:val="DefaultParagraphFont"/>
    <w:link w:val="FootnoteText"/>
    <w:uiPriority w:val="99"/>
    <w:rsid w:val="007059F2"/>
    <w:rPr>
      <w:sz w:val="20"/>
      <w:szCs w:val="20"/>
    </w:rPr>
  </w:style>
  <w:style w:type="character" w:styleId="FootnoteReference">
    <w:name w:val="footnote reference"/>
    <w:basedOn w:val="DefaultParagraphFont"/>
    <w:uiPriority w:val="99"/>
    <w:semiHidden/>
    <w:unhideWhenUsed/>
    <w:rsid w:val="007059F2"/>
    <w:rPr>
      <w:vertAlign w:val="superscript"/>
    </w:rPr>
  </w:style>
  <w:style w:type="character" w:styleId="Hyperlink">
    <w:name w:val="Hyperlink"/>
    <w:basedOn w:val="DefaultParagraphFont"/>
    <w:uiPriority w:val="99"/>
    <w:unhideWhenUsed/>
    <w:rsid w:val="00287B25"/>
    <w:rPr>
      <w:color w:val="0563C1" w:themeColor="hyperlink"/>
      <w:u w:val="single"/>
    </w:rPr>
  </w:style>
  <w:style w:type="character" w:styleId="UnresolvedMention">
    <w:name w:val="Unresolved Mention"/>
    <w:basedOn w:val="DefaultParagraphFont"/>
    <w:uiPriority w:val="99"/>
    <w:semiHidden/>
    <w:unhideWhenUsed/>
    <w:rsid w:val="00287B25"/>
    <w:rPr>
      <w:color w:val="605E5C"/>
      <w:shd w:val="clear" w:color="auto" w:fill="E1DFDD"/>
    </w:rPr>
  </w:style>
  <w:style w:type="table" w:styleId="TableGrid">
    <w:name w:val="Table Grid"/>
    <w:basedOn w:val="TableNormal"/>
    <w:uiPriority w:val="39"/>
    <w:rsid w:val="00F03F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80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510"/>
  </w:style>
  <w:style w:type="paragraph" w:styleId="Header">
    <w:name w:val="header"/>
    <w:basedOn w:val="Normal"/>
    <w:link w:val="HeaderChar"/>
    <w:uiPriority w:val="99"/>
    <w:unhideWhenUsed/>
    <w:rsid w:val="00331F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F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cd.org/content/dam/oecd/en/publications/reports/2004/02/corporate-governance-in-developing-transition-and-emerging-market-economies_g17a17aa/604227826337.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BFF367-CA1F-4A4E-873B-C37EA5415C56}">
  <ds:schemaRefs>
    <ds:schemaRef ds:uri="http://schemas.openxmlformats.org/officeDocument/2006/bibliography"/>
  </ds:schemaRefs>
</ds:datastoreItem>
</file>

<file path=docMetadata/LabelInfo.xml><?xml version="1.0" encoding="utf-8"?>
<clbl:labelList xmlns:clbl="http://schemas.microsoft.com/office/2020/mipLabelMetadata">
  <clbl:label id="{e1a043d6-2440-42e2-9bca-0683b3b9e916}" enabled="1" method="Privileged" siteId="{87c38de1-7677-4ae8-b543-17ff79c50890}" contentBits="2" removed="0"/>
</clbl:labelList>
</file>

<file path=docProps/app.xml><?xml version="1.0" encoding="utf-8"?>
<Properties xmlns="http://schemas.openxmlformats.org/officeDocument/2006/extended-properties" xmlns:vt="http://schemas.openxmlformats.org/officeDocument/2006/docPropsVTypes">
  <Template>Normal</Template>
  <TotalTime>4658</TotalTime>
  <Pages>15</Pages>
  <Words>4747</Words>
  <Characters>30856</Characters>
  <Application>Microsoft Office Word</Application>
  <DocSecurity>0</DocSecurity>
  <Lines>532</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McCulloch</dc:creator>
  <cp:keywords/>
  <dc:description/>
  <cp:lastModifiedBy>Emma McCulloch</cp:lastModifiedBy>
  <cp:revision>81</cp:revision>
  <dcterms:created xsi:type="dcterms:W3CDTF">2026-01-08T16:47:00Z</dcterms:created>
  <dcterms:modified xsi:type="dcterms:W3CDTF">2026-01-12T23:49:00Z</dcterms:modified>
</cp:coreProperties>
</file>