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EA18B" w14:textId="77777777" w:rsidR="00C558B0" w:rsidRPr="00594FAC" w:rsidRDefault="00C558B0" w:rsidP="00594FAC">
      <w:pPr>
        <w:rPr>
          <w:rFonts w:cs="Arial"/>
          <w:szCs w:val="24"/>
        </w:rPr>
      </w:pPr>
      <w:r w:rsidRPr="00594FAC">
        <w:rPr>
          <w:rFonts w:cs="Arial"/>
          <w:noProof/>
        </w:rPr>
        <w:drawing>
          <wp:anchor distT="0" distB="0" distL="114300" distR="114300" simplePos="0" relativeHeight="251659264" behindDoc="0" locked="0" layoutInCell="1" allowOverlap="1" wp14:anchorId="345DA795" wp14:editId="07F2D500">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9A82C28" w14:textId="77777777" w:rsidR="00C558B0" w:rsidRPr="00594FAC" w:rsidRDefault="00C558B0" w:rsidP="00594FAC">
      <w:pPr>
        <w:spacing w:after="0"/>
        <w:rPr>
          <w:rFonts w:cs="Arial"/>
          <w:szCs w:val="24"/>
        </w:rPr>
      </w:pPr>
    </w:p>
    <w:p w14:paraId="23B2F27E" w14:textId="77777777" w:rsidR="00C558B0" w:rsidRPr="00594FAC" w:rsidRDefault="00C558B0" w:rsidP="00594FAC">
      <w:pPr>
        <w:spacing w:after="0"/>
        <w:rPr>
          <w:rFonts w:cs="Arial"/>
          <w:szCs w:val="24"/>
        </w:rPr>
      </w:pPr>
    </w:p>
    <w:p w14:paraId="230D9E32" w14:textId="77777777" w:rsidR="00C558B0" w:rsidRPr="00594FAC" w:rsidRDefault="00C558B0" w:rsidP="00594FAC">
      <w:pPr>
        <w:spacing w:after="0"/>
        <w:rPr>
          <w:rFonts w:cs="Arial"/>
          <w:szCs w:val="24"/>
        </w:rPr>
      </w:pPr>
    </w:p>
    <w:p w14:paraId="5C7AB682" w14:textId="77777777" w:rsidR="00C558B0" w:rsidRDefault="00C558B0" w:rsidP="00594FAC">
      <w:pPr>
        <w:tabs>
          <w:tab w:val="left" w:pos="6540"/>
        </w:tabs>
        <w:spacing w:after="0"/>
        <w:rPr>
          <w:rFonts w:cs="Arial"/>
          <w:sz w:val="28"/>
          <w:szCs w:val="28"/>
        </w:rPr>
      </w:pPr>
    </w:p>
    <w:p w14:paraId="289A8284" w14:textId="77777777" w:rsidR="00E04395" w:rsidRDefault="00E04395" w:rsidP="00594FAC">
      <w:pPr>
        <w:tabs>
          <w:tab w:val="left" w:pos="6540"/>
        </w:tabs>
        <w:spacing w:after="0"/>
        <w:rPr>
          <w:rFonts w:cs="Arial"/>
          <w:sz w:val="28"/>
          <w:szCs w:val="28"/>
        </w:rPr>
      </w:pPr>
    </w:p>
    <w:p w14:paraId="39CC4AC1" w14:textId="77777777" w:rsidR="00E04395" w:rsidRPr="00594FAC" w:rsidRDefault="00E04395" w:rsidP="00594FAC">
      <w:pPr>
        <w:tabs>
          <w:tab w:val="left" w:pos="6540"/>
        </w:tabs>
        <w:spacing w:after="0"/>
        <w:rPr>
          <w:rFonts w:cs="Arial"/>
          <w:sz w:val="28"/>
          <w:szCs w:val="28"/>
        </w:rPr>
      </w:pPr>
    </w:p>
    <w:p w14:paraId="1F316F8D" w14:textId="5D95FA9B" w:rsidR="00E04395" w:rsidRPr="00594FAC" w:rsidRDefault="00E04395" w:rsidP="00E04395">
      <w:pPr>
        <w:tabs>
          <w:tab w:val="left" w:pos="6540"/>
        </w:tabs>
        <w:rPr>
          <w:rFonts w:cs="Arial"/>
          <w:sz w:val="28"/>
          <w:szCs w:val="28"/>
          <w:lang w:val="nl-NL"/>
        </w:rPr>
      </w:pPr>
      <w:r w:rsidRPr="00594FAC">
        <w:rPr>
          <w:rFonts w:cs="Arial"/>
          <w:b/>
          <w:bCs/>
          <w:sz w:val="28"/>
          <w:szCs w:val="28"/>
          <w:lang w:val="nl-NL"/>
        </w:rPr>
        <w:t>Student name</w:t>
      </w:r>
      <w:r w:rsidRPr="00594FAC">
        <w:rPr>
          <w:rFonts w:cs="Arial"/>
          <w:sz w:val="28"/>
          <w:szCs w:val="28"/>
          <w:lang w:val="nl-NL"/>
        </w:rPr>
        <w:t>:</w:t>
      </w:r>
      <w:r w:rsidR="00630CD3">
        <w:rPr>
          <w:rFonts w:cs="Arial"/>
          <w:sz w:val="28"/>
          <w:szCs w:val="28"/>
          <w:lang w:val="nl-NL"/>
        </w:rPr>
        <w:t xml:space="preserve"> Marie France Aurelie BODO BODO</w:t>
      </w:r>
    </w:p>
    <w:p w14:paraId="46912CA5" w14:textId="4AD8AF4D" w:rsidR="00E04395" w:rsidRPr="00594FAC" w:rsidRDefault="00E04395" w:rsidP="00E04395">
      <w:pPr>
        <w:tabs>
          <w:tab w:val="left" w:pos="6540"/>
        </w:tabs>
        <w:rPr>
          <w:rFonts w:cs="Arial"/>
          <w:sz w:val="28"/>
          <w:szCs w:val="28"/>
          <w:lang w:val="nl-NL"/>
        </w:rPr>
      </w:pPr>
      <w:r w:rsidRPr="00594FAC">
        <w:rPr>
          <w:rFonts w:cs="Arial"/>
          <w:b/>
          <w:bCs/>
          <w:sz w:val="28"/>
          <w:szCs w:val="28"/>
          <w:lang w:val="nl-NL"/>
        </w:rPr>
        <w:t>Student ID</w:t>
      </w:r>
      <w:r w:rsidRPr="00594FAC">
        <w:rPr>
          <w:rFonts w:cs="Arial"/>
          <w:sz w:val="28"/>
          <w:szCs w:val="28"/>
          <w:lang w:val="nl-NL"/>
        </w:rPr>
        <w:t>:</w:t>
      </w:r>
      <w:r w:rsidR="00630CD3">
        <w:rPr>
          <w:rFonts w:cs="Arial"/>
          <w:sz w:val="28"/>
          <w:szCs w:val="28"/>
          <w:lang w:val="nl-NL"/>
        </w:rPr>
        <w:t xml:space="preserve"> 2426167</w:t>
      </w:r>
    </w:p>
    <w:p w14:paraId="4A6A872A" w14:textId="77777777" w:rsidR="00E04395" w:rsidRPr="00594FAC" w:rsidRDefault="00E04395" w:rsidP="00E04395">
      <w:pPr>
        <w:tabs>
          <w:tab w:val="left" w:pos="6540"/>
        </w:tabs>
        <w:rPr>
          <w:rFonts w:cs="Arial"/>
          <w:sz w:val="28"/>
          <w:szCs w:val="28"/>
          <w:lang w:val="nl-NL"/>
        </w:rPr>
      </w:pPr>
    </w:p>
    <w:p w14:paraId="73D02C33" w14:textId="77777777" w:rsidR="00E04395" w:rsidRDefault="00E04395" w:rsidP="00E04395">
      <w:pPr>
        <w:tabs>
          <w:tab w:val="left" w:pos="6540"/>
        </w:tabs>
        <w:rPr>
          <w:rFonts w:cs="Arial"/>
          <w:b/>
          <w:bCs/>
          <w:sz w:val="28"/>
          <w:szCs w:val="28"/>
          <w:lang w:val="nl-NL"/>
        </w:rPr>
      </w:pPr>
      <w:r w:rsidRPr="00594FAC">
        <w:rPr>
          <w:rFonts w:cs="Arial"/>
          <w:b/>
          <w:bCs/>
          <w:sz w:val="28"/>
          <w:szCs w:val="28"/>
          <w:lang w:val="nl-NL"/>
        </w:rPr>
        <w:t>Module name</w:t>
      </w:r>
      <w:r w:rsidRPr="00594FAC">
        <w:rPr>
          <w:rFonts w:cs="Arial"/>
          <w:sz w:val="28"/>
          <w:szCs w:val="28"/>
          <w:lang w:val="nl-NL"/>
        </w:rPr>
        <w:t xml:space="preserve">: </w:t>
      </w:r>
      <w:r w:rsidRPr="00887FBB">
        <w:rPr>
          <w:rFonts w:cs="Arial"/>
          <w:b/>
          <w:bCs/>
          <w:sz w:val="28"/>
          <w:szCs w:val="28"/>
          <w:lang w:val="nl-NL"/>
        </w:rPr>
        <w:t>Principles of Health and Social Care Practice</w:t>
      </w:r>
    </w:p>
    <w:p w14:paraId="143C877B" w14:textId="61C067B4" w:rsidR="00E04395" w:rsidRPr="00594FAC" w:rsidRDefault="00E04395" w:rsidP="00E04395">
      <w:pPr>
        <w:tabs>
          <w:tab w:val="left" w:pos="6540"/>
        </w:tabs>
        <w:rPr>
          <w:rFonts w:cs="Arial"/>
          <w:sz w:val="28"/>
          <w:szCs w:val="28"/>
          <w:lang w:val="nl-NL"/>
        </w:rPr>
      </w:pPr>
      <w:r>
        <w:rPr>
          <w:rFonts w:cs="Arial"/>
          <w:b/>
          <w:bCs/>
          <w:sz w:val="28"/>
          <w:szCs w:val="28"/>
          <w:lang w:val="nl-NL"/>
        </w:rPr>
        <w:t xml:space="preserve">Component: </w:t>
      </w:r>
      <w:r w:rsidR="00630CD3">
        <w:rPr>
          <w:rFonts w:cs="Arial"/>
          <w:b/>
          <w:bCs/>
          <w:sz w:val="28"/>
          <w:szCs w:val="28"/>
          <w:lang w:val="nl-NL"/>
        </w:rPr>
        <w:t>2</w:t>
      </w:r>
    </w:p>
    <w:p w14:paraId="71264356" w14:textId="77777777" w:rsidR="00E04395" w:rsidRPr="00594FAC" w:rsidRDefault="00E04395" w:rsidP="00E04395">
      <w:pPr>
        <w:tabs>
          <w:tab w:val="left" w:pos="6540"/>
        </w:tabs>
        <w:rPr>
          <w:rFonts w:cs="Arial"/>
          <w:sz w:val="28"/>
          <w:szCs w:val="28"/>
        </w:rPr>
      </w:pPr>
      <w:r w:rsidRPr="00594FAC">
        <w:rPr>
          <w:rFonts w:cs="Arial"/>
          <w:b/>
          <w:bCs/>
          <w:sz w:val="28"/>
          <w:szCs w:val="28"/>
        </w:rPr>
        <w:t>Module code</w:t>
      </w:r>
      <w:r w:rsidRPr="00594FAC">
        <w:rPr>
          <w:rFonts w:cs="Arial"/>
          <w:sz w:val="28"/>
          <w:szCs w:val="28"/>
        </w:rPr>
        <w:t>:</w:t>
      </w:r>
      <w:r>
        <w:rPr>
          <w:rFonts w:cs="Arial"/>
          <w:sz w:val="28"/>
          <w:szCs w:val="28"/>
        </w:rPr>
        <w:t xml:space="preserve"> </w:t>
      </w:r>
      <w:r w:rsidRPr="00887FBB">
        <w:rPr>
          <w:rFonts w:cs="Arial"/>
          <w:b/>
          <w:bCs/>
          <w:sz w:val="28"/>
          <w:szCs w:val="28"/>
        </w:rPr>
        <w:t xml:space="preserve">BMHP5016 </w:t>
      </w:r>
    </w:p>
    <w:p w14:paraId="63F22949" w14:textId="1684C838" w:rsidR="00E04395" w:rsidRDefault="00E04395" w:rsidP="00E04395">
      <w:pPr>
        <w:tabs>
          <w:tab w:val="left" w:pos="6540"/>
        </w:tabs>
        <w:rPr>
          <w:rFonts w:cs="Arial"/>
          <w:sz w:val="28"/>
          <w:szCs w:val="28"/>
        </w:rPr>
      </w:pPr>
      <w:r w:rsidRPr="00594FAC">
        <w:rPr>
          <w:rFonts w:cs="Arial"/>
          <w:b/>
          <w:bCs/>
          <w:sz w:val="28"/>
          <w:szCs w:val="28"/>
        </w:rPr>
        <w:t>Lecturer name</w:t>
      </w:r>
      <w:r w:rsidRPr="00594FAC">
        <w:rPr>
          <w:rFonts w:cs="Arial"/>
          <w:sz w:val="28"/>
          <w:szCs w:val="28"/>
        </w:rPr>
        <w:t>:</w:t>
      </w:r>
      <w:r w:rsidR="00630CD3">
        <w:rPr>
          <w:rFonts w:cs="Arial"/>
          <w:sz w:val="28"/>
          <w:szCs w:val="28"/>
        </w:rPr>
        <w:t xml:space="preserve"> Dr </w:t>
      </w:r>
      <w:proofErr w:type="spellStart"/>
      <w:r w:rsidR="00630CD3">
        <w:rPr>
          <w:rFonts w:cs="Arial"/>
          <w:sz w:val="28"/>
          <w:szCs w:val="28"/>
        </w:rPr>
        <w:t>Itse</w:t>
      </w:r>
      <w:proofErr w:type="spellEnd"/>
      <w:r w:rsidR="00630CD3">
        <w:rPr>
          <w:rFonts w:cs="Arial"/>
          <w:sz w:val="28"/>
          <w:szCs w:val="28"/>
        </w:rPr>
        <w:t xml:space="preserve"> </w:t>
      </w:r>
      <w:r w:rsidR="00CE2BA3">
        <w:rPr>
          <w:rFonts w:cs="Arial"/>
          <w:sz w:val="28"/>
          <w:szCs w:val="28"/>
        </w:rPr>
        <w:t>Olaoye</w:t>
      </w:r>
    </w:p>
    <w:p w14:paraId="2E8F4AC7" w14:textId="77777777" w:rsidR="00E04395" w:rsidRDefault="00E04395">
      <w:pPr>
        <w:spacing w:after="160" w:line="259" w:lineRule="auto"/>
        <w:jc w:val="left"/>
        <w:rPr>
          <w:rFonts w:cs="Arial"/>
          <w:sz w:val="28"/>
          <w:szCs w:val="28"/>
        </w:rPr>
      </w:pPr>
      <w:r>
        <w:rPr>
          <w:rFonts w:cs="Arial"/>
          <w:sz w:val="28"/>
          <w:szCs w:val="28"/>
        </w:rPr>
        <w:br w:type="page"/>
      </w:r>
    </w:p>
    <w:p w14:paraId="099788C6" w14:textId="77777777" w:rsidR="00043CB6" w:rsidRDefault="007463D4">
      <w:pPr>
        <w:pStyle w:val="EssayHeading1"/>
        <w:spacing w:after="360"/>
        <w:jc w:val="center"/>
      </w:pPr>
      <w:r>
        <w:rPr>
          <w:sz w:val="22"/>
        </w:rPr>
        <w:lastRenderedPageBreak/>
        <w:t>Table of contents</w:t>
      </w:r>
    </w:p>
    <w:p w14:paraId="1566BC05" w14:textId="77777777" w:rsidR="00043CB6" w:rsidRDefault="007463D4">
      <w:pPr>
        <w:tabs>
          <w:tab w:val="right" w:leader="dot" w:pos="9000"/>
        </w:tabs>
        <w:spacing w:after="100" w:line="276" w:lineRule="auto"/>
        <w:jc w:val="left"/>
      </w:pPr>
      <w:r>
        <w:t>1. Introduction</w:t>
      </w:r>
      <w:r>
        <w:tab/>
        <w:t>3</w:t>
      </w:r>
    </w:p>
    <w:p w14:paraId="2147C61D" w14:textId="77777777" w:rsidR="00043CB6" w:rsidRDefault="007463D4">
      <w:pPr>
        <w:tabs>
          <w:tab w:val="right" w:leader="dot" w:pos="9000"/>
        </w:tabs>
        <w:spacing w:after="100" w:line="276" w:lineRule="auto"/>
        <w:jc w:val="left"/>
      </w:pPr>
      <w:r>
        <w:t>2. Emergence and development of the social model</w:t>
      </w:r>
      <w:r>
        <w:tab/>
        <w:t>3</w:t>
      </w:r>
    </w:p>
    <w:p w14:paraId="59880626" w14:textId="77777777" w:rsidR="00043CB6" w:rsidRDefault="007463D4">
      <w:pPr>
        <w:tabs>
          <w:tab w:val="right" w:leader="dot" w:pos="9000"/>
        </w:tabs>
        <w:spacing w:after="100" w:line="276" w:lineRule="auto"/>
        <w:jc w:val="left"/>
      </w:pPr>
      <w:r>
        <w:t>3. Strengths as a foundation for person-centred care</w:t>
      </w:r>
      <w:r>
        <w:tab/>
        <w:t>4</w:t>
      </w:r>
    </w:p>
    <w:p w14:paraId="5260C1CF" w14:textId="77777777" w:rsidR="00043CB6" w:rsidRDefault="007463D4">
      <w:pPr>
        <w:tabs>
          <w:tab w:val="right" w:leader="dot" w:pos="9000"/>
        </w:tabs>
        <w:spacing w:after="100" w:line="276" w:lineRule="auto"/>
        <w:jc w:val="left"/>
      </w:pPr>
      <w:r>
        <w:t>4. Limitations, critiques and responses</w:t>
      </w:r>
      <w:r>
        <w:tab/>
        <w:t>4</w:t>
      </w:r>
    </w:p>
    <w:p w14:paraId="64F81284" w14:textId="77777777" w:rsidR="00043CB6" w:rsidRDefault="007463D4">
      <w:pPr>
        <w:tabs>
          <w:tab w:val="right" w:leader="dot" w:pos="9000"/>
        </w:tabs>
        <w:spacing w:after="100" w:line="276" w:lineRule="auto"/>
        <w:jc w:val="left"/>
      </w:pPr>
      <w:r>
        <w:t>5. Application to assessment and support planning</w:t>
      </w:r>
      <w:r>
        <w:tab/>
        <w:t>5</w:t>
      </w:r>
    </w:p>
    <w:p w14:paraId="1BEB3682" w14:textId="77777777" w:rsidR="00043CB6" w:rsidRDefault="007463D4">
      <w:pPr>
        <w:tabs>
          <w:tab w:val="right" w:leader="dot" w:pos="9000"/>
        </w:tabs>
        <w:spacing w:after="100" w:line="276" w:lineRule="auto"/>
        <w:jc w:val="left"/>
      </w:pPr>
      <w:r>
        <w:t>6. Influence on policy and professional practice</w:t>
      </w:r>
      <w:r>
        <w:tab/>
        <w:t>7</w:t>
      </w:r>
    </w:p>
    <w:p w14:paraId="2996E9ED" w14:textId="77777777" w:rsidR="00043CB6" w:rsidRDefault="007463D4">
      <w:pPr>
        <w:tabs>
          <w:tab w:val="right" w:leader="dot" w:pos="9000"/>
        </w:tabs>
        <w:spacing w:after="100" w:line="276" w:lineRule="auto"/>
        <w:jc w:val="left"/>
      </w:pPr>
      <w:r>
        <w:t>7. Recommendations</w:t>
      </w:r>
      <w:r>
        <w:tab/>
        <w:t>7</w:t>
      </w:r>
    </w:p>
    <w:p w14:paraId="1D98F4A1" w14:textId="77777777" w:rsidR="00043CB6" w:rsidRDefault="007463D4">
      <w:pPr>
        <w:tabs>
          <w:tab w:val="right" w:leader="dot" w:pos="9000"/>
        </w:tabs>
        <w:spacing w:after="100" w:line="276" w:lineRule="auto"/>
        <w:jc w:val="left"/>
      </w:pPr>
      <w:r>
        <w:t>8. Conclusion</w:t>
      </w:r>
      <w:r>
        <w:tab/>
        <w:t>8</w:t>
      </w:r>
    </w:p>
    <w:p w14:paraId="0FED7B90" w14:textId="77777777" w:rsidR="00043CB6" w:rsidRDefault="007463D4">
      <w:pPr>
        <w:tabs>
          <w:tab w:val="right" w:leader="dot" w:pos="9000"/>
        </w:tabs>
        <w:spacing w:after="100" w:line="276" w:lineRule="auto"/>
        <w:jc w:val="left"/>
      </w:pPr>
      <w:r>
        <w:t>References</w:t>
      </w:r>
      <w:r>
        <w:tab/>
        <w:t>9</w:t>
      </w:r>
    </w:p>
    <w:p w14:paraId="2A55F390" w14:textId="77777777" w:rsidR="00043CB6" w:rsidRDefault="007463D4">
      <w:r>
        <w:br w:type="page"/>
      </w:r>
    </w:p>
    <w:p w14:paraId="3E6D9528" w14:textId="77777777" w:rsidR="00043CB6" w:rsidRPr="00423D28" w:rsidRDefault="007463D4" w:rsidP="00FE2309">
      <w:pPr>
        <w:pStyle w:val="EssayHeading1"/>
        <w:pageBreakBefore/>
        <w:jc w:val="both"/>
        <w:rPr>
          <w:rFonts w:ascii="Times New Roman" w:hAnsi="Times New Roman" w:cs="Times New Roman"/>
          <w:color w:val="4472C4" w:themeColor="accent1"/>
          <w:szCs w:val="24"/>
        </w:rPr>
      </w:pPr>
      <w:r w:rsidRPr="00423D28">
        <w:rPr>
          <w:color w:val="4472C4" w:themeColor="accent1"/>
          <w:sz w:val="22"/>
        </w:rPr>
        <w:lastRenderedPageBreak/>
        <w:t>1</w:t>
      </w:r>
      <w:r w:rsidRPr="00423D28">
        <w:rPr>
          <w:rFonts w:ascii="Times New Roman" w:hAnsi="Times New Roman" w:cs="Times New Roman"/>
          <w:color w:val="4472C4" w:themeColor="accent1"/>
          <w:szCs w:val="24"/>
        </w:rPr>
        <w:t>. Introduction</w:t>
      </w:r>
    </w:p>
    <w:p w14:paraId="0D000211"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Person-centred care requires health and social care systems to organise support around a person’s goals, preferences, rights and circumstances rather than around a diagnosis or a standard service package. In England, this principle is reflected in the Care Act 2014 and in Regulation 9, which requires regulated providers to assess needs and preferences collaboratively (Care Act 2014; Care Quality Commission, 2025). The social model of disability gives this commitment a political foundation. It distinguishes impairment from disability and locates disability in avoidable environmental, institutional and attitudinal barriers rather than in a defective individual (Union of the Physically Impaired Against Segregation and Disability Alliance, 1976; Oliver, 1990).</w:t>
      </w:r>
    </w:p>
    <w:p w14:paraId="545BF42E" w14:textId="23EA1956"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This essay critically examines the social model in local-authority assessment and support planning for adults with physical disabilities in England. It argues that the model is indispensable because it redirects professional attention towards barrier removal, participation and redistribution of power. Nevertheless, it is insufficient as a complete account of person-centred care because impairment effects, relationships and intersecting inequalities also shape people’s lives. The strongest approach</w:t>
      </w:r>
      <w:r w:rsidR="004F2EA8" w:rsidRPr="00FE2309">
        <w:rPr>
          <w:rFonts w:ascii="Times New Roman" w:hAnsi="Times New Roman" w:cs="Times New Roman"/>
          <w:sz w:val="24"/>
          <w:szCs w:val="24"/>
        </w:rPr>
        <w:t>, therefore,</w:t>
      </w:r>
      <w:r w:rsidRPr="00FE2309">
        <w:rPr>
          <w:rFonts w:ascii="Times New Roman" w:hAnsi="Times New Roman" w:cs="Times New Roman"/>
          <w:sz w:val="24"/>
          <w:szCs w:val="24"/>
        </w:rPr>
        <w:t xml:space="preserve"> combines the social model with relational practice and a human-rights framework, while recognising the financial and organisational constraints affecting implementation.</w:t>
      </w:r>
    </w:p>
    <w:p w14:paraId="66B376C7" w14:textId="77777777" w:rsidR="00043CB6" w:rsidRPr="00423D28" w:rsidRDefault="007463D4" w:rsidP="00FE2309">
      <w:pPr>
        <w:pStyle w:val="EssayHeading1"/>
        <w:jc w:val="both"/>
        <w:rPr>
          <w:rFonts w:ascii="Times New Roman" w:hAnsi="Times New Roman" w:cs="Times New Roman"/>
          <w:color w:val="4472C4" w:themeColor="accent1"/>
          <w:szCs w:val="24"/>
        </w:rPr>
      </w:pPr>
      <w:r w:rsidRPr="00423D28">
        <w:rPr>
          <w:rFonts w:ascii="Times New Roman" w:hAnsi="Times New Roman" w:cs="Times New Roman"/>
          <w:color w:val="4472C4" w:themeColor="accent1"/>
          <w:szCs w:val="24"/>
        </w:rPr>
        <w:t>2. Emergence and development of the social model</w:t>
      </w:r>
    </w:p>
    <w:p w14:paraId="0DE0A9FB" w14:textId="25C09045"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The social model emerged from disabled people’s activism against the medical and individual models that dominated twentieth-century policy. Under those approaches, professional intervention </w:t>
      </w:r>
      <w:r w:rsidR="004F2EA8" w:rsidRPr="00FE2309">
        <w:rPr>
          <w:rFonts w:ascii="Times New Roman" w:hAnsi="Times New Roman" w:cs="Times New Roman"/>
          <w:sz w:val="24"/>
          <w:szCs w:val="24"/>
        </w:rPr>
        <w:t>focused on diagnosis, treatment, rehabilitation, and the individual's adjustment</w:t>
      </w:r>
      <w:r w:rsidRPr="00FE2309">
        <w:rPr>
          <w:rFonts w:ascii="Times New Roman" w:hAnsi="Times New Roman" w:cs="Times New Roman"/>
          <w:sz w:val="24"/>
          <w:szCs w:val="24"/>
        </w:rPr>
        <w:t xml:space="preserve">. The Union of the Physically Impaired Against Segregation and Disability Alliance (1976) challenged this interpretation by defining impairment as a bodily characteristic and disability as </w:t>
      </w:r>
      <w:r w:rsidR="004F2EA8" w:rsidRPr="00FE2309">
        <w:rPr>
          <w:rFonts w:ascii="Times New Roman" w:hAnsi="Times New Roman" w:cs="Times New Roman"/>
          <w:sz w:val="24"/>
          <w:szCs w:val="24"/>
        </w:rPr>
        <w:t xml:space="preserve">a </w:t>
      </w:r>
      <w:r w:rsidRPr="00FE2309">
        <w:rPr>
          <w:rFonts w:ascii="Times New Roman" w:hAnsi="Times New Roman" w:cs="Times New Roman"/>
          <w:sz w:val="24"/>
          <w:szCs w:val="24"/>
        </w:rPr>
        <w:t>disadvantage imposed through social organisation. Disability was therefore reframed as oppression: stairs without an alternative route, inaccessible transport, inflexible employment and prejudicial attitudes disable people whose impairments need not prevent participation.</w:t>
      </w:r>
    </w:p>
    <w:p w14:paraId="7EE5B50E"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Oliver (1990) developed this distinction into the social model and linked disabling arrangements to wider political and economic structures. Its purpose was not simply to offer another clinical classification, but to provide a practical tool for collective action. Barnes and Mercer (2010) show how this move enabled disabled people to contest professional authority and demand independent living, accessible environments and civil rights. Feminist disability </w:t>
      </w:r>
      <w:r w:rsidRPr="00FE2309">
        <w:rPr>
          <w:rFonts w:ascii="Times New Roman" w:hAnsi="Times New Roman" w:cs="Times New Roman"/>
          <w:sz w:val="24"/>
          <w:szCs w:val="24"/>
        </w:rPr>
        <w:lastRenderedPageBreak/>
        <w:t>scholarship then extended the debate. Morris (1991), for example, retained the political value of barrier analysis while insisting that care, bodily experience and dependency should not be silenced.</w:t>
      </w:r>
    </w:p>
    <w:p w14:paraId="4D5FE71A" w14:textId="6FE3B2D3"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The model subsequently influenced international rights-based thinking. The right to live independently and be included in the community requires choice about living arrangements, access to mainstream services and individualised support (United Nations Committee on the Rights of Persons with Disabilities, 2017). Lawson and Beckett (2021) argue that the social and </w:t>
      </w:r>
      <w:r w:rsidR="004F2EA8" w:rsidRPr="00FE2309">
        <w:rPr>
          <w:rFonts w:ascii="Times New Roman" w:hAnsi="Times New Roman" w:cs="Times New Roman"/>
          <w:sz w:val="24"/>
          <w:szCs w:val="24"/>
        </w:rPr>
        <w:t>human rights models are complementary: the social model explains how exclusion is produced, whereas the rights model identifies duty-bearers and accountability standards</w:t>
      </w:r>
      <w:r w:rsidRPr="00FE2309">
        <w:rPr>
          <w:rFonts w:ascii="Times New Roman" w:hAnsi="Times New Roman" w:cs="Times New Roman"/>
          <w:sz w:val="24"/>
          <w:szCs w:val="24"/>
        </w:rPr>
        <w:t>. This development is important for person-centred care because choice becomes more than professional goodwill; it is connected to equality, dignity and participation.</w:t>
      </w:r>
    </w:p>
    <w:p w14:paraId="7331A496" w14:textId="77777777" w:rsidR="00043CB6" w:rsidRPr="00423D28" w:rsidRDefault="007463D4" w:rsidP="00FE2309">
      <w:pPr>
        <w:pStyle w:val="EssayHeading1"/>
        <w:jc w:val="both"/>
        <w:rPr>
          <w:rFonts w:ascii="Times New Roman" w:hAnsi="Times New Roman" w:cs="Times New Roman"/>
          <w:color w:val="4472C4" w:themeColor="accent1"/>
          <w:szCs w:val="24"/>
        </w:rPr>
      </w:pPr>
      <w:r w:rsidRPr="00423D28">
        <w:rPr>
          <w:rFonts w:ascii="Times New Roman" w:hAnsi="Times New Roman" w:cs="Times New Roman"/>
          <w:color w:val="4472C4" w:themeColor="accent1"/>
          <w:szCs w:val="24"/>
        </w:rPr>
        <w:t>3. Strengths as a foundation for person-centred care</w:t>
      </w:r>
    </w:p>
    <w:p w14:paraId="52840E05" w14:textId="5AED0875"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The model’s central strength is its </w:t>
      </w:r>
      <w:r w:rsidR="004F2EA8" w:rsidRPr="00FE2309">
        <w:rPr>
          <w:rFonts w:ascii="Times New Roman" w:hAnsi="Times New Roman" w:cs="Times New Roman"/>
          <w:sz w:val="24"/>
          <w:szCs w:val="24"/>
        </w:rPr>
        <w:t>ability to change the</w:t>
      </w:r>
      <w:r w:rsidRPr="00FE2309">
        <w:rPr>
          <w:rFonts w:ascii="Times New Roman" w:hAnsi="Times New Roman" w:cs="Times New Roman"/>
          <w:sz w:val="24"/>
          <w:szCs w:val="24"/>
        </w:rPr>
        <w:t xml:space="preserve"> question. Instead of asking only what an adult cannot do because of impairment, an assessor asks what the person wants to do and which barriers prevent it. This supports a strengths-based conversation about work, relationships, parenting, community life and identity. It also recognises disabled adults as experts in their own lives, thereby challenging paternalism and the unequal distribution of knowledge between practitioner and service user. Co-production can make participation tangible: Burns, McGinn and Fitzsimons (2023) found that service users can feel valued through co-produced work, although genuine power-sharing requires supportive relationships, communication, time and organisational commitment.</w:t>
      </w:r>
    </w:p>
    <w:p w14:paraId="2F1AB5A7" w14:textId="5EED43F9"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A barrier-focused assessment also widens the range of legitimate interventions. Personal assistance may be necessary, but so may </w:t>
      </w:r>
      <w:proofErr w:type="gramStart"/>
      <w:r w:rsidRPr="00FE2309">
        <w:rPr>
          <w:rFonts w:ascii="Times New Roman" w:hAnsi="Times New Roman" w:cs="Times New Roman"/>
          <w:sz w:val="24"/>
          <w:szCs w:val="24"/>
        </w:rPr>
        <w:t>accessible</w:t>
      </w:r>
      <w:proofErr w:type="gramEnd"/>
      <w:r w:rsidRPr="00FE2309">
        <w:rPr>
          <w:rFonts w:ascii="Times New Roman" w:hAnsi="Times New Roman" w:cs="Times New Roman"/>
          <w:sz w:val="24"/>
          <w:szCs w:val="24"/>
        </w:rPr>
        <w:t xml:space="preserve"> housing, transport, digital information, workplace adjustments or advocacy. This whole-life perspective is compatible with contemporary personalisation, which places individual needs, preferences and aspirations at the centre of decision-making (Local Government Association, 2025). It can also reduce preventable inequity. The World Health </w:t>
      </w:r>
      <w:r w:rsidR="004F2EA8" w:rsidRPr="00FE2309">
        <w:rPr>
          <w:rFonts w:ascii="Times New Roman" w:hAnsi="Times New Roman" w:cs="Times New Roman"/>
          <w:sz w:val="24"/>
          <w:szCs w:val="24"/>
        </w:rPr>
        <w:t>Organisation</w:t>
      </w:r>
      <w:r w:rsidRPr="00FE2309">
        <w:rPr>
          <w:rFonts w:ascii="Times New Roman" w:hAnsi="Times New Roman" w:cs="Times New Roman"/>
          <w:sz w:val="24"/>
          <w:szCs w:val="24"/>
        </w:rPr>
        <w:t xml:space="preserve"> (2022) attributes many health inequalities experienced by disabled people to avoidable barriers such as discrimination, inaccessible services and communication obstacles. Consequently, the social model supports person-centred care not merely by improving individual interactions, but by making organisations accountable for the conditions surrounding those interactions.</w:t>
      </w:r>
    </w:p>
    <w:p w14:paraId="2EB7875C" w14:textId="77777777" w:rsidR="00043CB6" w:rsidRPr="00AF6EE4" w:rsidRDefault="007463D4" w:rsidP="00FE2309">
      <w:pPr>
        <w:pStyle w:val="EssayHeading1"/>
        <w:jc w:val="both"/>
        <w:rPr>
          <w:rFonts w:ascii="Times New Roman" w:hAnsi="Times New Roman" w:cs="Times New Roman"/>
          <w:color w:val="4472C4" w:themeColor="accent1"/>
          <w:szCs w:val="24"/>
        </w:rPr>
      </w:pPr>
      <w:r w:rsidRPr="00AF6EE4">
        <w:rPr>
          <w:rFonts w:ascii="Times New Roman" w:hAnsi="Times New Roman" w:cs="Times New Roman"/>
          <w:color w:val="4472C4" w:themeColor="accent1"/>
          <w:szCs w:val="24"/>
        </w:rPr>
        <w:lastRenderedPageBreak/>
        <w:t>4. Limitations, critiques and responses</w:t>
      </w:r>
    </w:p>
    <w:p w14:paraId="51D09708" w14:textId="4A8C0B51"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The impairment–disability distinction is politically powerful but analytically difficult when treated as a strict separation. Pain, fatigue and progressive illness may restrict activity even in an accessible environment. Shakespeare (2014) argues that disability arises </w:t>
      </w:r>
      <w:r w:rsidR="004F2EA8" w:rsidRPr="00FE2309">
        <w:rPr>
          <w:rFonts w:ascii="Times New Roman" w:hAnsi="Times New Roman" w:cs="Times New Roman"/>
          <w:sz w:val="24"/>
          <w:szCs w:val="24"/>
        </w:rPr>
        <w:t xml:space="preserve">from the interaction between bodies and environments; focusing exclusively on barriers can therefore make the effects of impairment </w:t>
      </w:r>
      <w:r w:rsidRPr="00FE2309">
        <w:rPr>
          <w:rFonts w:ascii="Times New Roman" w:hAnsi="Times New Roman" w:cs="Times New Roman"/>
          <w:sz w:val="24"/>
          <w:szCs w:val="24"/>
        </w:rPr>
        <w:t>difficult to discuss. This matters in person-centred practice. An assessor who avoids impairment for fear of appearing medicalised may overlook pain management, rehabilitation or fluctuating support needs. The appropriate response is not to return to a deficit model, but to address embodied needs without treating them as the person’s entire identity.</w:t>
      </w:r>
    </w:p>
    <w:p w14:paraId="4A3EFA1A" w14:textId="132A97DA"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A second critique concerns diversity. The early British model was developed mainly around collective experiences of physical exclusion, yet disabled people are not homogeneous. Gender, ethnicity, age, sexuality, poverty and migration status influence both exposure to barriers and the resources available to challenge them. Morris (1991) demonstrated that experiences of assistance and dependence are gendered, while Goodley (2017) emphasises that disability intersects with other relations of power. Global evidence similarly shows </w:t>
      </w:r>
      <w:r w:rsidR="004F2EA8" w:rsidRPr="00FE2309">
        <w:rPr>
          <w:rFonts w:ascii="Times New Roman" w:hAnsi="Times New Roman" w:cs="Times New Roman"/>
          <w:sz w:val="24"/>
          <w:szCs w:val="24"/>
        </w:rPr>
        <w:t>that unequal health outcomes result from overlapping structural and social conditions (World Health Organisation</w:t>
      </w:r>
      <w:r w:rsidRPr="00FE2309">
        <w:rPr>
          <w:rFonts w:ascii="Times New Roman" w:hAnsi="Times New Roman" w:cs="Times New Roman"/>
          <w:sz w:val="24"/>
          <w:szCs w:val="24"/>
        </w:rPr>
        <w:t>, 2022). A person-centred application must therefore ask which barriers affect this individual, rather than assuming one universal disabled experience.</w:t>
      </w:r>
    </w:p>
    <w:p w14:paraId="6D0D9C5F" w14:textId="3BE8C9CA"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Third, an emphasis on independence can be misread as self-sufficiency. People commonly achieve autonomy through interdependence, including personal assistants, family, peers and professionals. Support planning should therefore respect chosen relationships while ensuring that relatives are not treated as free substitutes for statutory support. Likewise, strengths-based language can conceal retrenchment if a council praises community assets while rationing services. A review by </w:t>
      </w:r>
      <w:proofErr w:type="spellStart"/>
      <w:r w:rsidRPr="00FE2309">
        <w:rPr>
          <w:rFonts w:ascii="Times New Roman" w:hAnsi="Times New Roman" w:cs="Times New Roman"/>
          <w:sz w:val="24"/>
          <w:szCs w:val="24"/>
        </w:rPr>
        <w:t>Caiels</w:t>
      </w:r>
      <w:proofErr w:type="spellEnd"/>
      <w:r w:rsidRPr="00FE2309">
        <w:rPr>
          <w:rFonts w:ascii="Times New Roman" w:hAnsi="Times New Roman" w:cs="Times New Roman"/>
          <w:sz w:val="24"/>
          <w:szCs w:val="24"/>
        </w:rPr>
        <w:t xml:space="preserve">, Milne and Beadle-Brown (2021) found limited evidence </w:t>
      </w:r>
      <w:r w:rsidR="004F2EA8" w:rsidRPr="00FE2309">
        <w:rPr>
          <w:rFonts w:ascii="Times New Roman" w:hAnsi="Times New Roman" w:cs="Times New Roman"/>
          <w:sz w:val="24"/>
          <w:szCs w:val="24"/>
        </w:rPr>
        <w:t>on outcomes and warned that strengths-based approaches do not align easily</w:t>
      </w:r>
      <w:r w:rsidRPr="00FE2309">
        <w:rPr>
          <w:rFonts w:ascii="Times New Roman" w:hAnsi="Times New Roman" w:cs="Times New Roman"/>
          <w:sz w:val="24"/>
          <w:szCs w:val="24"/>
        </w:rPr>
        <w:t xml:space="preserve"> with eligibility thresholds. Practitioner research also identifies organisational culture and resources as major influences on implementation (</w:t>
      </w:r>
      <w:proofErr w:type="spellStart"/>
      <w:r w:rsidRPr="00FE2309">
        <w:rPr>
          <w:rFonts w:ascii="Times New Roman" w:hAnsi="Times New Roman" w:cs="Times New Roman"/>
          <w:sz w:val="24"/>
          <w:szCs w:val="24"/>
        </w:rPr>
        <w:t>Caiels</w:t>
      </w:r>
      <w:proofErr w:type="spellEnd"/>
      <w:r w:rsidRPr="00FE2309">
        <w:rPr>
          <w:rFonts w:ascii="Times New Roman" w:hAnsi="Times New Roman" w:cs="Times New Roman"/>
          <w:sz w:val="24"/>
          <w:szCs w:val="24"/>
        </w:rPr>
        <w:t xml:space="preserve"> et al., 2024).</w:t>
      </w:r>
    </w:p>
    <w:p w14:paraId="3E34DC0D" w14:textId="5FD71A19"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The human-rights model offers the most persuasive response to these limitations without abandoning the social model. It protects recognition of impairment-related needs while requiring equality, accessibility and participation. Lawson and Beckett (2021) nevertheless caution against treating the two models as identical: rights language alone does not explain the social production of disability, while barrier analysis alone does not specify enforceable </w:t>
      </w:r>
      <w:r w:rsidRPr="00FE2309">
        <w:rPr>
          <w:rFonts w:ascii="Times New Roman" w:hAnsi="Times New Roman" w:cs="Times New Roman"/>
          <w:sz w:val="24"/>
          <w:szCs w:val="24"/>
        </w:rPr>
        <w:lastRenderedPageBreak/>
        <w:t>obligations. Their complementarity supports a balanced practice in which bodily experience is heard, structural barriers are challenged</w:t>
      </w:r>
      <w:r w:rsidR="004F2EA8" w:rsidRPr="00FE2309">
        <w:rPr>
          <w:rFonts w:ascii="Times New Roman" w:hAnsi="Times New Roman" w:cs="Times New Roman"/>
          <w:sz w:val="24"/>
          <w:szCs w:val="24"/>
        </w:rPr>
        <w:t>,</w:t>
      </w:r>
      <w:r w:rsidRPr="00FE2309">
        <w:rPr>
          <w:rFonts w:ascii="Times New Roman" w:hAnsi="Times New Roman" w:cs="Times New Roman"/>
          <w:sz w:val="24"/>
          <w:szCs w:val="24"/>
        </w:rPr>
        <w:t xml:space="preserve"> and public authorities remain accountable.</w:t>
      </w:r>
    </w:p>
    <w:p w14:paraId="0CEABC29" w14:textId="77777777" w:rsidR="00043CB6" w:rsidRPr="00AF6EE4" w:rsidRDefault="007463D4" w:rsidP="00FE2309">
      <w:pPr>
        <w:pStyle w:val="EssayHeading1"/>
        <w:jc w:val="both"/>
        <w:rPr>
          <w:rFonts w:ascii="Times New Roman" w:hAnsi="Times New Roman" w:cs="Times New Roman"/>
          <w:color w:val="4472C4" w:themeColor="accent1"/>
          <w:szCs w:val="24"/>
        </w:rPr>
      </w:pPr>
      <w:r w:rsidRPr="00AF6EE4">
        <w:rPr>
          <w:rFonts w:ascii="Times New Roman" w:hAnsi="Times New Roman" w:cs="Times New Roman"/>
          <w:color w:val="4472C4" w:themeColor="accent1"/>
          <w:szCs w:val="24"/>
        </w:rPr>
        <w:t>5. Application to assessment and support planning</w:t>
      </w:r>
    </w:p>
    <w:p w14:paraId="244137C7" w14:textId="656D7C50"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In the selected setting, the Care Act 2014 provides a strong legal route from theory to practice. Section 1 requires local authorities to promote wellbeing, including personal dignity, control over day-to-day life, participation and suitable accommodation. Section 9 requires an assessment where an adult appears to have care and support needs, irrespective of the authority’s view of eligibility. Current statutory guidance states that adult care and support should achieve outcomes that matter to the person and that care functions must focus on the person’s needs and goals (Department of Health and Social Care, 2025). These duties reflect the social model</w:t>
      </w:r>
      <w:r w:rsidR="004F2EA8" w:rsidRPr="00FE2309">
        <w:rPr>
          <w:rFonts w:ascii="Times New Roman" w:hAnsi="Times New Roman" w:cs="Times New Roman"/>
          <w:sz w:val="24"/>
          <w:szCs w:val="24"/>
        </w:rPr>
        <w:t>, as assessment explores disabling conditions and</w:t>
      </w:r>
      <w:r w:rsidRPr="00FE2309">
        <w:rPr>
          <w:rFonts w:ascii="Times New Roman" w:hAnsi="Times New Roman" w:cs="Times New Roman"/>
          <w:sz w:val="24"/>
          <w:szCs w:val="24"/>
        </w:rPr>
        <w:t xml:space="preserve"> personal assistance needs.</w:t>
      </w:r>
    </w:p>
    <w:p w14:paraId="7505A0AF" w14:textId="71F9D3B3"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For example, an adult with a mobility impairment who cannot maintain employment may initially be recorded as having difficulty travelling or completing daily activities. A social-model assessment would examine the inaccessible entrance at work, unreliable accessible transport, inflexible support times and absence of suitable equipment. The plan might combine personal assistance with an </w:t>
      </w:r>
      <w:r w:rsidR="004F2EA8" w:rsidRPr="00FE2309">
        <w:rPr>
          <w:rFonts w:ascii="Times New Roman" w:hAnsi="Times New Roman" w:cs="Times New Roman"/>
          <w:sz w:val="24"/>
          <w:szCs w:val="24"/>
        </w:rPr>
        <w:t>occupational therapy referral, housing or workplace liaison, travel support,</w:t>
      </w:r>
      <w:r w:rsidRPr="00FE2309">
        <w:rPr>
          <w:rFonts w:ascii="Times New Roman" w:hAnsi="Times New Roman" w:cs="Times New Roman"/>
          <w:sz w:val="24"/>
          <w:szCs w:val="24"/>
        </w:rPr>
        <w:t xml:space="preserve"> and information about reasonable adjustments. Under section 20 of the Equality Act 2010, service providers have a duty to make reasonable adjustments. NICE (2018) also recommends accessible information, involvement in assessment and care planning, and support for decision-making. These measures translate person-centred care from a sympathetic attitude into coordinated action on the person’s environment.</w:t>
      </w:r>
    </w:p>
    <w:p w14:paraId="73F26025"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The planning conversation must itself be accessible and co-produced. Information should be offered in the person’s preferred format; meetings should occur at an accessible time and place; and the adult should decide whether family, an advocate or another supporter participates. Outcomes should be written in the person’s terms and linked to responsibilities, timescales and review arrangements. Regulation 9 similarly requires collaboration, reasonable adjustments and support to understand choices and balance risks and benefits (Care Quality Commission, 2025). This approach redistributes power, but participation can become tokenistic when professionals control the agenda or present only options that fit existing contracts. Burns, McGinn and Fitzsimons (2023) show that bureaucracy and limited resources can obstruct meaningful co-production.</w:t>
      </w:r>
    </w:p>
    <w:p w14:paraId="345F4DF9" w14:textId="3A6E02EB"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lastRenderedPageBreak/>
        <w:t>Implementation also exposes a gap between legal aspiration and material capacity. Personal budgets may increase control only where an accessible service market and stable workforce exist. Prevention and independence duties do not</w:t>
      </w:r>
      <w:r w:rsidR="004F2EA8" w:rsidRPr="00FE2309">
        <w:rPr>
          <w:rFonts w:ascii="Times New Roman" w:hAnsi="Times New Roman" w:cs="Times New Roman"/>
          <w:sz w:val="24"/>
          <w:szCs w:val="24"/>
        </w:rPr>
        <w:t>, in themselves, produce accessible housing, transport,</w:t>
      </w:r>
      <w:r w:rsidRPr="00FE2309">
        <w:rPr>
          <w:rFonts w:ascii="Times New Roman" w:hAnsi="Times New Roman" w:cs="Times New Roman"/>
          <w:sz w:val="24"/>
          <w:szCs w:val="24"/>
        </w:rPr>
        <w:t xml:space="preserve"> or sufficient support. Marczak, </w:t>
      </w:r>
      <w:proofErr w:type="spellStart"/>
      <w:r w:rsidRPr="00FE2309">
        <w:rPr>
          <w:rFonts w:ascii="Times New Roman" w:hAnsi="Times New Roman" w:cs="Times New Roman"/>
          <w:sz w:val="24"/>
          <w:szCs w:val="24"/>
        </w:rPr>
        <w:t>Wistow</w:t>
      </w:r>
      <w:proofErr w:type="spellEnd"/>
      <w:r w:rsidRPr="00FE2309">
        <w:rPr>
          <w:rFonts w:ascii="Times New Roman" w:hAnsi="Times New Roman" w:cs="Times New Roman"/>
          <w:sz w:val="24"/>
          <w:szCs w:val="24"/>
        </w:rPr>
        <w:t xml:space="preserve"> and Fernandez (2024) found that English councils faced barriers in translating Care Act prevention duties into sustainable practice, including declining resources and uneven partnership working. Similarly, Stevens et al. (2024) warn that relationship- and strengths-based approaches can be weakened when services remain dominated by eligibility and resource management. Thus, the social model improves professional reasoning, but its promise cannot be achieved solely at the assessment desk.</w:t>
      </w:r>
    </w:p>
    <w:p w14:paraId="473F1DE7" w14:textId="77777777" w:rsidR="00043CB6" w:rsidRPr="00DF1102" w:rsidRDefault="007463D4" w:rsidP="00FE2309">
      <w:pPr>
        <w:pStyle w:val="EssayHeading1"/>
        <w:jc w:val="both"/>
        <w:rPr>
          <w:rFonts w:ascii="Times New Roman" w:hAnsi="Times New Roman" w:cs="Times New Roman"/>
          <w:color w:val="4472C4" w:themeColor="accent1"/>
          <w:szCs w:val="24"/>
        </w:rPr>
      </w:pPr>
      <w:r w:rsidRPr="00DF1102">
        <w:rPr>
          <w:rFonts w:ascii="Times New Roman" w:hAnsi="Times New Roman" w:cs="Times New Roman"/>
          <w:color w:val="4472C4" w:themeColor="accent1"/>
          <w:szCs w:val="24"/>
        </w:rPr>
        <w:t>6. Influence on policy and professional practice</w:t>
      </w:r>
    </w:p>
    <w:p w14:paraId="5B6AF597" w14:textId="159991AA"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The model’s influence is visible in the language of wellbeing, personalisation, independent living, reasonable adjustment and co-production across English policy. The national reform programme seeks personalised care, choice, control</w:t>
      </w:r>
      <w:r w:rsidR="004F2EA8" w:rsidRPr="00FE2309">
        <w:rPr>
          <w:rFonts w:ascii="Times New Roman" w:hAnsi="Times New Roman" w:cs="Times New Roman"/>
          <w:sz w:val="24"/>
          <w:szCs w:val="24"/>
        </w:rPr>
        <w:t>, and support to help people</w:t>
      </w:r>
      <w:r w:rsidRPr="00FE2309">
        <w:rPr>
          <w:rFonts w:ascii="Times New Roman" w:hAnsi="Times New Roman" w:cs="Times New Roman"/>
          <w:sz w:val="24"/>
          <w:szCs w:val="24"/>
        </w:rPr>
        <w:t xml:space="preserve"> remain independent at home (Department of Health and Social Care, 2023). CQC Regulation 9 makes collaborative assessment and care reflecting needs and preferences part of regulatory expectations, while the Equality Act 2010 places anticipatory responsibility on services rather than requiring disabled people to adapt. Together, these measures represent a substantial movement away from medical paternalism.</w:t>
      </w:r>
    </w:p>
    <w:p w14:paraId="315C976B" w14:textId="6B971DCC"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However, policy adoption should not be confused with implementation. Personalisation can individualise responsibility if it reduces citizenship to purchasing care from a limited market. A professional may produce a formally person-centred plan while structural obstacles remain untouched. Effective social-model practice therefore requires partnership across social care, health, housing, transport, employers and disabled people’s organisations. It also requires practitioners to record unmet </w:t>
      </w:r>
      <w:r w:rsidR="004F2EA8" w:rsidRPr="00FE2309">
        <w:rPr>
          <w:rFonts w:ascii="Times New Roman" w:hAnsi="Times New Roman" w:cs="Times New Roman"/>
          <w:sz w:val="24"/>
          <w:szCs w:val="24"/>
        </w:rPr>
        <w:t>needs</w:t>
      </w:r>
      <w:r w:rsidRPr="00FE2309">
        <w:rPr>
          <w:rFonts w:ascii="Times New Roman" w:hAnsi="Times New Roman" w:cs="Times New Roman"/>
          <w:sz w:val="24"/>
          <w:szCs w:val="24"/>
        </w:rPr>
        <w:t xml:space="preserve"> and escalate systemic barriers rather than redefining aspirations to fit a restricted budget. The model’s deepest professional influence is consequently ethical and political: it requires practitioners to examine how their own procedures distribute power and exclusion.</w:t>
      </w:r>
    </w:p>
    <w:p w14:paraId="4829BD7C" w14:textId="77777777" w:rsidR="00043CB6" w:rsidRPr="00DF1102" w:rsidRDefault="007463D4" w:rsidP="00FE2309">
      <w:pPr>
        <w:pStyle w:val="EssayHeading1"/>
        <w:jc w:val="both"/>
        <w:rPr>
          <w:rFonts w:ascii="Times New Roman" w:hAnsi="Times New Roman" w:cs="Times New Roman"/>
          <w:color w:val="4472C4" w:themeColor="accent1"/>
          <w:szCs w:val="24"/>
        </w:rPr>
      </w:pPr>
      <w:r w:rsidRPr="00DF1102">
        <w:rPr>
          <w:rFonts w:ascii="Times New Roman" w:hAnsi="Times New Roman" w:cs="Times New Roman"/>
          <w:color w:val="4472C4" w:themeColor="accent1"/>
          <w:szCs w:val="24"/>
        </w:rPr>
        <w:t>7. Recommendations</w:t>
      </w:r>
    </w:p>
    <w:p w14:paraId="0457212E"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First, local authorities should introduce a co-produced accessibility and barrier audit within every assessment and review. Disabled people’s organisations should help design the questions, formats and quality standards. This would make housing, transport, digital access, communication, attitudes and service rules visible alongside impairment-related needs. The </w:t>
      </w:r>
      <w:r w:rsidRPr="00FE2309">
        <w:rPr>
          <w:rFonts w:ascii="Times New Roman" w:hAnsi="Times New Roman" w:cs="Times New Roman"/>
          <w:sz w:val="24"/>
          <w:szCs w:val="24"/>
        </w:rPr>
        <w:lastRenderedPageBreak/>
        <w:t>likely benefits are more relevant plans, earlier prevention and clearer accountability. Its limitations are the additional time, training and cost required, and the danger that an audit becomes another checklist unless the council can fund or influence solutions.</w:t>
      </w:r>
    </w:p>
    <w:p w14:paraId="1DA0A11A"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Second, each plan should include person-defined outcomes, a positive risk-enablement record and a named multi-agency action owner. Reviews should ask whether barriers were removed and whether the adult’s participation improved, not only whether scheduled care was delivered. This could strengthen autonomy and prevent risk-averse practice from becoming paternalistic. Nevertheless, positive risk-taking requires skilled judgement, safeguarding arrangements and regular review; without these safeguards, either autonomy or safety may be compromised.</w:t>
      </w:r>
    </w:p>
    <w:p w14:paraId="36512F8C" w14:textId="09A44455" w:rsidR="00043CB6"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 xml:space="preserve">Third, councils should report aggregated information on recurring barriers, unmet </w:t>
      </w:r>
      <w:r w:rsidR="004F2EA8" w:rsidRPr="00FE2309">
        <w:rPr>
          <w:rFonts w:ascii="Times New Roman" w:hAnsi="Times New Roman" w:cs="Times New Roman"/>
          <w:sz w:val="24"/>
          <w:szCs w:val="24"/>
        </w:rPr>
        <w:t>needs,</w:t>
      </w:r>
      <w:r w:rsidRPr="00FE2309">
        <w:rPr>
          <w:rFonts w:ascii="Times New Roman" w:hAnsi="Times New Roman" w:cs="Times New Roman"/>
          <w:sz w:val="24"/>
          <w:szCs w:val="24"/>
        </w:rPr>
        <w:t xml:space="preserve"> and outcome achievement, and use it in commissioning and Equality Act compliance. Governance panels should include paid disabled representatives with accessible participation support. Such feedback could convert individual assessments into structural change and reduce tokenistic co-production. The limitations are </w:t>
      </w:r>
      <w:r w:rsidR="004F2EA8" w:rsidRPr="00FE2309">
        <w:rPr>
          <w:rFonts w:ascii="Times New Roman" w:hAnsi="Times New Roman" w:cs="Times New Roman"/>
          <w:sz w:val="24"/>
          <w:szCs w:val="24"/>
        </w:rPr>
        <w:t>data quality issues, privacy risks,</w:t>
      </w:r>
      <w:r w:rsidRPr="00FE2309">
        <w:rPr>
          <w:rFonts w:ascii="Times New Roman" w:hAnsi="Times New Roman" w:cs="Times New Roman"/>
          <w:sz w:val="24"/>
          <w:szCs w:val="24"/>
        </w:rPr>
        <w:t xml:space="preserve"> and administrative </w:t>
      </w:r>
      <w:r w:rsidR="004F2EA8" w:rsidRPr="00FE2309">
        <w:rPr>
          <w:rFonts w:ascii="Times New Roman" w:hAnsi="Times New Roman" w:cs="Times New Roman"/>
          <w:sz w:val="24"/>
          <w:szCs w:val="24"/>
        </w:rPr>
        <w:t>costs</w:t>
      </w:r>
      <w:r w:rsidRPr="00FE2309">
        <w:rPr>
          <w:rFonts w:ascii="Times New Roman" w:hAnsi="Times New Roman" w:cs="Times New Roman"/>
          <w:sz w:val="24"/>
          <w:szCs w:val="24"/>
        </w:rPr>
        <w:t>. Transparent reporting may also reveal needs that councils lack resources to meet, so implementation must be accompanied by realistic funding and joint action across local services.</w:t>
      </w:r>
    </w:p>
    <w:p w14:paraId="7015CAD5" w14:textId="77777777" w:rsidR="00FE2309" w:rsidRPr="00FE2309" w:rsidRDefault="00FE2309" w:rsidP="00FE2309">
      <w:pPr>
        <w:rPr>
          <w:rFonts w:ascii="Times New Roman" w:hAnsi="Times New Roman" w:cs="Times New Roman"/>
          <w:sz w:val="24"/>
          <w:szCs w:val="24"/>
        </w:rPr>
      </w:pPr>
    </w:p>
    <w:p w14:paraId="6399E42D" w14:textId="77777777" w:rsidR="00043CB6" w:rsidRPr="00DF1102" w:rsidRDefault="007463D4" w:rsidP="00FE2309">
      <w:pPr>
        <w:pStyle w:val="EssayHeading1"/>
        <w:jc w:val="both"/>
        <w:rPr>
          <w:rFonts w:ascii="Times New Roman" w:hAnsi="Times New Roman" w:cs="Times New Roman"/>
          <w:color w:val="4472C4" w:themeColor="accent1"/>
          <w:szCs w:val="24"/>
        </w:rPr>
      </w:pPr>
      <w:r w:rsidRPr="00DF1102">
        <w:rPr>
          <w:rFonts w:ascii="Times New Roman" w:hAnsi="Times New Roman" w:cs="Times New Roman"/>
          <w:color w:val="4472C4" w:themeColor="accent1"/>
          <w:szCs w:val="24"/>
        </w:rPr>
        <w:t>8. Conclusion</w:t>
      </w:r>
    </w:p>
    <w:p w14:paraId="21D375C8"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The social model of disability remains a powerful foundation for person-centred care because it replaces an individual-deficit question with a demand to identify and remove disabling barriers. In local-authority assessment and support planning, it promotes whole-life outcomes, accessible participation, co-production, reasonable adjustment and professional accountability. Its influence is evident in the Care Act, equality law, regulation and personalisation policy.</w:t>
      </w:r>
    </w:p>
    <w:p w14:paraId="485A2E8E"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t>However, the model is not sufficient on its own. A strict separation of impairment and disability can obscure pain, fluctuating conditions and desired treatment; a universal account can overlook intersecting inequalities; and the language of independence or strengths can mask reliance on relationships or rationed provision. Combining social analysis with relational and human-rights approaches offers a more complete basis for practice. Ultimately, person-centred planning succeeds only when individual voice is matched by enforceable duties, organisational capacity and coordinated action on the environments in which disabled adults live.</w:t>
      </w:r>
    </w:p>
    <w:p w14:paraId="46B8E091" w14:textId="77777777" w:rsidR="00043CB6" w:rsidRPr="00FE2309" w:rsidRDefault="007463D4" w:rsidP="00FE2309">
      <w:pPr>
        <w:rPr>
          <w:rFonts w:ascii="Times New Roman" w:hAnsi="Times New Roman" w:cs="Times New Roman"/>
          <w:sz w:val="24"/>
          <w:szCs w:val="24"/>
        </w:rPr>
      </w:pPr>
      <w:r w:rsidRPr="00FE2309">
        <w:rPr>
          <w:rFonts w:ascii="Times New Roman" w:hAnsi="Times New Roman" w:cs="Times New Roman"/>
          <w:sz w:val="24"/>
          <w:szCs w:val="24"/>
        </w:rPr>
        <w:br w:type="page"/>
      </w:r>
    </w:p>
    <w:p w14:paraId="3D8BF27E" w14:textId="77777777" w:rsidR="00043CB6" w:rsidRPr="00FE2309" w:rsidRDefault="007463D4" w:rsidP="00FE2309">
      <w:pPr>
        <w:pStyle w:val="EssayHeading1"/>
        <w:pageBreakBefore/>
        <w:jc w:val="both"/>
        <w:rPr>
          <w:rFonts w:ascii="Times New Roman" w:hAnsi="Times New Roman" w:cs="Times New Roman"/>
          <w:szCs w:val="24"/>
        </w:rPr>
      </w:pPr>
      <w:r w:rsidRPr="00FE2309">
        <w:rPr>
          <w:rFonts w:ascii="Times New Roman" w:hAnsi="Times New Roman" w:cs="Times New Roman"/>
          <w:szCs w:val="24"/>
        </w:rPr>
        <w:lastRenderedPageBreak/>
        <w:t>References</w:t>
      </w:r>
    </w:p>
    <w:p w14:paraId="3CE2A11E" w14:textId="6F954E59"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Barnes, C. and Mercer, G. (2010) </w:t>
      </w:r>
      <w:r w:rsidRPr="00FE2309">
        <w:rPr>
          <w:rFonts w:ascii="Times New Roman" w:hAnsi="Times New Roman" w:cs="Times New Roman"/>
          <w:i/>
          <w:sz w:val="24"/>
          <w:szCs w:val="24"/>
        </w:rPr>
        <w:t>Exploring disability</w:t>
      </w:r>
      <w:r w:rsidRPr="00FE2309">
        <w:rPr>
          <w:rFonts w:ascii="Times New Roman" w:hAnsi="Times New Roman" w:cs="Times New Roman"/>
          <w:sz w:val="24"/>
          <w:szCs w:val="24"/>
        </w:rPr>
        <w:t xml:space="preserve">. 2nd </w:t>
      </w:r>
      <w:proofErr w:type="spellStart"/>
      <w:r w:rsidRPr="00FE2309">
        <w:rPr>
          <w:rFonts w:ascii="Times New Roman" w:hAnsi="Times New Roman" w:cs="Times New Roman"/>
          <w:sz w:val="24"/>
          <w:szCs w:val="24"/>
        </w:rPr>
        <w:t>edn</w:t>
      </w:r>
      <w:proofErr w:type="spellEnd"/>
      <w:r w:rsidRPr="00FE2309">
        <w:rPr>
          <w:rFonts w:ascii="Times New Roman" w:hAnsi="Times New Roman" w:cs="Times New Roman"/>
          <w:sz w:val="24"/>
          <w:szCs w:val="24"/>
        </w:rPr>
        <w:t>. Cambridge: Polity Press.</w:t>
      </w:r>
    </w:p>
    <w:p w14:paraId="5D4BD177" w14:textId="457AE754"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Burns, P., McGinn, T. and Fitzsimons, L. (2023) ‘Coproduction with service users in adult social work: A study of service users’ and social workers’ experiences in Northern Ireland’, </w:t>
      </w:r>
      <w:r w:rsidRPr="00FE2309">
        <w:rPr>
          <w:rFonts w:ascii="Times New Roman" w:hAnsi="Times New Roman" w:cs="Times New Roman"/>
          <w:i/>
          <w:sz w:val="24"/>
          <w:szCs w:val="24"/>
        </w:rPr>
        <w:t>The British Journal of Social Work</w:t>
      </w:r>
      <w:r w:rsidRPr="00FE2309">
        <w:rPr>
          <w:rFonts w:ascii="Times New Roman" w:hAnsi="Times New Roman" w:cs="Times New Roman"/>
          <w:sz w:val="24"/>
          <w:szCs w:val="24"/>
        </w:rPr>
        <w:t xml:space="preserve">, 53(8), pp. 3566–3583. </w:t>
      </w:r>
      <w:proofErr w:type="spellStart"/>
      <w:r w:rsidRPr="00FE2309">
        <w:rPr>
          <w:rFonts w:ascii="Times New Roman" w:hAnsi="Times New Roman" w:cs="Times New Roman"/>
          <w:sz w:val="24"/>
          <w:szCs w:val="24"/>
        </w:rPr>
        <w:t>doi</w:t>
      </w:r>
      <w:proofErr w:type="spellEnd"/>
      <w:r w:rsidRPr="00FE2309">
        <w:rPr>
          <w:rFonts w:ascii="Times New Roman" w:hAnsi="Times New Roman" w:cs="Times New Roman"/>
          <w:sz w:val="24"/>
          <w:szCs w:val="24"/>
        </w:rPr>
        <w:t>: 10.1093/</w:t>
      </w:r>
      <w:proofErr w:type="spellStart"/>
      <w:r w:rsidRPr="00FE2309">
        <w:rPr>
          <w:rFonts w:ascii="Times New Roman" w:hAnsi="Times New Roman" w:cs="Times New Roman"/>
          <w:sz w:val="24"/>
          <w:szCs w:val="24"/>
        </w:rPr>
        <w:t>bjsw</w:t>
      </w:r>
      <w:proofErr w:type="spellEnd"/>
      <w:r w:rsidRPr="00FE2309">
        <w:rPr>
          <w:rFonts w:ascii="Times New Roman" w:hAnsi="Times New Roman" w:cs="Times New Roman"/>
          <w:sz w:val="24"/>
          <w:szCs w:val="24"/>
        </w:rPr>
        <w:t>/bcad151.</w:t>
      </w:r>
    </w:p>
    <w:p w14:paraId="40AFACB4" w14:textId="0A488140" w:rsidR="00043CB6" w:rsidRPr="00FE2309" w:rsidRDefault="007463D4" w:rsidP="00FE2309">
      <w:pPr>
        <w:pStyle w:val="ListParagraph"/>
        <w:numPr>
          <w:ilvl w:val="0"/>
          <w:numId w:val="6"/>
        </w:numPr>
        <w:rPr>
          <w:rFonts w:ascii="Times New Roman" w:hAnsi="Times New Roman" w:cs="Times New Roman"/>
          <w:sz w:val="24"/>
          <w:szCs w:val="24"/>
        </w:rPr>
      </w:pPr>
      <w:proofErr w:type="spellStart"/>
      <w:r w:rsidRPr="00FE2309">
        <w:rPr>
          <w:rFonts w:ascii="Times New Roman" w:hAnsi="Times New Roman" w:cs="Times New Roman"/>
          <w:sz w:val="24"/>
          <w:szCs w:val="24"/>
        </w:rPr>
        <w:t>Caiels</w:t>
      </w:r>
      <w:proofErr w:type="spellEnd"/>
      <w:r w:rsidRPr="00FE2309">
        <w:rPr>
          <w:rFonts w:ascii="Times New Roman" w:hAnsi="Times New Roman" w:cs="Times New Roman"/>
          <w:sz w:val="24"/>
          <w:szCs w:val="24"/>
        </w:rPr>
        <w:t xml:space="preserve">, J., Milne, A. and Beadle-Brown, J. (2021) ‘Strengths-based approaches in social work and social care: Reviewing the evidence’, </w:t>
      </w:r>
      <w:r w:rsidRPr="00FE2309">
        <w:rPr>
          <w:rFonts w:ascii="Times New Roman" w:hAnsi="Times New Roman" w:cs="Times New Roman"/>
          <w:i/>
          <w:sz w:val="24"/>
          <w:szCs w:val="24"/>
        </w:rPr>
        <w:t>Journal of Long-Term Care</w:t>
      </w:r>
      <w:r w:rsidRPr="00FE2309">
        <w:rPr>
          <w:rFonts w:ascii="Times New Roman" w:hAnsi="Times New Roman" w:cs="Times New Roman"/>
          <w:sz w:val="24"/>
          <w:szCs w:val="24"/>
        </w:rPr>
        <w:t xml:space="preserve">, pp. 401–422. </w:t>
      </w:r>
      <w:proofErr w:type="spellStart"/>
      <w:r w:rsidRPr="00FE2309">
        <w:rPr>
          <w:rFonts w:ascii="Times New Roman" w:hAnsi="Times New Roman" w:cs="Times New Roman"/>
          <w:sz w:val="24"/>
          <w:szCs w:val="24"/>
        </w:rPr>
        <w:t>doi</w:t>
      </w:r>
      <w:proofErr w:type="spellEnd"/>
      <w:r w:rsidRPr="00FE2309">
        <w:rPr>
          <w:rFonts w:ascii="Times New Roman" w:hAnsi="Times New Roman" w:cs="Times New Roman"/>
          <w:sz w:val="24"/>
          <w:szCs w:val="24"/>
        </w:rPr>
        <w:t>: 10.31389/jltc.102.</w:t>
      </w:r>
    </w:p>
    <w:p w14:paraId="2E815380" w14:textId="1F729040" w:rsidR="00043CB6" w:rsidRPr="00FE2309" w:rsidRDefault="007463D4" w:rsidP="00FE2309">
      <w:pPr>
        <w:pStyle w:val="ListParagraph"/>
        <w:numPr>
          <w:ilvl w:val="0"/>
          <w:numId w:val="6"/>
        </w:numPr>
        <w:rPr>
          <w:rFonts w:ascii="Times New Roman" w:hAnsi="Times New Roman" w:cs="Times New Roman"/>
          <w:sz w:val="24"/>
          <w:szCs w:val="24"/>
        </w:rPr>
      </w:pPr>
      <w:proofErr w:type="spellStart"/>
      <w:r w:rsidRPr="00FE2309">
        <w:rPr>
          <w:rFonts w:ascii="Times New Roman" w:hAnsi="Times New Roman" w:cs="Times New Roman"/>
          <w:sz w:val="24"/>
          <w:szCs w:val="24"/>
        </w:rPr>
        <w:t>Caiels</w:t>
      </w:r>
      <w:proofErr w:type="spellEnd"/>
      <w:r w:rsidRPr="00FE2309">
        <w:rPr>
          <w:rFonts w:ascii="Times New Roman" w:hAnsi="Times New Roman" w:cs="Times New Roman"/>
          <w:sz w:val="24"/>
          <w:szCs w:val="24"/>
        </w:rPr>
        <w:t xml:space="preserve">, J., </w:t>
      </w:r>
      <w:proofErr w:type="spellStart"/>
      <w:r w:rsidRPr="00FE2309">
        <w:rPr>
          <w:rFonts w:ascii="Times New Roman" w:hAnsi="Times New Roman" w:cs="Times New Roman"/>
          <w:sz w:val="24"/>
          <w:szCs w:val="24"/>
        </w:rPr>
        <w:t>Silarova</w:t>
      </w:r>
      <w:proofErr w:type="spellEnd"/>
      <w:r w:rsidRPr="00FE2309">
        <w:rPr>
          <w:rFonts w:ascii="Times New Roman" w:hAnsi="Times New Roman" w:cs="Times New Roman"/>
          <w:sz w:val="24"/>
          <w:szCs w:val="24"/>
        </w:rPr>
        <w:t xml:space="preserve">, B., Milne, A.J. and Beadle-Brown, J. (2024) ‘Strengths-based approaches—perspectives from practitioners’, </w:t>
      </w:r>
      <w:r w:rsidRPr="00FE2309">
        <w:rPr>
          <w:rFonts w:ascii="Times New Roman" w:hAnsi="Times New Roman" w:cs="Times New Roman"/>
          <w:i/>
          <w:sz w:val="24"/>
          <w:szCs w:val="24"/>
        </w:rPr>
        <w:t>The British Journal of Social Work</w:t>
      </w:r>
      <w:r w:rsidRPr="00FE2309">
        <w:rPr>
          <w:rFonts w:ascii="Times New Roman" w:hAnsi="Times New Roman" w:cs="Times New Roman"/>
          <w:sz w:val="24"/>
          <w:szCs w:val="24"/>
        </w:rPr>
        <w:t xml:space="preserve">, 54(1), pp. 168–188. </w:t>
      </w:r>
      <w:proofErr w:type="spellStart"/>
      <w:r w:rsidRPr="00FE2309">
        <w:rPr>
          <w:rFonts w:ascii="Times New Roman" w:hAnsi="Times New Roman" w:cs="Times New Roman"/>
          <w:sz w:val="24"/>
          <w:szCs w:val="24"/>
        </w:rPr>
        <w:t>doi</w:t>
      </w:r>
      <w:proofErr w:type="spellEnd"/>
      <w:r w:rsidRPr="00FE2309">
        <w:rPr>
          <w:rFonts w:ascii="Times New Roman" w:hAnsi="Times New Roman" w:cs="Times New Roman"/>
          <w:sz w:val="24"/>
          <w:szCs w:val="24"/>
        </w:rPr>
        <w:t>: 10.1093/</w:t>
      </w:r>
      <w:proofErr w:type="spellStart"/>
      <w:r w:rsidRPr="00FE2309">
        <w:rPr>
          <w:rFonts w:ascii="Times New Roman" w:hAnsi="Times New Roman" w:cs="Times New Roman"/>
          <w:sz w:val="24"/>
          <w:szCs w:val="24"/>
        </w:rPr>
        <w:t>bjsw</w:t>
      </w:r>
      <w:proofErr w:type="spellEnd"/>
      <w:r w:rsidRPr="00FE2309">
        <w:rPr>
          <w:rFonts w:ascii="Times New Roman" w:hAnsi="Times New Roman" w:cs="Times New Roman"/>
          <w:sz w:val="24"/>
          <w:szCs w:val="24"/>
        </w:rPr>
        <w:t>/bcad186.</w:t>
      </w:r>
    </w:p>
    <w:p w14:paraId="326D34BC" w14:textId="7C1243A9"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Care Act 2014, c. 23. Available at: https://www.legislation.gov.uk/ukpga/2014/23/contents (Accessed: 22 July 2026).</w:t>
      </w:r>
    </w:p>
    <w:p w14:paraId="228CE4F8" w14:textId="11FC8BAF"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Care Quality Commission (2025) </w:t>
      </w:r>
      <w:r w:rsidRPr="00FE2309">
        <w:rPr>
          <w:rFonts w:ascii="Times New Roman" w:hAnsi="Times New Roman" w:cs="Times New Roman"/>
          <w:i/>
          <w:sz w:val="24"/>
          <w:szCs w:val="24"/>
        </w:rPr>
        <w:t>Regulation 9: Person-centred care</w:t>
      </w:r>
      <w:r w:rsidRPr="00FE2309">
        <w:rPr>
          <w:rFonts w:ascii="Times New Roman" w:hAnsi="Times New Roman" w:cs="Times New Roman"/>
          <w:sz w:val="24"/>
          <w:szCs w:val="24"/>
        </w:rPr>
        <w:t>. Available at: https://www.cqc.org.uk/guidance-regulation/providers/regulations-service-providers-and-managers/health-social-care-act/regulation-9 (Accessed: 22 July 2026).</w:t>
      </w:r>
    </w:p>
    <w:p w14:paraId="1238BB50" w14:textId="185A319E"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Department of Health and Social Care (2023) </w:t>
      </w:r>
      <w:r w:rsidRPr="00FE2309">
        <w:rPr>
          <w:rFonts w:ascii="Times New Roman" w:hAnsi="Times New Roman" w:cs="Times New Roman"/>
          <w:i/>
          <w:sz w:val="24"/>
          <w:szCs w:val="24"/>
        </w:rPr>
        <w:t>Next steps to put People at the Heart of Care</w:t>
      </w:r>
      <w:r w:rsidRPr="00FE2309">
        <w:rPr>
          <w:rFonts w:ascii="Times New Roman" w:hAnsi="Times New Roman" w:cs="Times New Roman"/>
          <w:sz w:val="24"/>
          <w:szCs w:val="24"/>
        </w:rPr>
        <w:t>. Available at: https://www.gov.uk/government/publications/adult-social-care-system-reform-next-steps-to-put-people-at-the-heart-of-care/next-steps-to-put-people-at-the-heart-of-care (Accessed: 22 July 2026).</w:t>
      </w:r>
    </w:p>
    <w:p w14:paraId="2576AEE7" w14:textId="67014A56"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Department of Health and Social Care (2025) </w:t>
      </w:r>
      <w:r w:rsidRPr="00FE2309">
        <w:rPr>
          <w:rFonts w:ascii="Times New Roman" w:hAnsi="Times New Roman" w:cs="Times New Roman"/>
          <w:i/>
          <w:sz w:val="24"/>
          <w:szCs w:val="24"/>
        </w:rPr>
        <w:t>Care and support statutory guidance</w:t>
      </w:r>
      <w:r w:rsidRPr="00FE2309">
        <w:rPr>
          <w:rFonts w:ascii="Times New Roman" w:hAnsi="Times New Roman" w:cs="Times New Roman"/>
          <w:sz w:val="24"/>
          <w:szCs w:val="24"/>
        </w:rPr>
        <w:t>. Available at: https://www.gov.uk/government/publications/care-act-statutory-guidance/care-and-support-statutory-guidance (Accessed: 22 July 2026).</w:t>
      </w:r>
    </w:p>
    <w:p w14:paraId="5520884B" w14:textId="5D376403"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Equality Act 2010, c. 15. Available at: https://www.legislation.gov.uk/ukpga/2010/15/contents (Accessed: 22 July 2026).</w:t>
      </w:r>
    </w:p>
    <w:p w14:paraId="5C197DCF" w14:textId="6156B3D2"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Goodley, D. (2017) </w:t>
      </w:r>
      <w:r w:rsidRPr="00FE2309">
        <w:rPr>
          <w:rFonts w:ascii="Times New Roman" w:hAnsi="Times New Roman" w:cs="Times New Roman"/>
          <w:i/>
          <w:sz w:val="24"/>
          <w:szCs w:val="24"/>
        </w:rPr>
        <w:t>Disability studies: An interdisciplinary introduction</w:t>
      </w:r>
      <w:r w:rsidRPr="00FE2309">
        <w:rPr>
          <w:rFonts w:ascii="Times New Roman" w:hAnsi="Times New Roman" w:cs="Times New Roman"/>
          <w:sz w:val="24"/>
          <w:szCs w:val="24"/>
        </w:rPr>
        <w:t xml:space="preserve">. 2nd </w:t>
      </w:r>
      <w:proofErr w:type="spellStart"/>
      <w:r w:rsidRPr="00FE2309">
        <w:rPr>
          <w:rFonts w:ascii="Times New Roman" w:hAnsi="Times New Roman" w:cs="Times New Roman"/>
          <w:sz w:val="24"/>
          <w:szCs w:val="24"/>
        </w:rPr>
        <w:t>edn</w:t>
      </w:r>
      <w:proofErr w:type="spellEnd"/>
      <w:r w:rsidRPr="00FE2309">
        <w:rPr>
          <w:rFonts w:ascii="Times New Roman" w:hAnsi="Times New Roman" w:cs="Times New Roman"/>
          <w:sz w:val="24"/>
          <w:szCs w:val="24"/>
        </w:rPr>
        <w:t>. London: SAGE.</w:t>
      </w:r>
    </w:p>
    <w:p w14:paraId="58FC62DD" w14:textId="50675872"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Lawson, A. and Beckett, A.E. (2021) ‘The social and human rights models of disability: Towards a complementarity thesis’, </w:t>
      </w:r>
      <w:r w:rsidRPr="00FE2309">
        <w:rPr>
          <w:rFonts w:ascii="Times New Roman" w:hAnsi="Times New Roman" w:cs="Times New Roman"/>
          <w:i/>
          <w:sz w:val="24"/>
          <w:szCs w:val="24"/>
        </w:rPr>
        <w:t>The International Journal of Human Rights</w:t>
      </w:r>
      <w:r w:rsidRPr="00FE2309">
        <w:rPr>
          <w:rFonts w:ascii="Times New Roman" w:hAnsi="Times New Roman" w:cs="Times New Roman"/>
          <w:sz w:val="24"/>
          <w:szCs w:val="24"/>
        </w:rPr>
        <w:t xml:space="preserve">, 25(2), pp. 348–379. </w:t>
      </w:r>
      <w:proofErr w:type="spellStart"/>
      <w:r w:rsidRPr="00FE2309">
        <w:rPr>
          <w:rFonts w:ascii="Times New Roman" w:hAnsi="Times New Roman" w:cs="Times New Roman"/>
          <w:sz w:val="24"/>
          <w:szCs w:val="24"/>
        </w:rPr>
        <w:t>doi</w:t>
      </w:r>
      <w:proofErr w:type="spellEnd"/>
      <w:r w:rsidRPr="00FE2309">
        <w:rPr>
          <w:rFonts w:ascii="Times New Roman" w:hAnsi="Times New Roman" w:cs="Times New Roman"/>
          <w:sz w:val="24"/>
          <w:szCs w:val="24"/>
        </w:rPr>
        <w:t>: 10.1080/13642987.2020.1783533.</w:t>
      </w:r>
    </w:p>
    <w:p w14:paraId="65698B01" w14:textId="43A5FE8E"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lastRenderedPageBreak/>
        <w:t xml:space="preserve">Local Government Association (2025) </w:t>
      </w:r>
      <w:r w:rsidRPr="00FE2309">
        <w:rPr>
          <w:rFonts w:ascii="Times New Roman" w:hAnsi="Times New Roman" w:cs="Times New Roman"/>
          <w:i/>
          <w:sz w:val="24"/>
          <w:szCs w:val="24"/>
        </w:rPr>
        <w:t>Must know: Personalisation and Making It Real in adult social care</w:t>
      </w:r>
      <w:r w:rsidRPr="00FE2309">
        <w:rPr>
          <w:rFonts w:ascii="Times New Roman" w:hAnsi="Times New Roman" w:cs="Times New Roman"/>
          <w:sz w:val="24"/>
          <w:szCs w:val="24"/>
        </w:rPr>
        <w:t>. Available at: https://www.local.gov.uk/publications/must-know-personalisation-and-making-it-real-adult-social-care (Accessed: 22 July 2026).</w:t>
      </w:r>
    </w:p>
    <w:p w14:paraId="1D069396" w14:textId="5B3C4D98"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Marczak, J., </w:t>
      </w:r>
      <w:proofErr w:type="spellStart"/>
      <w:r w:rsidRPr="00FE2309">
        <w:rPr>
          <w:rFonts w:ascii="Times New Roman" w:hAnsi="Times New Roman" w:cs="Times New Roman"/>
          <w:sz w:val="24"/>
          <w:szCs w:val="24"/>
        </w:rPr>
        <w:t>Wistow</w:t>
      </w:r>
      <w:proofErr w:type="spellEnd"/>
      <w:r w:rsidRPr="00FE2309">
        <w:rPr>
          <w:rFonts w:ascii="Times New Roman" w:hAnsi="Times New Roman" w:cs="Times New Roman"/>
          <w:sz w:val="24"/>
          <w:szCs w:val="24"/>
        </w:rPr>
        <w:t xml:space="preserve">, G. and Fernandez, J.-L. (2024) ‘Ready, willing and able? Local perspectives on implementing prevention in social care in England’, </w:t>
      </w:r>
      <w:r w:rsidRPr="00FE2309">
        <w:rPr>
          <w:rFonts w:ascii="Times New Roman" w:hAnsi="Times New Roman" w:cs="Times New Roman"/>
          <w:i/>
          <w:sz w:val="24"/>
          <w:szCs w:val="24"/>
        </w:rPr>
        <w:t>The British Journal of Social Work</w:t>
      </w:r>
      <w:r w:rsidRPr="00FE2309">
        <w:rPr>
          <w:rFonts w:ascii="Times New Roman" w:hAnsi="Times New Roman" w:cs="Times New Roman"/>
          <w:sz w:val="24"/>
          <w:szCs w:val="24"/>
        </w:rPr>
        <w:t xml:space="preserve">, 54(3), pp. 1297–1318. </w:t>
      </w:r>
      <w:proofErr w:type="spellStart"/>
      <w:r w:rsidRPr="00FE2309">
        <w:rPr>
          <w:rFonts w:ascii="Times New Roman" w:hAnsi="Times New Roman" w:cs="Times New Roman"/>
          <w:sz w:val="24"/>
          <w:szCs w:val="24"/>
        </w:rPr>
        <w:t>doi</w:t>
      </w:r>
      <w:proofErr w:type="spellEnd"/>
      <w:r w:rsidRPr="00FE2309">
        <w:rPr>
          <w:rFonts w:ascii="Times New Roman" w:hAnsi="Times New Roman" w:cs="Times New Roman"/>
          <w:sz w:val="24"/>
          <w:szCs w:val="24"/>
        </w:rPr>
        <w:t>: 10.1093/</w:t>
      </w:r>
      <w:proofErr w:type="spellStart"/>
      <w:r w:rsidRPr="00FE2309">
        <w:rPr>
          <w:rFonts w:ascii="Times New Roman" w:hAnsi="Times New Roman" w:cs="Times New Roman"/>
          <w:sz w:val="24"/>
          <w:szCs w:val="24"/>
        </w:rPr>
        <w:t>bjsw</w:t>
      </w:r>
      <w:proofErr w:type="spellEnd"/>
      <w:r w:rsidRPr="00FE2309">
        <w:rPr>
          <w:rFonts w:ascii="Times New Roman" w:hAnsi="Times New Roman" w:cs="Times New Roman"/>
          <w:sz w:val="24"/>
          <w:szCs w:val="24"/>
        </w:rPr>
        <w:t>/bcae010.</w:t>
      </w:r>
    </w:p>
    <w:p w14:paraId="20589C63" w14:textId="19FC2316"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Morris, J. (1991) </w:t>
      </w:r>
      <w:r w:rsidRPr="00FE2309">
        <w:rPr>
          <w:rFonts w:ascii="Times New Roman" w:hAnsi="Times New Roman" w:cs="Times New Roman"/>
          <w:i/>
          <w:sz w:val="24"/>
          <w:szCs w:val="24"/>
        </w:rPr>
        <w:t>Pride against prejudice: Transforming attitudes to disability</w:t>
      </w:r>
      <w:r w:rsidRPr="00FE2309">
        <w:rPr>
          <w:rFonts w:ascii="Times New Roman" w:hAnsi="Times New Roman" w:cs="Times New Roman"/>
          <w:sz w:val="24"/>
          <w:szCs w:val="24"/>
        </w:rPr>
        <w:t>. London: Women’s Press.</w:t>
      </w:r>
    </w:p>
    <w:p w14:paraId="027452F7" w14:textId="3B38C11B"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National Institute for Health and Care Excellence (2018) </w:t>
      </w:r>
      <w:r w:rsidRPr="00FE2309">
        <w:rPr>
          <w:rFonts w:ascii="Times New Roman" w:hAnsi="Times New Roman" w:cs="Times New Roman"/>
          <w:i/>
          <w:sz w:val="24"/>
          <w:szCs w:val="24"/>
        </w:rPr>
        <w:t>People’s experience in adult social care services: Improving the experience of care and support for people using adult social care services</w:t>
      </w:r>
      <w:r w:rsidRPr="00FE2309">
        <w:rPr>
          <w:rFonts w:ascii="Times New Roman" w:hAnsi="Times New Roman" w:cs="Times New Roman"/>
          <w:sz w:val="24"/>
          <w:szCs w:val="24"/>
        </w:rPr>
        <w:t xml:space="preserve"> (NG86). Available at: https://www.nice.org.uk/guidance/ng86 (Accessed: 22 July 2026).</w:t>
      </w:r>
    </w:p>
    <w:p w14:paraId="439F8EC5" w14:textId="00804637"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Oliver, M. (1990) </w:t>
      </w:r>
      <w:r w:rsidRPr="00FE2309">
        <w:rPr>
          <w:rFonts w:ascii="Times New Roman" w:hAnsi="Times New Roman" w:cs="Times New Roman"/>
          <w:i/>
          <w:sz w:val="24"/>
          <w:szCs w:val="24"/>
        </w:rPr>
        <w:t>The politics of disablement</w:t>
      </w:r>
      <w:r w:rsidRPr="00FE2309">
        <w:rPr>
          <w:rFonts w:ascii="Times New Roman" w:hAnsi="Times New Roman" w:cs="Times New Roman"/>
          <w:sz w:val="24"/>
          <w:szCs w:val="24"/>
        </w:rPr>
        <w:t>. Basingstoke: Macmillan.</w:t>
      </w:r>
    </w:p>
    <w:p w14:paraId="5B34E885" w14:textId="4BBF1AE1"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Shakespeare, T. (2014) </w:t>
      </w:r>
      <w:r w:rsidRPr="00FE2309">
        <w:rPr>
          <w:rFonts w:ascii="Times New Roman" w:hAnsi="Times New Roman" w:cs="Times New Roman"/>
          <w:i/>
          <w:sz w:val="24"/>
          <w:szCs w:val="24"/>
        </w:rPr>
        <w:t>Disability rights and wrongs revisited</w:t>
      </w:r>
      <w:r w:rsidRPr="00FE2309">
        <w:rPr>
          <w:rFonts w:ascii="Times New Roman" w:hAnsi="Times New Roman" w:cs="Times New Roman"/>
          <w:sz w:val="24"/>
          <w:szCs w:val="24"/>
        </w:rPr>
        <w:t xml:space="preserve">. 2nd </w:t>
      </w:r>
      <w:proofErr w:type="spellStart"/>
      <w:r w:rsidRPr="00FE2309">
        <w:rPr>
          <w:rFonts w:ascii="Times New Roman" w:hAnsi="Times New Roman" w:cs="Times New Roman"/>
          <w:sz w:val="24"/>
          <w:szCs w:val="24"/>
        </w:rPr>
        <w:t>edn</w:t>
      </w:r>
      <w:proofErr w:type="spellEnd"/>
      <w:r w:rsidRPr="00FE2309">
        <w:rPr>
          <w:rFonts w:ascii="Times New Roman" w:hAnsi="Times New Roman" w:cs="Times New Roman"/>
          <w:sz w:val="24"/>
          <w:szCs w:val="24"/>
        </w:rPr>
        <w:t>. Abingdon: Routledge.</w:t>
      </w:r>
    </w:p>
    <w:p w14:paraId="17C915B4" w14:textId="5DDA245C"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Stevens, M., Clark, M., Carlisle, J., Brimblecombe, N. and MacGill, M. (2024) ‘Supporting meaningful implementation and evaluation of strengths-based approaches in adult social care: A theory of change for The Three Conversations’, </w:t>
      </w:r>
      <w:r w:rsidRPr="00FE2309">
        <w:rPr>
          <w:rFonts w:ascii="Times New Roman" w:hAnsi="Times New Roman" w:cs="Times New Roman"/>
          <w:i/>
          <w:sz w:val="24"/>
          <w:szCs w:val="24"/>
        </w:rPr>
        <w:t>The British Journal of Social Work</w:t>
      </w:r>
      <w:r w:rsidRPr="00FE2309">
        <w:rPr>
          <w:rFonts w:ascii="Times New Roman" w:hAnsi="Times New Roman" w:cs="Times New Roman"/>
          <w:sz w:val="24"/>
          <w:szCs w:val="24"/>
        </w:rPr>
        <w:t xml:space="preserve">, 54(6), pp. 2583–2602. </w:t>
      </w:r>
      <w:proofErr w:type="spellStart"/>
      <w:r w:rsidRPr="00FE2309">
        <w:rPr>
          <w:rFonts w:ascii="Times New Roman" w:hAnsi="Times New Roman" w:cs="Times New Roman"/>
          <w:sz w:val="24"/>
          <w:szCs w:val="24"/>
        </w:rPr>
        <w:t>doi</w:t>
      </w:r>
      <w:proofErr w:type="spellEnd"/>
      <w:r w:rsidRPr="00FE2309">
        <w:rPr>
          <w:rFonts w:ascii="Times New Roman" w:hAnsi="Times New Roman" w:cs="Times New Roman"/>
          <w:sz w:val="24"/>
          <w:szCs w:val="24"/>
        </w:rPr>
        <w:t>: 10.1093/</w:t>
      </w:r>
      <w:proofErr w:type="spellStart"/>
      <w:r w:rsidRPr="00FE2309">
        <w:rPr>
          <w:rFonts w:ascii="Times New Roman" w:hAnsi="Times New Roman" w:cs="Times New Roman"/>
          <w:sz w:val="24"/>
          <w:szCs w:val="24"/>
        </w:rPr>
        <w:t>bjsw</w:t>
      </w:r>
      <w:proofErr w:type="spellEnd"/>
      <w:r w:rsidRPr="00FE2309">
        <w:rPr>
          <w:rFonts w:ascii="Times New Roman" w:hAnsi="Times New Roman" w:cs="Times New Roman"/>
          <w:sz w:val="24"/>
          <w:szCs w:val="24"/>
        </w:rPr>
        <w:t>/bcae055.</w:t>
      </w:r>
    </w:p>
    <w:p w14:paraId="185256A3" w14:textId="028895C9"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Union of the Physically Impaired Against Segregation and Disability Alliance (1976) </w:t>
      </w:r>
      <w:r w:rsidRPr="00FE2309">
        <w:rPr>
          <w:rFonts w:ascii="Times New Roman" w:hAnsi="Times New Roman" w:cs="Times New Roman"/>
          <w:i/>
          <w:sz w:val="24"/>
          <w:szCs w:val="24"/>
        </w:rPr>
        <w:t>Fundamental principles of disability</w:t>
      </w:r>
      <w:r w:rsidRPr="00FE2309">
        <w:rPr>
          <w:rFonts w:ascii="Times New Roman" w:hAnsi="Times New Roman" w:cs="Times New Roman"/>
          <w:sz w:val="24"/>
          <w:szCs w:val="24"/>
        </w:rPr>
        <w:t>. London: UPIAS.</w:t>
      </w:r>
    </w:p>
    <w:p w14:paraId="29D26031" w14:textId="122E50AB"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United Nations Committee on the Rights of Persons with Disabilities (2017) </w:t>
      </w:r>
      <w:r w:rsidRPr="00FE2309">
        <w:rPr>
          <w:rFonts w:ascii="Times New Roman" w:hAnsi="Times New Roman" w:cs="Times New Roman"/>
          <w:i/>
          <w:sz w:val="24"/>
          <w:szCs w:val="24"/>
        </w:rPr>
        <w:t>General comment No. 5 (2017) on living independently and being included in the community</w:t>
      </w:r>
      <w:r w:rsidRPr="00FE2309">
        <w:rPr>
          <w:rFonts w:ascii="Times New Roman" w:hAnsi="Times New Roman" w:cs="Times New Roman"/>
          <w:sz w:val="24"/>
          <w:szCs w:val="24"/>
        </w:rPr>
        <w:t>, CRPD/C/GC/5. Available at: https://www.ohchr.org/en/documents/general-comments-and-recommendations/general-comment-no5-article-19-right-live (Accessed: 22 July 2026).</w:t>
      </w:r>
    </w:p>
    <w:p w14:paraId="06C0FB64" w14:textId="3A55951E" w:rsidR="00043CB6" w:rsidRPr="00FE2309" w:rsidRDefault="007463D4" w:rsidP="00FE2309">
      <w:pPr>
        <w:pStyle w:val="ListParagraph"/>
        <w:numPr>
          <w:ilvl w:val="0"/>
          <w:numId w:val="6"/>
        </w:numPr>
        <w:rPr>
          <w:rFonts w:ascii="Times New Roman" w:hAnsi="Times New Roman" w:cs="Times New Roman"/>
          <w:sz w:val="24"/>
          <w:szCs w:val="24"/>
        </w:rPr>
      </w:pPr>
      <w:r w:rsidRPr="00FE2309">
        <w:rPr>
          <w:rFonts w:ascii="Times New Roman" w:hAnsi="Times New Roman" w:cs="Times New Roman"/>
          <w:sz w:val="24"/>
          <w:szCs w:val="24"/>
        </w:rPr>
        <w:t xml:space="preserve">World Health Organization (2022) </w:t>
      </w:r>
      <w:r w:rsidRPr="00FE2309">
        <w:rPr>
          <w:rFonts w:ascii="Times New Roman" w:hAnsi="Times New Roman" w:cs="Times New Roman"/>
          <w:i/>
          <w:sz w:val="24"/>
          <w:szCs w:val="24"/>
        </w:rPr>
        <w:t>Global report on health equity for persons with disabilities</w:t>
      </w:r>
      <w:r w:rsidRPr="00FE2309">
        <w:rPr>
          <w:rFonts w:ascii="Times New Roman" w:hAnsi="Times New Roman" w:cs="Times New Roman"/>
          <w:sz w:val="24"/>
          <w:szCs w:val="24"/>
        </w:rPr>
        <w:t>. Geneva: World Health Organization. Available at: https://www.who.int/publications/i/item/9789240063600 (Accessed: 22 July 2026).</w:t>
      </w:r>
    </w:p>
    <w:p w14:paraId="1B1CA11D" w14:textId="5E985B06" w:rsidR="00043CB6" w:rsidRPr="00FE2309" w:rsidRDefault="00043CB6" w:rsidP="00FE2309">
      <w:pPr>
        <w:keepLines/>
        <w:rPr>
          <w:rFonts w:ascii="Times New Roman" w:hAnsi="Times New Roman" w:cs="Times New Roman"/>
          <w:sz w:val="24"/>
          <w:szCs w:val="24"/>
        </w:rPr>
      </w:pPr>
    </w:p>
    <w:sectPr w:rsidR="00043CB6" w:rsidRPr="00FE2309">
      <w:footerReference w:type="default" r:id="rId9"/>
      <w:pgSz w:w="11906" w:h="16838"/>
      <w:pgMar w:top="1440" w:right="1440" w:bottom="1440" w:left="1440" w:header="504"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3E081" w14:textId="77777777" w:rsidR="002C6490" w:rsidRDefault="002C6490" w:rsidP="00B21FE6">
      <w:pPr>
        <w:spacing w:after="0" w:line="240" w:lineRule="auto"/>
      </w:pPr>
      <w:r>
        <w:separator/>
      </w:r>
    </w:p>
  </w:endnote>
  <w:endnote w:type="continuationSeparator" w:id="0">
    <w:p w14:paraId="7FCFD529" w14:textId="77777777" w:rsidR="002C6490" w:rsidRDefault="002C6490"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CC90B" w14:textId="77777777" w:rsidR="00043CB6" w:rsidRDefault="007463D4">
    <w:pPr>
      <w:pStyle w:val="Footer"/>
      <w:jc w:val="center"/>
    </w:pPr>
    <w:r>
      <w:rPr>
        <w:sz w:val="18"/>
      </w:rPr>
      <w:fldChar w:fldCharType="begin"/>
    </w:r>
    <w:r>
      <w:rPr>
        <w:sz w:val="18"/>
      </w:rPr>
      <w:instrText xml:space="preserve"> PAGE </w:instrText>
    </w:r>
    <w:r>
      <w:rPr>
        <w:sz w:val="18"/>
      </w:rPr>
      <w:fldChar w:fldCharType="separate"/>
    </w:r>
    <w:r w:rsidR="0066579B">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361DB" w14:textId="77777777" w:rsidR="002C6490" w:rsidRDefault="002C6490" w:rsidP="00B21FE6">
      <w:pPr>
        <w:spacing w:after="0" w:line="240" w:lineRule="auto"/>
      </w:pPr>
      <w:r>
        <w:separator/>
      </w:r>
    </w:p>
  </w:footnote>
  <w:footnote w:type="continuationSeparator" w:id="0">
    <w:p w14:paraId="328E702D" w14:textId="77777777" w:rsidR="002C6490" w:rsidRDefault="002C6490"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3B6D7500"/>
    <w:multiLevelType w:val="hybridMultilevel"/>
    <w:tmpl w:val="4FC49314"/>
    <w:lvl w:ilvl="0" w:tplc="150A6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5"/>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2060786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43CB6"/>
    <w:rsid w:val="00052089"/>
    <w:rsid w:val="001333C2"/>
    <w:rsid w:val="001D345E"/>
    <w:rsid w:val="00220640"/>
    <w:rsid w:val="002C6490"/>
    <w:rsid w:val="002D39BD"/>
    <w:rsid w:val="00317E3D"/>
    <w:rsid w:val="00350D4F"/>
    <w:rsid w:val="00423D28"/>
    <w:rsid w:val="004B47AD"/>
    <w:rsid w:val="004F2EA8"/>
    <w:rsid w:val="004F5B88"/>
    <w:rsid w:val="0058218C"/>
    <w:rsid w:val="00594FAC"/>
    <w:rsid w:val="00610A5B"/>
    <w:rsid w:val="00630CD3"/>
    <w:rsid w:val="006465D9"/>
    <w:rsid w:val="006524ED"/>
    <w:rsid w:val="0066579B"/>
    <w:rsid w:val="006C68ED"/>
    <w:rsid w:val="006D2F2D"/>
    <w:rsid w:val="006E1FF9"/>
    <w:rsid w:val="006E38AB"/>
    <w:rsid w:val="007463D4"/>
    <w:rsid w:val="00785886"/>
    <w:rsid w:val="007F3A6A"/>
    <w:rsid w:val="00887FBB"/>
    <w:rsid w:val="008A275F"/>
    <w:rsid w:val="008F6D4B"/>
    <w:rsid w:val="009E5C5F"/>
    <w:rsid w:val="00A11336"/>
    <w:rsid w:val="00AC0780"/>
    <w:rsid w:val="00AE7DDA"/>
    <w:rsid w:val="00AF6EE4"/>
    <w:rsid w:val="00B21FE6"/>
    <w:rsid w:val="00B52F44"/>
    <w:rsid w:val="00BA1825"/>
    <w:rsid w:val="00BC79FE"/>
    <w:rsid w:val="00C558B0"/>
    <w:rsid w:val="00CE2BA3"/>
    <w:rsid w:val="00D00A38"/>
    <w:rsid w:val="00D545BA"/>
    <w:rsid w:val="00D66C96"/>
    <w:rsid w:val="00DD0F1B"/>
    <w:rsid w:val="00DF1102"/>
    <w:rsid w:val="00E04395"/>
    <w:rsid w:val="00E24980"/>
    <w:rsid w:val="00E81204"/>
    <w:rsid w:val="00F81510"/>
    <w:rsid w:val="00FA6248"/>
    <w:rsid w:val="00FE2309"/>
    <w:rsid w:val="00FE6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0DB44"/>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after="120" w:line="360" w:lineRule="auto"/>
      <w:jc w:val="both"/>
    </w:pPr>
    <w:rPr>
      <w:rFonts w:ascii="Arial" w:eastAsia="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EssayHeading1">
    <w:name w:val="Essay Heading 1"/>
    <w:pPr>
      <w:keepNext/>
      <w:keepLines/>
      <w:spacing w:before="240" w:after="120"/>
    </w:pPr>
    <w:rPr>
      <w:rFonts w:ascii="Arial" w:eastAsia="Arial" w:hAnsi="Arial"/>
      <w:b/>
      <w:color w:val="000000"/>
      <w:sz w:val="24"/>
    </w:rPr>
  </w:style>
  <w:style w:type="paragraph" w:customStyle="1" w:styleId="EssayHeading2">
    <w:name w:val="Essay Heading 2"/>
    <w:pPr>
      <w:keepNext/>
      <w:keepLines/>
      <w:spacing w:before="180" w:after="80"/>
    </w:pPr>
    <w:rPr>
      <w:rFonts w:ascii="Arial" w:eastAsia="Arial" w:hAnsi="Arial"/>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3101</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Social Model of Disability in Person-Centred Care</dc:title>
  <dc:subject>BMHP5016 Component 2 Written Assignment</dc:subject>
  <dc:creator>[Insert student name]</dc:creator>
  <cp:keywords>social model of disability; person-centred care; adult social care; Care Act 2014</cp:keywords>
  <dc:description/>
  <cp:lastModifiedBy>marie bodo</cp:lastModifiedBy>
  <cp:revision>8</cp:revision>
  <dcterms:created xsi:type="dcterms:W3CDTF">2026-07-22T13:35:00Z</dcterms:created>
  <dcterms:modified xsi:type="dcterms:W3CDTF">2026-07-22T13:58:00Z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c30f0daf-570b-4a50-858e-99725654f8de</vt:lpwstr>
  </property>
</Properties>
</file>