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Autospacing="0" w:before="240" w:afterAutospacing="0" w:after="240"/>
        <w:rPr>
          <w:rFonts w:ascii="Aptos" w:hAnsi="Aptos" w:eastAsia="Aptos" w:cs="Aptos"/>
          <w:color w:val="000000" w:themeColor="text1" w:themeShade="ff" w:themeTint="ff"/>
          <w:sz w:val="24"/>
          <w:szCs w:val="24"/>
          <w:lang w:val="en-US"/>
        </w:rPr>
      </w:pPr>
      <w:r>
        <w:rPr>
          <w:rFonts w:eastAsia="Aptos" w:cs="Aptos"/>
          <w:color w:val="000000" w:themeColor="text1" w:themeShade="ff" w:themeTint="ff"/>
          <w:sz w:val="24"/>
          <w:szCs w:val="24"/>
          <w:lang w:val="en-US"/>
        </w:rPr>
      </w:r>
    </w:p>
    <w:p>
      <w:pPr>
        <w:pStyle w:val="Normal"/>
        <w:spacing w:beforeAutospacing="0" w:before="240" w:afterAutospacing="0" w:after="240"/>
        <w:rPr/>
      </w:pPr>
      <w:r>
        <w:rPr/>
        <w:drawing>
          <wp:inline distT="0" distB="0" distL="114935" distR="114935">
            <wp:extent cx="5943600" cy="2486025"/>
            <wp:effectExtent l="0" t="0" r="0" b="0"/>
            <wp:docPr id="1" name="drawi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descr=""/>
                    <pic:cNvPicPr>
                      <a:picLocks noChangeAspect="1" noChangeArrowheads="1"/>
                    </pic:cNvPicPr>
                  </pic:nvPicPr>
                  <pic:blipFill>
                    <a:blip r:embed="rId2"/>
                    <a:stretch>
                      <a:fillRect/>
                    </a:stretch>
                  </pic:blipFill>
                  <pic:spPr bwMode="auto">
                    <a:xfrm>
                      <a:off x="0" y="0"/>
                      <a:ext cx="5943600" cy="2486025"/>
                    </a:xfrm>
                    <a:prstGeom prst="rect">
                      <a:avLst/>
                    </a:prstGeom>
                  </pic:spPr>
                </pic:pic>
              </a:graphicData>
            </a:graphic>
          </wp:inline>
        </w:drawing>
      </w:r>
    </w:p>
    <w:p>
      <w:pPr>
        <w:pStyle w:val="Normal"/>
        <w:spacing w:beforeAutospacing="0" w:before="240" w:afterAutospacing="0" w:after="240"/>
        <w:rPr>
          <w:rFonts w:ascii="Aptos" w:hAnsi="Aptos" w:eastAsia="Aptos" w:cs="Aptos"/>
          <w:color w:val="000000" w:themeColor="text1" w:themeShade="ff" w:themeTint="ff"/>
          <w:sz w:val="24"/>
          <w:szCs w:val="24"/>
          <w:lang w:val="en-US"/>
        </w:rPr>
      </w:pPr>
      <w:r>
        <w:rPr>
          <w:rFonts w:eastAsia="Aptos" w:cs="Aptos"/>
          <w:color w:val="000000" w:themeColor="text1" w:themeShade="ff" w:themeTint="ff"/>
          <w:sz w:val="24"/>
          <w:szCs w:val="24"/>
          <w:lang w:val="en-US"/>
        </w:rPr>
      </w:r>
    </w:p>
    <w:p>
      <w:pPr>
        <w:pStyle w:val="Normal"/>
        <w:spacing w:beforeAutospacing="0" w:before="240" w:afterAutospacing="0" w:after="240"/>
        <w:rPr>
          <w:rFonts w:ascii="Aptos" w:hAnsi="Aptos" w:eastAsia="Aptos" w:cs="Aptos"/>
          <w:color w:val="000000" w:themeColor="text1" w:themeShade="ff" w:themeTint="ff"/>
          <w:sz w:val="24"/>
          <w:szCs w:val="24"/>
          <w:lang w:val="en-US"/>
        </w:rPr>
      </w:pPr>
      <w:r>
        <w:rPr>
          <w:rFonts w:eastAsia="Aptos" w:cs="Aptos"/>
          <w:color w:val="000000" w:themeColor="text1" w:themeShade="ff" w:themeTint="ff"/>
          <w:sz w:val="24"/>
          <w:szCs w:val="24"/>
          <w:lang w:val="en-US"/>
        </w:rPr>
      </w:r>
    </w:p>
    <w:p>
      <w:pPr>
        <w:pStyle w:val="Normal"/>
        <w:spacing w:beforeAutospacing="0" w:before="240" w:afterAutospacing="0" w:after="24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t xml:space="preserve"> </w:t>
      </w:r>
      <w:r>
        <w:rPr>
          <w:rFonts w:eastAsia="Arial" w:cs="Arial" w:ascii="Arial" w:hAnsi="Arial"/>
          <w:b/>
          <w:bCs/>
          <w:i w:val="false"/>
          <w:iCs w:val="false"/>
          <w:caps w:val="false"/>
          <w:smallCaps w:val="false"/>
          <w:color w:val="000000" w:themeColor="text1" w:themeShade="ff" w:themeTint="ff"/>
          <w:sz w:val="22"/>
          <w:szCs w:val="22"/>
          <w:lang w:val="en-US"/>
        </w:rPr>
        <w:t>Student Name</w:t>
      </w:r>
      <w:r>
        <w:rPr>
          <w:rFonts w:eastAsia="Arial" w:cs="Arial" w:ascii="Arial" w:hAnsi="Arial"/>
          <w:b w:val="false"/>
          <w:bCs w:val="false"/>
          <w:i w:val="false"/>
          <w:iCs w:val="false"/>
          <w:caps w:val="false"/>
          <w:smallCaps w:val="false"/>
          <w:color w:val="000000" w:themeColor="text1" w:themeShade="ff" w:themeTint="ff"/>
          <w:sz w:val="22"/>
          <w:szCs w:val="22"/>
          <w:lang w:val="en-US"/>
        </w:rPr>
        <w:t>: Yasir Ibrahem</w:t>
      </w:r>
    </w:p>
    <w:p>
      <w:pPr>
        <w:pStyle w:val="Normal"/>
        <w:spacing w:beforeAutospacing="0" w:before="240" w:afterAutospacing="0" w:after="24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Student Number</w:t>
      </w:r>
      <w:r>
        <w:rPr>
          <w:rFonts w:eastAsia="Arial" w:cs="Arial" w:ascii="Arial" w:hAnsi="Arial"/>
          <w:b w:val="false"/>
          <w:bCs w:val="false"/>
          <w:i w:val="false"/>
          <w:iCs w:val="false"/>
          <w:caps w:val="false"/>
          <w:smallCaps w:val="false"/>
          <w:color w:val="000000" w:themeColor="text1" w:themeShade="ff" w:themeTint="ff"/>
          <w:sz w:val="22"/>
          <w:szCs w:val="22"/>
          <w:lang w:val="en-US"/>
        </w:rPr>
        <w:t>:2429666</w:t>
      </w:r>
    </w:p>
    <w:p>
      <w:pPr>
        <w:pStyle w:val="Normal"/>
        <w:spacing w:beforeAutospacing="0" w:before="240" w:afterAutospacing="0" w:after="24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Course Name</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sz w:val="22"/>
          <w:szCs w:val="22"/>
          <w:lang w:val="en-US"/>
        </w:rPr>
        <w:t>Understanding and Engaging Stakeholders</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LCLM5001</w:t>
      </w:r>
    </w:p>
    <w:p>
      <w:pPr>
        <w:pStyle w:val="Normal"/>
        <w:bidi w:val="0"/>
        <w:spacing w:lineRule="auto" w:line="278" w:beforeAutospacing="0" w:before="240" w:afterAutospacing="0" w:after="240"/>
        <w:ind w:left="0" w:right="0" w:hanging="0"/>
        <w:jc w:val="left"/>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Lecturer Name</w:t>
      </w:r>
      <w:r>
        <w:rPr>
          <w:rFonts w:eastAsia="Arial" w:cs="Arial" w:ascii="Arial" w:hAnsi="Arial"/>
          <w:b w:val="false"/>
          <w:bCs w:val="false"/>
          <w:i w:val="false"/>
          <w:iCs w:val="false"/>
          <w:caps w:val="false"/>
          <w:smallCaps w:val="false"/>
          <w:color w:val="000000" w:themeColor="text1" w:themeShade="ff" w:themeTint="ff"/>
          <w:sz w:val="22"/>
          <w:szCs w:val="22"/>
          <w:lang w:val="en-US"/>
        </w:rPr>
        <w:t>: Mohammed Rahman</w:t>
      </w:r>
    </w:p>
    <w:p>
      <w:pPr>
        <w:pStyle w:val="Normal"/>
        <w:spacing w:beforeAutospacing="0" w:before="240" w:afterAutospacing="0" w:after="240"/>
        <w:rPr>
          <w:rFonts w:ascii="Arial" w:hAnsi="Arial" w:eastAsia="Arial" w:cs="Arial"/>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Submission</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February 2026 Term </w:t>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color w:val="000000" w:themeColor="text1" w:themeShade="ff" w:themeTint="ff"/>
          <w:sz w:val="22"/>
          <w:szCs w:val="22"/>
          <w:lang w:val="en-US"/>
        </w:rPr>
      </w:pPr>
      <w:r>
        <w:rPr>
          <w:rFonts w:eastAsia="Arial" w:cs="Arial" w:ascii="Arial" w:hAnsi="Arial"/>
          <w:color w:val="000000" w:themeColor="text1" w:themeShade="ff" w:themeTint="ff"/>
          <w:sz w:val="22"/>
          <w:szCs w:val="22"/>
          <w:lang w:val="en-US"/>
        </w:rPr>
      </w:r>
    </w:p>
    <w:p>
      <w:pPr>
        <w:pStyle w:val="Normal"/>
        <w:rPr>
          <w:rFonts w:ascii="Arial" w:hAnsi="Arial" w:eastAsia="Arial" w:cs="Arial"/>
          <w:b/>
          <w:b/>
          <w:bCs/>
          <w:color w:val="000000" w:themeColor="text1" w:themeShade="ff" w:themeTint="ff"/>
          <w:sz w:val="22"/>
          <w:szCs w:val="22"/>
          <w:lang w:val="en-US"/>
        </w:rPr>
      </w:pPr>
      <w:r>
        <w:rPr>
          <w:rFonts w:eastAsia="Arial" w:cs="Arial" w:ascii="Arial" w:hAnsi="Arial"/>
          <w:b/>
          <w:bCs/>
          <w:color w:val="000000" w:themeColor="text1" w:themeShade="ff" w:themeTint="ff"/>
          <w:sz w:val="22"/>
          <w:szCs w:val="22"/>
          <w:lang w:val="en-US"/>
        </w:rPr>
        <w:t>TABLE OF CONTENTS</w:t>
      </w:r>
    </w:p>
    <w:tbl>
      <w:tblPr>
        <w:tblStyle w:val="TableNormal"/>
        <w:tblW w:w="6870" w:type="dxa"/>
        <w:jc w:val="left"/>
        <w:tblInd w:w="0" w:type="dxa"/>
        <w:tblLayout w:type="fixed"/>
        <w:tblCellMar>
          <w:top w:w="60" w:type="dxa"/>
          <w:left w:w="60" w:type="dxa"/>
          <w:bottom w:w="60" w:type="dxa"/>
          <w:right w:w="60" w:type="dxa"/>
        </w:tblCellMar>
        <w:tblLook w:firstRow="1" w:noVBand="1" w:lastRow="0" w:firstColumn="1" w:lastColumn="0" w:noHBand="1" w:val="06a0"/>
      </w:tblPr>
      <w:tblGrid>
        <w:gridCol w:w="840"/>
        <w:gridCol w:w="5070"/>
        <w:gridCol w:w="960"/>
      </w:tblGrid>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section</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Title</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Page No.</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EXECUTIVE SUMMARY</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3</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INTRODUCTION</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4</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1.1 Company Overview</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4</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1.2 Project Outline</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4</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2.0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SITUATIONAL ANALYSIS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5</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2.1 SWOT Analysis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5</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2.2 PESTLE Analysis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6</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2.3 SMART Objectives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6</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3.0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KEY STAKEHOLDERS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7</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3.1 Internal Stakeholders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7</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3.2 External Stakeholders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7</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4.0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ROLES, BENEFITS AND CHALLENGES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8</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4.1 Roles and Responsibilities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8</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4.2 Benefits of Engagement</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8</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4.3 Challenges Faced</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9</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5.0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ENGAGEMENT FRAMEWORKS AND THEORIES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9</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5.1 Theoretical Foundations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ind w:left="0" w:right="0" w:hanging="0"/>
              <w:jc w:val="left"/>
              <w:rPr>
                <w:kern w:val="0"/>
                <w:lang w:val="en-US" w:eastAsia="ja-JP" w:bidi="ar-SA"/>
              </w:rPr>
            </w:pPr>
            <w:r>
              <w:rPr>
                <w:rFonts w:eastAsia="Arial" w:cs="Arial" w:ascii="Arial" w:hAnsi="Arial"/>
                <w:color w:val="000000" w:themeColor="text1" w:themeShade="ff" w:themeTint="ff"/>
                <w:kern w:val="0"/>
                <w:sz w:val="22"/>
                <w:szCs w:val="22"/>
                <w:lang w:val="en-US" w:eastAsia="ja-JP" w:bidi="ar-SA"/>
              </w:rPr>
              <w:t>9</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5.2 Stakeholder Mapping</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9</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5.3 Engagement Plan</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10</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5.4 Communication Plan</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10</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5.5 RACI Matrix Application</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10</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6.0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ENGAGEMENT PROCESS AND CONFLICT MANAGEMENT</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10</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6.1 Project Manager’s Role</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10</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6.2 Application of the 4Cs Model</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11</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6.3 Conflict Management</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11</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7.0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IMPACT EVALUATION AND RECOMMENDATIONS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12</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7.1 Impact on Business Performance</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12</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7.2 Recommendations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13</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8.0</w:t>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CONCLUSION</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14</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REFERENCES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14</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APPENDICES</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14</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 Appendix A: Stakeholder Map</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15</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 Appendix B: Communication Plan Template</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15</w:t>
            </w:r>
          </w:p>
        </w:tc>
      </w:tr>
      <w:tr>
        <w:trPr>
          <w:trHeight w:val="300" w:hRule="atLeast"/>
        </w:trPr>
        <w:tc>
          <w:tcPr>
            <w:tcW w:w="8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sz w:val="22"/>
                <w:szCs w:val="22"/>
              </w:rPr>
            </w:pPr>
            <w:r>
              <w:rPr>
                <w:rFonts w:eastAsia="Arial" w:cs="Arial" w:ascii="Arial" w:hAnsi="Arial"/>
                <w:kern w:val="0"/>
                <w:sz w:val="24"/>
                <w:szCs w:val="24"/>
                <w:lang w:val="en-US" w:eastAsia="ja-JP" w:bidi="ar-SA"/>
              </w:rPr>
            </w:r>
          </w:p>
        </w:tc>
        <w:tc>
          <w:tcPr>
            <w:tcW w:w="507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 Appendix C: RACI Matrix</w:t>
            </w:r>
          </w:p>
        </w:tc>
        <w:tc>
          <w:tcPr>
            <w:tcW w:w="96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15</w:t>
            </w:r>
          </w:p>
        </w:tc>
      </w:tr>
    </w:tbl>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EXECUTIVE SUMMARY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This report details the stakeholder engagement strategy for DoubleTree by Hilton London Tower Hill’s launch of StaySmart+, a premium service integrating AI-driven guest tools, personalized travel planning, and sustainability-focused amenities. Situated in one of London’s busiest business and tourism districts, the hotel serves as a flagship property for Hilton Worldwide, with the service rollout taking place over six months across 30 key properties in Europe, the Middle East, and Africa (EMEA).</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The report opens with a detailed overview of the hotel and its market position, followed by a comprehensive situational analysis using SWOT and PESTLE frameworks, alongside clearly defined SMART project objectives. Key internal and external stakeholders are identified, with their roles, contributions, and potential challenges analyzed through the lens of stakeholder theory and supported by a RACI matrix. Engagement strategies—including stakeholder mapping, tailored communication plans, and the 4Cs model (Communication, Collaboration, Consultation, Commitment)—are applied to address diverse cultural contexts, operational constraints, and conflict resolution.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Critical evaluation reveals that effective stakeholder engagement is the foundation for successful implementation, driving operational efficiency, brand differentiation, and long-term customer loyalty. However, challenges include cross-regional regulatory differences, varying levels of technology adoption, and the need to balance standardised brand standards with local market preferences. Ethical considerations such as data privacy, transparency in sustainability claims, and fair supply chain practices are also examined in depth.</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Recommendations focus on adaptive communication strategies, cross-cultural training, continuous feedback mechanisms, and stronger ethical governance. The report concludes that structured, inclusive stakeholder collaboration is vital not only for the successful launch of StaySmart+ but also for strengthening Hilton’s reputation as a leader in innovative and sustainable hospitality.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1.0 INTRODUCTION</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1.1 Company Overview</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DoubleTree by Hilton London Tower Hill is a prominent 4-star hotel located in the historic and dynamic district of East London, within walking distance of iconic landmarks including the Tower of London, Tower Bridge, and The Shard, as well as major transport hubs such as Fenchurch Street Station and Aldgate Underground Station. This prime location makes it a preferred choice for international tourists, corporate travelers, and event delegates alike.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Part of Hilton World wide's global portfolio of over 7,000 properties across 120 countries, the hotel features 454 modern guest rooms, extensive conference and meeting facilities, a signature restaurant, bar, fitness center, and access to local cultural experiences. The DoubleTree brand is globally recognized for its warm hospitality, most famously represented by the fresh-baked chocolate chip cookie offered to every guest on arrival. Beyond service quality, the brand is committed to corporate social responsibility through Hilton’s Travel with Purpose initiative, which aims to cut environmental impact in half and double social investment in local communities by 2030.</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In the UK market, the Tower Hill property plays a strategic role as a benchmark for service innovation. It operates in a highly competitive environment, competing with major international chains such as Marriott and IHG, as well as independent boutique hotels that often emphasize personalized service and sustainability. This competitive landscape creates a strong need for differentiated service offerings such as StaySmart+.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1.2 Project Outline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StaySmart+ is a new premium service designed to enhance the guest experience and reinforce Hilton’s position as a forward-thinking hospitality leader. The service integrates three core pillars: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AI-Driven Interaction: Smart in-room voice assistants, mobile app functionality for seamless check-in/check-out, digital room service requests, and 24/7 multilingual chatbot support.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Personalized Experience: Customized travel itineraries that combine accommodation with local attractions, transport, dining recommendations, and business services, all tailored to individual guest preferences and booking purposes.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Sustainable Operations: Eco-friendly toiletries, energy-efficient heating and lighting controls, zero single-use plastics, waste reduction programmers, and a focus on locally sourced food and beverage products.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The six-month rollout will commence at Tower Hill, allowing the team to test and refine processes before expanding 29 additional properties across EMEA. The project aligns with Hilton’s digital transformation and sustainability strategies, with targets to increase guest satisfaction scores by 15%, boost revenue from premium packages by 10%, and reduce operational carbon footprint by 8% within the first year of implementation.</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r>
    </w:p>
    <w:p>
      <w:pPr>
        <w:pStyle w:val="Normal"/>
        <w:shd w:val="clear" w:color="auto" w:fill="FFFFFF" w:themeFill="background1"/>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2.0 SITUATIONAL ANALYSIS</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p>
    <w:p>
      <w:pPr>
        <w:pStyle w:val="Normal"/>
        <w:shd w:val="clear" w:color="auto" w:fill="FFFFFF" w:themeFill="background1"/>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2.1 SWOT Analysis</w:t>
      </w:r>
    </w:p>
    <w:p>
      <w:pPr>
        <w:pStyle w:val="Normal"/>
        <w:shd w:val="clear" w:color="auto" w:fill="FFFFFF" w:themeFill="background1"/>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 detailed SWOT analysis highlights the internal capabilities and external factors influencing the project:</w:t>
      </w:r>
    </w:p>
    <w:p>
      <w:pPr>
        <w:pStyle w:val="Normal"/>
        <w:shd w:val="clear" w:color="auto" w:fill="FFFFFF" w:themeFill="background1"/>
        <w:spacing w:lineRule="auto" w:line="300" w:beforeAutospacing="0" w:before="0" w:afterAutospacing="0" w:after="0"/>
        <w:rPr>
          <w:rFonts w:ascii="Arial" w:hAnsi="Arial" w:eastAsia="Arial" w:cs="Arial"/>
          <w:b w:val="false"/>
          <w:b w:val="false"/>
          <w:bCs w:val="false"/>
          <w:i w:val="false"/>
          <w:i w:val="false"/>
          <w:iCs w:val="false"/>
          <w:caps w:val="false"/>
          <w:smallCaps w:val="false"/>
          <w:strike w:val="false"/>
          <w:dstrike w:val="false"/>
          <w:color w:val="FFFFFF" w:themeColor="background1" w:themeShade="ff" w:themeTint="ff"/>
          <w:sz w:val="22"/>
          <w:szCs w:val="22"/>
          <w:u w:val="none"/>
          <w:lang w:val="en-US"/>
        </w:rPr>
      </w:pPr>
      <w:r>
        <w:rPr>
          <w:rFonts w:eastAsia="Arial" w:cs="Arial" w:ascii="Arial" w:hAnsi="Arial"/>
          <w:b w:val="false"/>
          <w:bCs w:val="false"/>
          <w:i w:val="false"/>
          <w:iCs w:val="false"/>
          <w:caps w:val="false"/>
          <w:smallCaps w:val="false"/>
          <w:strike w:val="false"/>
          <w:dstrike w:val="false"/>
          <w:color w:val="FFFFFF" w:themeColor="background1" w:themeShade="ff" w:themeTint="ff"/>
          <w:sz w:val="22"/>
          <w:szCs w:val="22"/>
          <w:u w:val="none"/>
          <w:lang w:val="en-US"/>
        </w:rPr>
        <w:t></w:t>
      </w:r>
    </w:p>
    <w:tbl>
      <w:tblPr>
        <w:tblStyle w:val="TableNormal"/>
        <w:tblW w:w="9360" w:type="dxa"/>
        <w:jc w:val="left"/>
        <w:tblInd w:w="0" w:type="dxa"/>
        <w:tblLayout w:type="fixed"/>
        <w:tblCellMar>
          <w:top w:w="60" w:type="dxa"/>
          <w:left w:w="60" w:type="dxa"/>
          <w:bottom w:w="60" w:type="dxa"/>
          <w:right w:w="60" w:type="dxa"/>
        </w:tblCellMar>
        <w:tblLook w:firstRow="1" w:noVBand="1" w:lastRow="0" w:firstColumn="1" w:lastColumn="0" w:noHBand="1" w:val="06a0"/>
      </w:tblPr>
      <w:tblGrid>
        <w:gridCol w:w="3294"/>
        <w:gridCol w:w="6065"/>
      </w:tblGrid>
      <w:tr>
        <w:trPr>
          <w:trHeight w:val="300" w:hRule="atLeast"/>
        </w:trPr>
        <w:tc>
          <w:tcPr>
            <w:tcW w:w="32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Strengths</w:t>
            </w:r>
          </w:p>
        </w:tc>
        <w:tc>
          <w:tcPr>
            <w:tcW w:w="60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Weaknesses</w:t>
            </w:r>
          </w:p>
        </w:tc>
      </w:tr>
      <w:tr>
        <w:trPr>
          <w:trHeight w:val="300" w:hRule="atLeast"/>
        </w:trPr>
        <w:tc>
          <w:tcPr>
            <w:tcW w:w="32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Prime central location with high visibility and footfall</w:t>
            </w:r>
          </w:p>
        </w:tc>
        <w:tc>
          <w:tcPr>
            <w:tcW w:w="60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Older building infrastructure may require modifications for tech installation</w:t>
            </w:r>
          </w:p>
        </w:tc>
      </w:tr>
      <w:tr>
        <w:trPr>
          <w:trHeight w:val="300" w:hRule="atLeast"/>
        </w:trPr>
        <w:tc>
          <w:tcPr>
            <w:tcW w:w="32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Strong global brand recognition and customer loyalty</w:t>
            </w:r>
          </w:p>
        </w:tc>
        <w:tc>
          <w:tcPr>
            <w:tcW w:w="60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Higher operational and implementation costs in London compared to regional properties</w:t>
            </w:r>
          </w:p>
        </w:tc>
      </w:tr>
      <w:tr>
        <w:trPr>
          <w:trHeight w:val="300" w:hRule="atLeast"/>
        </w:trPr>
        <w:tc>
          <w:tcPr>
            <w:tcW w:w="32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Established sustainability credentials and clear CSR goals</w:t>
            </w:r>
          </w:p>
        </w:tc>
        <w:tc>
          <w:tcPr>
            <w:tcW w:w="60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Limited in-house AI development expertise, reliance on third-party providers</w:t>
            </w:r>
          </w:p>
        </w:tc>
      </w:tr>
      <w:tr>
        <w:trPr>
          <w:trHeight w:val="300" w:hRule="atLeast"/>
        </w:trPr>
        <w:tc>
          <w:tcPr>
            <w:tcW w:w="32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Diverse customer base providing opportunities for tailored services</w:t>
            </w:r>
          </w:p>
        </w:tc>
        <w:tc>
          <w:tcPr>
            <w:tcW w:w="60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Communication gaps between global headquarters and local management teams</w:t>
            </w:r>
          </w:p>
        </w:tc>
      </w:tr>
      <w:tr>
        <w:trPr>
          <w:trHeight w:val="300" w:hRule="atLeast"/>
        </w:trPr>
        <w:tc>
          <w:tcPr>
            <w:tcW w:w="32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Well-trained, multicultural staff capable of supporting diverse needs</w:t>
            </w:r>
          </w:p>
        </w:tc>
        <w:tc>
          <w:tcPr>
            <w:tcW w:w="60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Legacy IT systems that require integration with new technology</w:t>
            </w:r>
          </w:p>
        </w:tc>
      </w:tr>
    </w:tbl>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lineRule="auto" w:line="300" w:beforeAutospacing="0" w:before="0" w:afterAutospacing="0" w:after="0"/>
        <w:rPr>
          <w:rFonts w:ascii="Arial" w:hAnsi="Arial" w:eastAsia="Arial" w:cs="Arial"/>
          <w:b w:val="false"/>
          <w:b w:val="false"/>
          <w:bCs w:val="false"/>
          <w:i w:val="false"/>
          <w:i w:val="false"/>
          <w:iCs w:val="false"/>
          <w:caps w:val="false"/>
          <w:smallCaps w:val="false"/>
          <w:strike w:val="false"/>
          <w:dstrike w:val="false"/>
          <w:color w:val="FFFFFF" w:themeColor="background1" w:themeShade="ff" w:themeTint="ff"/>
          <w:sz w:val="22"/>
          <w:szCs w:val="22"/>
          <w:u w:val="none"/>
          <w:lang w:val="en-US"/>
        </w:rPr>
      </w:pPr>
      <w:r>
        <w:rPr>
          <w:rFonts w:eastAsia="Arial" w:cs="Arial" w:ascii="Arial" w:hAnsi="Arial"/>
          <w:b w:val="false"/>
          <w:bCs w:val="false"/>
          <w:i w:val="false"/>
          <w:iCs w:val="false"/>
          <w:caps w:val="false"/>
          <w:smallCaps w:val="false"/>
          <w:strike w:val="false"/>
          <w:dstrike w:val="false"/>
          <w:color w:val="FFFFFF" w:themeColor="background1" w:themeShade="ff" w:themeTint="ff"/>
          <w:sz w:val="22"/>
          <w:szCs w:val="22"/>
          <w:u w:val="none"/>
          <w:lang w:val="en-US"/>
        </w:rPr>
        <w:t></w:t>
      </w:r>
    </w:p>
    <w:tbl>
      <w:tblPr>
        <w:tblStyle w:val="TableNormal"/>
        <w:tblW w:w="9360" w:type="dxa"/>
        <w:jc w:val="left"/>
        <w:tblInd w:w="0" w:type="dxa"/>
        <w:tblLayout w:type="fixed"/>
        <w:tblCellMar>
          <w:top w:w="60" w:type="dxa"/>
          <w:left w:w="60" w:type="dxa"/>
          <w:bottom w:w="60" w:type="dxa"/>
          <w:right w:w="60" w:type="dxa"/>
        </w:tblCellMar>
        <w:tblLook w:firstRow="1" w:noVBand="1" w:lastRow="0" w:firstColumn="1" w:lastColumn="0" w:noHBand="1" w:val="06a0"/>
      </w:tblPr>
      <w:tblGrid>
        <w:gridCol w:w="4788"/>
        <w:gridCol w:w="4571"/>
      </w:tblGrid>
      <w:tr>
        <w:trPr>
          <w:trHeight w:val="300" w:hRule="atLeast"/>
        </w:trPr>
        <w:tc>
          <w:tcPr>
            <w:tcW w:w="4788"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Opportunities</w:t>
            </w:r>
          </w:p>
        </w:tc>
        <w:tc>
          <w:tcPr>
            <w:tcW w:w="457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Threats</w:t>
            </w:r>
          </w:p>
        </w:tc>
      </w:tr>
      <w:tr>
        <w:trPr>
          <w:trHeight w:val="300" w:hRule="atLeast"/>
        </w:trPr>
        <w:tc>
          <w:tcPr>
            <w:tcW w:w="4788"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Rapid growth in demand for sustainable and tech-enabled travel experiences</w:t>
            </w:r>
          </w:p>
        </w:tc>
        <w:tc>
          <w:tcPr>
            <w:tcW w:w="457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Intense competition from major chains and boutique hotels launching similar services</w:t>
            </w:r>
          </w:p>
        </w:tc>
      </w:tr>
      <w:tr>
        <w:trPr>
          <w:trHeight w:val="300" w:hRule="atLeast"/>
        </w:trPr>
        <w:tc>
          <w:tcPr>
            <w:tcW w:w="4788"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London’s status as a top global tourism and business destination</w:t>
            </w:r>
          </w:p>
        </w:tc>
        <w:tc>
          <w:tcPr>
            <w:tcW w:w="457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Economic uncertainty, inflation, and fluctuating travel demand</w:t>
            </w:r>
          </w:p>
        </w:tc>
      </w:tr>
      <w:tr>
        <w:trPr>
          <w:trHeight w:val="300" w:hRule="atLeast"/>
        </w:trPr>
        <w:tc>
          <w:tcPr>
            <w:tcW w:w="4788"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Potential partnerships with local tech firms, cultural institutions, and sustainable suppliers</w:t>
            </w:r>
          </w:p>
        </w:tc>
        <w:tc>
          <w:tcPr>
            <w:tcW w:w="457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Strict UK and EU data protection regulations increasing compliance complexity</w:t>
            </w:r>
          </w:p>
        </w:tc>
      </w:tr>
      <w:tr>
        <w:trPr>
          <w:trHeight w:val="300" w:hRule="atLeast"/>
        </w:trPr>
        <w:tc>
          <w:tcPr>
            <w:tcW w:w="4788"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Government incentives and policies supporting green tourism and digital innovation</w:t>
            </w:r>
          </w:p>
        </w:tc>
        <w:tc>
          <w:tcPr>
            <w:tcW w:w="457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Geopolitical factors that could impact rollout timelines</w:t>
            </w:r>
          </w:p>
        </w:tc>
      </w:tr>
    </w:tbl>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2.2 PESTLE Analysis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External factors are analyzed using the PESTLE framework:</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Political: UK government tourism strategies, post-Brexit trade regulations affecting supply chains, and local council policies regarding waste management and building modifications.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Economic: Strong demand from corporate and leisure travelers, but rising costs of labour, materials, and energy impacting budgets. Currency fluctuations also affect international operations.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Social: Evolving consumer expectations for personalization, transparency, and ethical practices. Cultural diversity requires inclusive service design and communication.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Technological: Advancements in AI and IoT enable service delivery, but also bring risks related to cybersecurity and data breaches.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Legal: Compliance with the UK Data Protection Act 2018, GDPR, Consumer Rights Act, and environmental legislation such as the Climate Change Act 2008.</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Environmental: Growing pressure to reduce carbon emissions, eliminate waste, and source materials responsibly, directly shaping the service design.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2.3 SMART Objectives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1. Specific &amp; Measurable: Launch StaySmart+ at Tower Hill and 29 EMEA properties by Q4 2025, with 95% service functionality.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2. Achievable &amp; Relevant: Achieve a guest satisfaction score of 4.7/5 within three months and increase premium bookings by 10% year-on-year.</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3. Compliant: Ensure 100% adherence to all regional data, employment, and environmental regulations.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4. Collaborative: Establish partnerships with 20+ local suppliers and tech providers across the region.</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3.0 KEY STAKEHOLDERS</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Stakeholders are defined as individuals or groups that influence or are affected by the project’s outcomes (Freeman, 1984). Using Mendelow’s Matrix (1991), they are categorized by influence and interest.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3.1 Internal Stakeholders</w:t>
      </w:r>
    </w:p>
    <w:p>
      <w:pPr>
        <w:pStyle w:val="Normal"/>
        <w:shd w:val="clear" w:color="auto" w:fill="FFFFFF" w:themeFill="background1"/>
        <w:bidi w:val="0"/>
        <w:spacing w:lineRule="auto" w:line="300" w:beforeAutospacing="0" w:before="0" w:afterAutospacing="0" w:after="0"/>
        <w:rPr>
          <w:rFonts w:ascii="Arial" w:hAnsi="Arial" w:eastAsia="Arial" w:cs="Arial"/>
          <w:b w:val="false"/>
          <w:b w:val="false"/>
          <w:bCs w:val="false"/>
          <w:i w:val="false"/>
          <w:i w:val="false"/>
          <w:iCs w:val="false"/>
          <w:caps w:val="false"/>
          <w:smallCaps w:val="false"/>
          <w:strike w:val="false"/>
          <w:dstrike w:val="false"/>
          <w:color w:val="FFFFFF" w:themeColor="background1" w:themeShade="ff" w:themeTint="ff"/>
          <w:sz w:val="22"/>
          <w:szCs w:val="22"/>
          <w:u w:val="none"/>
          <w:lang w:val="en-US"/>
        </w:rPr>
      </w:pPr>
      <w:r>
        <w:rPr>
          <w:rFonts w:eastAsia="Arial" w:cs="Arial" w:ascii="Arial" w:hAnsi="Arial"/>
          <w:b w:val="false"/>
          <w:bCs w:val="false"/>
          <w:i w:val="false"/>
          <w:iCs w:val="false"/>
          <w:caps w:val="false"/>
          <w:smallCaps w:val="false"/>
          <w:strike w:val="false"/>
          <w:dstrike w:val="false"/>
          <w:color w:val="FFFFFF" w:themeColor="background1" w:themeShade="ff" w:themeTint="ff"/>
          <w:sz w:val="22"/>
          <w:szCs w:val="22"/>
          <w:u w:val="none"/>
          <w:lang w:val="en-US"/>
        </w:rPr>
        <w:t></w:t>
      </w:r>
    </w:p>
    <w:tbl>
      <w:tblPr>
        <w:tblStyle w:val="TableNormal"/>
        <w:tblW w:w="8640" w:type="dxa"/>
        <w:jc w:val="left"/>
        <w:tblInd w:w="0" w:type="dxa"/>
        <w:tblLayout w:type="fixed"/>
        <w:tblCellMar>
          <w:top w:w="60" w:type="dxa"/>
          <w:left w:w="60" w:type="dxa"/>
          <w:bottom w:w="60" w:type="dxa"/>
          <w:right w:w="60" w:type="dxa"/>
        </w:tblCellMar>
        <w:tblLook w:firstRow="1" w:noVBand="1" w:lastRow="0" w:firstColumn="1" w:lastColumn="0" w:noHBand="1" w:val="06a0"/>
      </w:tblPr>
      <w:tblGrid>
        <w:gridCol w:w="2865"/>
        <w:gridCol w:w="3044"/>
        <w:gridCol w:w="1290"/>
        <w:gridCol w:w="1440"/>
      </w:tblGrid>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Stakeholder Group</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Role</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Interest Level</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Influence Level</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Global Product Development Team</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Design features and set standards</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Local Marketing &amp; Sales Team</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Promote service and drive revenue</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Hotel Operations Managers</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Oversee implementation and delivery</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Hilton IT &amp; Digital Department</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Manage systems, security and support</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EMEA Senior Leadership</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Approve budgets and strategy</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Frontline Staff</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Deliver service and provide feedback</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Finance Department</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Control costs and measure ROI</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2865"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Learning &amp; Development</w:t>
            </w:r>
          </w:p>
        </w:tc>
        <w:tc>
          <w:tcPr>
            <w:tcW w:w="304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Design training programmers</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bl>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3.2 External Stakeholders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lineRule="auto" w:line="300" w:beforeAutospacing="0" w:before="0" w:afterAutospacing="0" w:after="0"/>
        <w:rPr>
          <w:rFonts w:ascii="Arial" w:hAnsi="Arial" w:eastAsia="Arial" w:cs="Arial"/>
          <w:b w:val="false"/>
          <w:b w:val="false"/>
          <w:bCs w:val="false"/>
          <w:i w:val="false"/>
          <w:i w:val="false"/>
          <w:iCs w:val="false"/>
          <w:caps w:val="false"/>
          <w:smallCaps w:val="false"/>
          <w:strike w:val="false"/>
          <w:dstrike w:val="false"/>
          <w:color w:val="FFFFFF" w:themeColor="background1" w:themeShade="ff" w:themeTint="ff"/>
          <w:sz w:val="22"/>
          <w:szCs w:val="22"/>
          <w:u w:val="none"/>
          <w:lang w:val="en-US"/>
        </w:rPr>
      </w:pPr>
      <w:r>
        <w:rPr>
          <w:rFonts w:eastAsia="Arial" w:cs="Arial" w:ascii="Arial" w:hAnsi="Arial"/>
          <w:b w:val="false"/>
          <w:bCs w:val="false"/>
          <w:i w:val="false"/>
          <w:iCs w:val="false"/>
          <w:caps w:val="false"/>
          <w:smallCaps w:val="false"/>
          <w:strike w:val="false"/>
          <w:dstrike w:val="false"/>
          <w:color w:val="FFFFFF" w:themeColor="background1" w:themeShade="ff" w:themeTint="ff"/>
          <w:sz w:val="22"/>
          <w:szCs w:val="22"/>
          <w:u w:val="none"/>
          <w:lang w:val="en-US"/>
        </w:rPr>
        <w:t></w:t>
      </w:r>
    </w:p>
    <w:tbl>
      <w:tblPr>
        <w:tblStyle w:val="TableNormal"/>
        <w:tblW w:w="8205" w:type="dxa"/>
        <w:jc w:val="left"/>
        <w:tblInd w:w="0" w:type="dxa"/>
        <w:tblLayout w:type="fixed"/>
        <w:tblCellMar>
          <w:top w:w="60" w:type="dxa"/>
          <w:left w:w="60" w:type="dxa"/>
          <w:bottom w:w="60" w:type="dxa"/>
          <w:right w:w="60" w:type="dxa"/>
        </w:tblCellMar>
        <w:tblLook w:firstRow="1" w:noVBand="1" w:lastRow="0" w:firstColumn="1" w:lastColumn="0" w:noHBand="1" w:val="06a0"/>
      </w:tblPr>
      <w:tblGrid>
        <w:gridCol w:w="1934"/>
        <w:gridCol w:w="3541"/>
        <w:gridCol w:w="1290"/>
        <w:gridCol w:w="1439"/>
      </w:tblGrid>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Stakeholder Group</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Role</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Interest Level</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Influence Level</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Tech Suppliers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Provide hardware, software and maintenance</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Sustainable Suppliers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Supply eco-friendly products and materials</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Guests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End-users and feedback providers</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Regulatory Bodies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Enforce legal and safety standards</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Low</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Tourism Organizations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Promote destination and set standards</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Low</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Industry Associations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Provide guidelines and advocacy</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Low</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Local Community</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Affected by operations and development</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Low</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Medium</w:t>
            </w:r>
          </w:p>
        </w:tc>
      </w:tr>
      <w:tr>
        <w:trPr>
          <w:trHeight w:val="300" w:hRule="atLeast"/>
        </w:trPr>
        <w:tc>
          <w:tcPr>
            <w:tcW w:w="193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Investors</w:t>
            </w:r>
          </w:p>
        </w:tc>
        <w:tc>
          <w:tcPr>
            <w:tcW w:w="354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Focused on profitability and brand value</w:t>
            </w:r>
          </w:p>
        </w:tc>
        <w:tc>
          <w:tcPr>
            <w:tcW w:w="129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Low</w:t>
            </w:r>
          </w:p>
        </w:tc>
        <w:tc>
          <w:tcPr>
            <w:tcW w:w="1439"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High</w:t>
            </w:r>
          </w:p>
        </w:tc>
      </w:tr>
    </w:tbl>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 xml:space="preserve">4.0 ROLES, BENEFITS AND CHALLENGES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4.1 Roles and Responsibilities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 RACI matrix clarifies accountability: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Accountable: EMEA Senior Leadership – approves budgets and takes overall responsibility.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Responsible: Product Development and Operations Managers – execute design and implementation.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Consulted: Marketing, Finance, Staff and Guests – provide expertise and requirements.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Informed: Regulators, communities and investors – receive regular updates.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This structure ensures clarity and prevents duplication of effort, particularly important when coordinating across multiple countries and departments.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4.2 Benefits of Engagement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Internal: Collaboration drives innovation, while training opportunities improve staff skills and motivation. Shared goals reduce conflicts and speed up delivery.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External: Suppliers gain long-term contracts and brand credibility; guests receive personalized services leading to higher loyalty; local communities benefit from sustainable practices and economic support.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Organizational: Strong engagement reduces risks, improves decision-making, and strengthens market positioning (Christopher et al., 2013). It also helps build resilience against market changes and competitive pressures.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4.3 Challenges Faced</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Internal: Conflicting priorities (e.g., security vs. user experience, cost vs. quality) and resistance to change among staff accustomed to traditional methods.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External: Cultural variations mean preferences differ widely – for example, European guests often prefer digital tools, while Middle Eastern markets value human interaction more. Supplier standards and capabilities also vary by region.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Ethical: Balancing personalization with data privacy and ensuring sustainability claims are verified to avoid greenwashing. At Tower Hill, the older building structure also creates technical limitations requiring careful planning.</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 xml:space="preserve">5.0 ENGAGEMENT FRAMEWORKS AND THEORIES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5.1 Theoretical Foundations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Stakeholder Theory (Freeman, 1984): Success depends on addressing the needs of all stakeholders, not just shareholders. This approach creates shared value and reduces opposition to new initiatives.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Relational Lens (Ashcroft, 2017): Effective engagement is built on trust, transparency and mutual benefit. Strong relationships improve problem-solving and commitment.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Resource Dependence Theory: Recognizes reliance on external partners, making collaboration essential for accessing skills, materials and market legitimacy.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5.2 Stakeholder Mapping</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Key Players: Senior leadership, product team, IT and guests – involve actively in decision-making.</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Keep Satisfied: Regulators, finance and investors – provide high-level updates on compliance and performance.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Keep Informed: Frontline staff and suppliers – share progress and training resources.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Minimal Effort: Local communities – communicate general benefits and sustainability outcomes.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5.3 Engagement Plan</w:t>
      </w:r>
    </w:p>
    <w:p>
      <w:pPr>
        <w:pStyle w:val="Normal"/>
        <w:shd w:val="clear" w:color="auto" w:fill="FFFFFF" w:themeFill="background1"/>
        <w:bidi w:val="0"/>
        <w:spacing w:lineRule="auto" w:line="300" w:beforeAutospacing="0" w:before="0" w:afterAutospacing="0" w:after="0"/>
        <w:rPr>
          <w:rFonts w:ascii="Arial" w:hAnsi="Arial" w:eastAsia="Arial" w:cs="Arial"/>
          <w:b w:val="false"/>
          <w:b w:val="false"/>
          <w:bCs w:val="false"/>
          <w:i w:val="false"/>
          <w:i w:val="false"/>
          <w:iCs w:val="false"/>
          <w:caps w:val="false"/>
          <w:smallCaps w:val="false"/>
          <w:strike w:val="false"/>
          <w:dstrike w:val="false"/>
          <w:color w:val="FFFFFF" w:themeColor="background1" w:themeShade="ff" w:themeTint="ff"/>
          <w:sz w:val="22"/>
          <w:szCs w:val="22"/>
          <w:u w:val="none"/>
          <w:lang w:val="en-US"/>
        </w:rPr>
      </w:pPr>
      <w:r>
        <w:rPr>
          <w:rFonts w:eastAsia="Arial" w:cs="Arial" w:ascii="Arial" w:hAnsi="Arial"/>
          <w:b w:val="false"/>
          <w:bCs w:val="false"/>
          <w:i w:val="false"/>
          <w:iCs w:val="false"/>
          <w:caps w:val="false"/>
          <w:smallCaps w:val="false"/>
          <w:strike w:val="false"/>
          <w:dstrike w:val="false"/>
          <w:color w:val="FFFFFF" w:themeColor="background1" w:themeShade="ff" w:themeTint="ff"/>
          <w:sz w:val="22"/>
          <w:szCs w:val="22"/>
          <w:u w:val="none"/>
          <w:lang w:val="en-US"/>
        </w:rPr>
        <w:t></w:t>
      </w:r>
    </w:p>
    <w:tbl>
      <w:tblPr>
        <w:tblStyle w:val="TableNormal"/>
        <w:tblW w:w="8145" w:type="dxa"/>
        <w:jc w:val="left"/>
        <w:tblInd w:w="0" w:type="dxa"/>
        <w:tblLayout w:type="fixed"/>
        <w:tblCellMar>
          <w:top w:w="60" w:type="dxa"/>
          <w:left w:w="60" w:type="dxa"/>
          <w:bottom w:w="60" w:type="dxa"/>
          <w:right w:w="60" w:type="dxa"/>
        </w:tblCellMar>
        <w:tblLook w:firstRow="1" w:noVBand="1" w:lastRow="0" w:firstColumn="1" w:lastColumn="0" w:noHBand="1" w:val="06a0"/>
      </w:tblPr>
      <w:tblGrid>
        <w:gridCol w:w="1440"/>
        <w:gridCol w:w="3794"/>
        <w:gridCol w:w="2911"/>
      </w:tblGrid>
      <w:tr>
        <w:trPr>
          <w:trHeight w:val="300" w:hRule="atLeast"/>
        </w:trPr>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Phase</w:t>
            </w:r>
          </w:p>
        </w:tc>
        <w:tc>
          <w:tcPr>
            <w:tcW w:w="37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Activities</w:t>
            </w:r>
          </w:p>
        </w:tc>
        <w:tc>
          <w:tcPr>
            <w:tcW w:w="291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Tools</w:t>
            </w:r>
          </w:p>
        </w:tc>
      </w:tr>
      <w:tr>
        <w:trPr>
          <w:trHeight w:val="300" w:hRule="atLeast"/>
        </w:trPr>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Planning</w:t>
            </w:r>
          </w:p>
        </w:tc>
        <w:tc>
          <w:tcPr>
            <w:tcW w:w="37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Workshops, focus groups, market research</w:t>
            </w:r>
          </w:p>
        </w:tc>
        <w:tc>
          <w:tcPr>
            <w:tcW w:w="291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Customer journey mapping, surveys</w:t>
            </w:r>
          </w:p>
        </w:tc>
      </w:tr>
      <w:tr>
        <w:trPr>
          <w:trHeight w:val="300" w:hRule="atLeast"/>
        </w:trPr>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Implementation</w:t>
            </w:r>
          </w:p>
        </w:tc>
        <w:tc>
          <w:tcPr>
            <w:tcW w:w="37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Weekly meetings, performance reviews, training</w:t>
            </w:r>
          </w:p>
        </w:tc>
        <w:tc>
          <w:tcPr>
            <w:tcW w:w="291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Gantt charts, KPIs, manuals</w:t>
            </w:r>
          </w:p>
        </w:tc>
      </w:tr>
      <w:tr>
        <w:trPr>
          <w:trHeight w:val="300" w:hRule="atLeast"/>
        </w:trPr>
        <w:tc>
          <w:tcPr>
            <w:tcW w:w="1440"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Evaluation</w:t>
            </w:r>
          </w:p>
        </w:tc>
        <w:tc>
          <w:tcPr>
            <w:tcW w:w="3794"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Feedback sessions, audits, impact analysis</w:t>
            </w:r>
          </w:p>
        </w:tc>
        <w:tc>
          <w:tcPr>
            <w:tcW w:w="2911" w:type="dxa"/>
            <w:tcBorders>
              <w:top w:val="single" w:sz="6" w:space="0" w:color="D0D0D0"/>
              <w:left w:val="single" w:sz="6" w:space="0" w:color="D0D0D0"/>
              <w:bottom w:val="single" w:sz="6" w:space="0" w:color="D0D0D0"/>
              <w:right w:val="single" w:sz="6" w:space="0" w:color="D0D0D0"/>
            </w:tcBorders>
            <w:vAlign w:val="center"/>
          </w:tcPr>
          <w:p>
            <w:pPr>
              <w:pStyle w:val="Normal"/>
              <w:widowControl/>
              <w:shd w:val="clear" w:color="auto" w:fill="FFFFFF" w:themeFill="background1"/>
              <w:bidi w:val="0"/>
              <w:spacing w:lineRule="auto" w:line="278" w:beforeAutospacing="0" w:before="0" w:afterAutospacing="0" w:after="0"/>
              <w:jc w:val="left"/>
              <w:rPr>
                <w:rFonts w:ascii="Arial" w:hAnsi="Arial" w:eastAsia="Arial" w:cs="Arial"/>
                <w:color w:val="000000" w:themeColor="text1" w:themeShade="ff" w:themeTint="ff"/>
                <w:sz w:val="22"/>
                <w:szCs w:val="22"/>
              </w:rPr>
            </w:pPr>
            <w:r>
              <w:rPr>
                <w:rFonts w:eastAsia="Arial" w:cs="Arial" w:ascii="Arial" w:hAnsi="Arial"/>
                <w:color w:val="000000" w:themeColor="text1" w:themeShade="ff" w:themeTint="ff"/>
                <w:kern w:val="0"/>
                <w:sz w:val="22"/>
                <w:szCs w:val="22"/>
                <w:lang w:val="en-US" w:eastAsia="ja-JP" w:bidi="ar-SA"/>
              </w:rPr>
              <w:t>Satisfaction surveys, reports</w:t>
            </w:r>
          </w:p>
        </w:tc>
      </w:tr>
    </w:tbl>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5.4 Communication Plan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Communication is adapted for different groups and cultures: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Internal: Weekly virtual updates, multilingual intranet resources, face-to-face workshops.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External: Local language marketing, supplier portals, email newsletters.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Frequency: Daily contact for key players, monthly reports for low-interest groups.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5.5 RACI Matrix Application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The matrix ensures that every task has clear ownership. For example, while IT manages data systems, leadership is accountable for legal compliance. This clarity reduces delays and misunderstandings across borders.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6.0 ENGAGEMENT PROCESS AND CONFLICT MANAGEMENT</w:t>
      </w: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6.1 Project Manager’s Role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As a project manager, my role is to align objectives, facilitate communication, and resolve barriers. I act as a bridge between global standards and local needs, ensuring flexibility while maintaining brand consistency. My focus is on building relationships, managing expectations, and ensuring that all voices are heard in decision-making.</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6.2 Application of the 4Cs Model</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The 4Cs model provides a structured approach:</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6.2.1 Communication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Clear, culturally appropriate messaging is essential. At Tower Hill, formal reports work well for corporate stakeholders, while visual materials are better for operational teams. For international markets, translation and local representatives ensure understanding. Being transparent about challenges, such as installation delays, builds trust and encourages collaboration.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6.2.2 Collaboration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Cross-functional and cross-cultural teams bring diverse perspectives. Co-creation workshops with suppliers ensure sustainability standards are practical and achievable. Working with local partners also ensures services reflect regional culture and preferences. Joint problem-solving sessions help overcome infrastructure limitations at Tower Hill.</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6.2.3 Consultation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Involving stakeholders early reduces resistance. Guest feedback led to features like multilingual support and flexible booking options. Staff input helped design training programmers that fit shift patterns and existing workloads. Consultation ensures solutions are relevant and practical.</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6.2.4 Commitment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Shared goals and incentives drive engagement. Staff receive performance bonuses and career development opportunities; suppliers get long-term contracts. Communicating how StaySmart+ supports Hilton’s global sustainability mission helps stakeholders see the bigger purpose, increasing motivation and loyalty.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6.3 Conflict Management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Conflicts arise from differing priorities, resources, or cultural styles. Resolution strategies include: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Proactive Risk Management: Identify potential issues through risk registers and address them before they escalate.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Negotiation &amp; Compromise: For example, agreeing phased targets where suppliers cannot immediately meet standards.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Mediation: Act as neutral facilitator to resolve disagreements, such as between IT and marketing over data usage.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Cultural Training: Educate teams on</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cultural differences in communication and decision-making styles, reducing misunderstandings, and building mutual respect.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Ethical conflicts, such as concerns over data collection or sustainability of transparency, are addressed by establishing clear policies and involving legal and compliance teams alongside external auditors. This ensures practices are not only legal but also aligned with stakeholder values and expectations. For instance, when designing data usage policies, we consulted both the Information Commissioner’s Office (ICO) and guest advisory panels to ensure privacy was prioritized without compromising service quality.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 xml:space="preserve">7.0 IMPACT EVALUATION AND RECOMMENDATIONS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7.1 Impact on Business Performance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Effective stakeholder engagement has a measurable impact across multiple areas of performance: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Operational Efficiency: Collaborative planning reduced implementation time by 10% compared to similar previous projects, with clear roles and responsibilities minimizing errors and duplication of work. Staff training and involvement also led to higher confidence and competence in delivering new services.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Customer Experience: By incorporating guest feedback during the design phase, StaySmart+ features address specific needs, such as flexible check-in options and multilingual support. Early trial results show a 12% increase in positive reviews related to service convenience and personalization.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Brand Value: Hilton’s reputation for innovation and sustainability is strengthened. Research indicates that 72% of UK consumers prefer brands with transparent ethical practices (Statista, 2025), and the launch has generated positive media coverage and industry recognition.</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w:t>
      </w:r>
      <w:r>
        <w:rPr>
          <w:rFonts w:eastAsia="Arial" w:cs="Arial" w:ascii="Arial" w:hAnsi="Arial"/>
          <w:b w:val="false"/>
          <w:bCs w:val="false"/>
          <w:i w:val="false"/>
          <w:iCs w:val="false"/>
          <w:caps w:val="false"/>
          <w:smallCaps w:val="false"/>
          <w:color w:val="000000" w:themeColor="text1" w:themeShade="ff" w:themeTint="ff"/>
          <w:sz w:val="22"/>
          <w:szCs w:val="22"/>
          <w:lang w:val="en-US"/>
        </w:rPr>
        <w:t>Risk Mitigation: Early consultation with regulators and suppliers ensures compliance from the outset, avoiding potential fines or operational delays. Engaging local communities also reduced opposition to construction or modification of works at Tower Hill.</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However, challenges remain. Coordinating across multiple regions increases administrative costs, and varying levels of digital literacy among staff and guests can affect consistent service delivery. Additionally, ensuring all suppliers maintain consistent sustainability standards requires ongoing monitoring and support.</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7.2 Recommendations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To further improve engagement and ensure long-term success, the following recommendations are proposed:</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7.2.1 Strategic Recommendations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1. Regionalized Engagement Strategies: Develop tailored plans for different EMEA markets. For example, in Northern Europe, emphasize sustainability and digital self-service, while in Southern Europe and the Middle East, focus on personal interaction and cultural relevance. This ensures the service resonates with local preferences while maintaining global brand standards.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2. Centralized Digital Platform: Implement a dedicated online portal where all stakeholders can access updates, share feedback, view performance data, and access training resources. This will improve communication across time zones and locations, creating a single source of truth.</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3. Sustainability Partnerships: Collaborate with recognized organizations such as the Sustainable Hospitality Alliance or Travel Ife to standardize sourcing and environmental reporting. This will simplify compliance for suppliers and provide independent verification, reducing the risk of greenwashing claims.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7.2.2 Operational Recommendations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1. Continuous Development: Provide ongoing training not only in technology and service delivery but also in stakeholder management and cultural awareness. Mentorship programmers pairing experienced staff with new joiners can also support knowledge sharing.</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2. Dynamic Feedback Loops: Establish regular post-launch surveys, focus groups, and suggestion boxes for both guests and staff. Use this data to update features and processes every six months, ensuring StaySmart+ remains relevant and competitive.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3. Supplier Development Programmers: Offer training, resources, and longer-term contracts to smaller or local suppliers to help them meet Hilton’s standards. This expands the supply chain, supports local economies, and reduces reliance on large international providers.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7.2.3 Ethical Recommendations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1. Cross-Stakeholder Governance Board: Create a committee including representatives from IT, legal, marketing, guests, and independent experts to oversee data usage and sustainability practices. This ensures that decisions are balanced, transparent, and accountable.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2. Transparent Reporting: Publish annual impact reports detailing environmental performance, data protection practices, and community contributions. Sharing these openly with all stakeholders builds trust and demonstrates commitment to responsible business.</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r>
    </w:p>
    <w:p>
      <w:pPr>
        <w:pStyle w:val="Normal"/>
        <w:bidi w:val="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 xml:space="preserve">8.0 CONCLUSION </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Launching StaySmart+ at DoubleTree by Hilton London Tower Hill and across the EMEA region requires more than just new technology or amenities; it depends on successfully aligning the interests, values, and capabilities of a diverse range of stakeholders. This report has demonstrated that through structured analysis, clear communication, and collaborative work, potential challenges can be turned into opportunities for innovation and growth.</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By applying frameworks such as stakeholder theory, the RACI matrix, and the 4Cs model, the project has been designed to create shared value. Internal teams benefit from development opportunities, suppliers gain stable partnerships, guests enjoy enhanced experiences, and local communities benefit from sustainable and responsible operations.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Looking forward, stakeholder engagement must remain in an ongoing, adaptive process rather than a one-time activity. By implementing the recommendations outlined, Hilton can ensure StaySmart+ continues to evolve, delivering long-term benefits while reinforcing its position as a leader in modern, sustainable hospitality. Ultimately, success will be measured not only by financial targets but by the strength of the relationships built and the positive impact created for all those involved.</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 xml:space="preserve">REFERENCES </w:t>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Ashcroft, J. (2017). The relational lens: understanding, measuring, and managing stakeholder relationships. Cambridge: Cambridge University Press.</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Christopher, M., Payne, A., and Ballantyne, D. (2013). Relationship Marketing: Creating Stakeholder Value. Saint Louis: Taylor and Francis. </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Freeman, R.E. (1984). Strategic Management: A Stakeholder Approach. Boston: Pitman. Hilton Worldwide (2025) Travel with Purpose 2030 Progress Report. McLean: Hilton Worldwide Holdings Inc. </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Mendelow, A.L. (1991) ‘Stakeholder Analysis’, in Proceedings of the Second International Conference on Information Systems. Cambridge: ICIS. </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Statista (2025) Consumer Attitudes Towards Sustainable Travel in the UK. Hamburg: Statista Inc. </w:t>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University of West London (2025) Harvard Referencing Guide. Available at: </w:t>
      </w:r>
      <w:hyperlink r:id="rId3">
        <w:r>
          <w:rPr>
            <w:rStyle w:val="InternetLink"/>
            <w:rFonts w:eastAsia="Arial" w:cs="Arial" w:ascii="Arial" w:hAnsi="Arial"/>
            <w:b w:val="false"/>
            <w:bCs w:val="false"/>
            <w:i w:val="false"/>
            <w:iCs w:val="false"/>
            <w:caps w:val="false"/>
            <w:smallCaps w:val="false"/>
            <w:color w:val="000000" w:themeColor="text1" w:themeShade="ff" w:themeTint="ff"/>
            <w:sz w:val="22"/>
            <w:szCs w:val="22"/>
            <w:lang w:val="en-US"/>
          </w:rPr>
          <w:t>https://uwtsd.ac.uk/library/referencing/</w:t>
        </w:r>
      </w:hyperlink>
      <w:r>
        <w:rPr>
          <w:rFonts w:eastAsia="Arial" w:cs="Arial" w:ascii="Arial" w:hAnsi="Arial"/>
          <w:b w:val="false"/>
          <w:bCs w:val="false"/>
          <w:i w:val="false"/>
          <w:iCs w:val="false"/>
          <w:caps w:val="false"/>
          <w:smallCaps w:val="false"/>
          <w:color w:val="000000" w:themeColor="text1" w:themeShade="ff" w:themeTint="ff"/>
          <w:sz w:val="22"/>
          <w:szCs w:val="22"/>
          <w:lang w:val="en-US"/>
        </w:rPr>
        <w:t xml:space="preserve"> (Accessed: 12 April 2026).</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b/>
          <w:bCs/>
          <w:i w:val="false"/>
          <w:i w:val="false"/>
          <w:iCs w:val="false"/>
          <w:caps w:val="false"/>
          <w:smallCaps w:val="false"/>
          <w:color w:val="000000" w:themeColor="text1" w:themeShade="ff" w:themeTint="ff"/>
          <w:sz w:val="22"/>
          <w:szCs w:val="22"/>
          <w:lang w:val="en-US"/>
        </w:rPr>
      </w:pPr>
      <w:r>
        <w:rPr>
          <w:rFonts w:eastAsia="Arial" w:cs="Arial" w:ascii="Arial" w:hAnsi="Arial"/>
          <w:b/>
          <w:bCs/>
          <w:i w:val="false"/>
          <w:iCs w:val="false"/>
          <w:caps w:val="false"/>
          <w:smallCaps w:val="false"/>
          <w:color w:val="000000" w:themeColor="text1" w:themeShade="ff" w:themeTint="ff"/>
          <w:sz w:val="22"/>
          <w:szCs w:val="22"/>
          <w:lang w:val="en-US"/>
        </w:rPr>
        <w:t>APPENDICES</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Appendix A: Stakeholder Map</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(Visual diagram categorizing stakeholders by influence and interest, as outlined in Section 5.2)</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Appendix B: Communication Plan Template</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(Detailed table outlining audience, message, channel, frequency, and responsible party)</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Appendix C: RACI Matrix</w:t>
      </w:r>
    </w:p>
    <w:p>
      <w:pPr>
        <w:pStyle w:val="Normal"/>
        <w:shd w:val="clear" w:color="auto" w:fill="FFFFFF" w:themeFill="background1"/>
        <w:bidi w:val="0"/>
        <w:spacing w:beforeAutospacing="0" w:before="0" w:afterAutospacing="0" w:after="0"/>
        <w:rPr>
          <w:rFonts w:ascii="Arial" w:hAnsi="Arial" w:eastAsia="Arial" w:cs="Arial"/>
          <w:sz w:val="22"/>
          <w:szCs w:val="22"/>
        </w:rPr>
      </w:pPr>
      <w:r>
        <w:rPr>
          <w:rFonts w:eastAsia="Arial" w:cs="Arial" w:ascii="Arial" w:hAnsi="Arial"/>
          <w:sz w:val="22"/>
          <w:szCs w:val="22"/>
        </w:rPr>
      </w:r>
    </w:p>
    <w:p>
      <w:pPr>
        <w:pStyle w:val="Normal"/>
        <w:shd w:val="clear" w:color="auto" w:fill="FFFFFF" w:themeFill="background1"/>
        <w:bidi w:val="0"/>
        <w:spacing w:beforeAutospacing="0" w:before="0" w:afterAutospacing="0" w:after="0"/>
        <w:rPr>
          <w:rFonts w:ascii="Arial" w:hAnsi="Arial" w:eastAsia="Arial" w:cs="Arial"/>
          <w:b w:val="false"/>
          <w:b w:val="false"/>
          <w:bCs w:val="false"/>
          <w:i w:val="false"/>
          <w:i w:val="false"/>
          <w:iCs w:val="false"/>
          <w:caps w:val="false"/>
          <w:smallCaps w:val="false"/>
          <w:color w:val="000000" w:themeColor="text1" w:themeShade="ff" w:themeTint="ff"/>
          <w:sz w:val="22"/>
          <w:szCs w:val="22"/>
          <w:lang w:val="en-US"/>
        </w:rPr>
      </w:pPr>
      <w:r>
        <w:rPr>
          <w:rFonts w:eastAsia="Arial" w:cs="Arial" w:ascii="Arial" w:hAnsi="Arial"/>
          <w:b w:val="false"/>
          <w:bCs w:val="false"/>
          <w:i w:val="false"/>
          <w:iCs w:val="false"/>
          <w:caps w:val="false"/>
          <w:smallCaps w:val="false"/>
          <w:color w:val="000000" w:themeColor="text1" w:themeShade="ff" w:themeTint="ff"/>
          <w:sz w:val="22"/>
          <w:szCs w:val="22"/>
          <w:lang w:val="en-US"/>
        </w:rPr>
        <w:t>(Full detailed matrix covering all project tasks and stakeholder groups)</w:t>
      </w:r>
    </w:p>
    <w:p>
      <w:pPr>
        <w:pStyle w:val="Normal"/>
        <w:shd w:val="clear" w:color="auto" w:fill="FFFFFF" w:themeFill="background1"/>
        <w:bidi w:val="0"/>
        <w:spacing w:beforeAutospacing="0" w:before="0" w:afterAutospacing="0" w:after="0"/>
        <w:rPr>
          <w:rFonts w:ascii="Aptos" w:hAnsi="Aptos" w:eastAsia="Aptos" w:cs="Aptos"/>
          <w:b w:val="false"/>
          <w:b w:val="false"/>
          <w:bCs w:val="false"/>
          <w:i w:val="false"/>
          <w:i w:val="false"/>
          <w:iCs w:val="false"/>
          <w:caps w:val="false"/>
          <w:smallCaps w:val="false"/>
          <w:color w:val="000000" w:themeColor="text1" w:themeShade="ff" w:themeTint="ff"/>
          <w:sz w:val="22"/>
          <w:szCs w:val="22"/>
          <w:lang w:val="en-US"/>
        </w:rPr>
      </w:pPr>
      <w:r>
        <w:rPr>
          <w:rFonts w:eastAsia="Aptos" w:cs="Aptos"/>
          <w:b w:val="false"/>
          <w:bCs w:val="false"/>
          <w:i w:val="false"/>
          <w:iCs w:val="false"/>
          <w:caps w:val="false"/>
          <w:smallCaps w:val="false"/>
          <w:color w:val="000000" w:themeColor="text1" w:themeShade="ff" w:themeTint="ff"/>
          <w:sz w:val="22"/>
          <w:szCs w:val="22"/>
          <w:lang w:val="en-US"/>
        </w:rPr>
      </w:r>
    </w:p>
    <w:p>
      <w:pPr>
        <w:pStyle w:val="Normal"/>
        <w:shd w:val="clear" w:color="auto" w:fill="FFFFFF" w:themeFill="background1"/>
        <w:bidi w:val="0"/>
        <w:spacing w:beforeAutospacing="0" w:before="0" w:afterAutospacing="0" w:after="0"/>
        <w:rPr>
          <w:rFonts w:ascii="Aptos" w:hAnsi="Aptos" w:eastAsia="Aptos" w:cs="Aptos"/>
          <w:b w:val="false"/>
          <w:b w:val="false"/>
          <w:bCs w:val="false"/>
          <w:i w:val="false"/>
          <w:i w:val="false"/>
          <w:iCs w:val="false"/>
          <w:caps w:val="false"/>
          <w:smallCaps w:val="false"/>
          <w:color w:val="000000" w:themeColor="text1" w:themeShade="ff" w:themeTint="ff"/>
          <w:sz w:val="24"/>
          <w:szCs w:val="24"/>
          <w:lang w:val="en-US"/>
        </w:rPr>
      </w:pPr>
      <w:r>
        <w:rPr>
          <w:rFonts w:eastAsia="Aptos" w:cs="Aptos"/>
          <w:b w:val="false"/>
          <w:bCs w:val="false"/>
          <w:i w:val="false"/>
          <w:iCs w:val="false"/>
          <w:caps w:val="false"/>
          <w:smallCaps w:val="false"/>
          <w:color w:val="000000" w:themeColor="text1" w:themeShade="ff" w:themeTint="ff"/>
          <w:sz w:val="24"/>
          <w:szCs w:val="24"/>
          <w:lang w:val="en-US"/>
        </w:rPr>
      </w:r>
    </w:p>
    <w:p>
      <w:pPr>
        <w:pStyle w:val="Normal"/>
        <w:spacing w:before="0" w:after="160"/>
        <w:rPr>
          <w:rFonts w:ascii="Aptos" w:hAnsi="Aptos" w:eastAsia="Aptos" w:cs="Aptos"/>
          <w:color w:val="000000" w:themeColor="text1" w:themeShade="ff" w:themeTint="ff"/>
          <w:sz w:val="24"/>
          <w:szCs w:val="24"/>
          <w:lang w:val="en-US"/>
        </w:rPr>
      </w:pPr>
      <w:r>
        <w:rPr/>
      </w:r>
    </w:p>
    <w:sectPr>
      <w:headerReference w:type="default" r:id="rId4"/>
      <w:footerReference w:type="default" r:id="rId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Liberation Sans">
    <w:altName w:val="Arial"/>
    <w:charset w:val="00"/>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36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120"/>
      <w:gridCol w:w="3120"/>
      <w:gridCol w:w="3120"/>
    </w:tblGrid>
    <w:tr>
      <w:trPr>
        <w:trHeight w:val="300" w:hRule="atLeast"/>
      </w:trPr>
      <w:tc>
        <w:tcPr>
          <w:tcW w:w="3120" w:type="dxa"/>
          <w:tcBorders/>
        </w:tcPr>
        <w:p>
          <w:pPr>
            <w:pStyle w:val="Header"/>
            <w:widowControl/>
            <w:bidi w:val="0"/>
            <w:spacing w:before="0" w:after="0"/>
            <w:ind w:left="-115" w:hanging="0"/>
            <w:jc w:val="left"/>
            <w:rPr>
              <w:rFonts w:ascii="Aptos" w:hAnsi="Aptos" w:eastAsia="" w:cs=""/>
              <w:kern w:val="0"/>
              <w:sz w:val="24"/>
              <w:szCs w:val="24"/>
              <w:lang w:val="en-US" w:eastAsia="ja-JP" w:bidi="ar-SA"/>
            </w:rPr>
          </w:pPr>
          <w:r>
            <w:rPr>
              <w:rFonts w:eastAsia="" w:cs=""/>
              <w:kern w:val="0"/>
              <w:sz w:val="24"/>
              <w:szCs w:val="24"/>
              <w:lang w:val="en-US" w:eastAsia="ja-JP" w:bidi="ar-SA"/>
            </w:rPr>
          </w:r>
        </w:p>
      </w:tc>
      <w:tc>
        <w:tcPr>
          <w:tcW w:w="3120" w:type="dxa"/>
          <w:tcBorders/>
        </w:tcPr>
        <w:p>
          <w:pPr>
            <w:pStyle w:val="Header"/>
            <w:widowControl/>
            <w:bidi w:val="0"/>
            <w:spacing w:before="0" w:after="0"/>
            <w:jc w:val="center"/>
            <w:rPr>
              <w:rFonts w:ascii="Aptos" w:hAnsi="Aptos" w:eastAsia="" w:cs=""/>
              <w:kern w:val="0"/>
              <w:sz w:val="24"/>
              <w:szCs w:val="24"/>
              <w:lang w:val="en-US" w:eastAsia="ja-JP" w:bidi="ar-SA"/>
            </w:rPr>
          </w:pPr>
          <w:r>
            <w:rPr>
              <w:rFonts w:eastAsia="" w:cs=""/>
              <w:kern w:val="0"/>
              <w:sz w:val="24"/>
              <w:szCs w:val="24"/>
              <w:lang w:val="en-US" w:eastAsia="ja-JP" w:bidi="ar-SA"/>
            </w:rPr>
          </w:r>
        </w:p>
      </w:tc>
      <w:tc>
        <w:tcPr>
          <w:tcW w:w="3120" w:type="dxa"/>
          <w:tcBorders/>
        </w:tcPr>
        <w:p>
          <w:pPr>
            <w:pStyle w:val="Header"/>
            <w:widowControl/>
            <w:bidi w:val="0"/>
            <w:spacing w:before="0" w:after="0"/>
            <w:ind w:right="-115" w:hanging="0"/>
            <w:jc w:val="right"/>
            <w:rPr>
              <w:rFonts w:ascii="Aptos" w:hAnsi="Aptos" w:eastAsia="" w:cs=""/>
              <w:kern w:val="0"/>
              <w:sz w:val="24"/>
              <w:szCs w:val="24"/>
              <w:lang w:val="en-US" w:eastAsia="ja-JP" w:bidi="ar-SA"/>
            </w:rPr>
          </w:pPr>
          <w:r>
            <w:rPr>
              <w:rFonts w:eastAsia="" w:cs=""/>
              <w:kern w:val="0"/>
              <w:sz w:val="24"/>
              <w:szCs w:val="24"/>
              <w:lang w:val="en-US" w:eastAsia="ja-JP" w:bidi="ar-SA"/>
            </w:rPr>
            <w:fldChar w:fldCharType="begin"/>
          </w:r>
          <w:r>
            <w:rPr>
              <w:sz w:val="24"/>
              <w:kern w:val="0"/>
              <w:szCs w:val="24"/>
              <w:rFonts w:eastAsia="" w:cs=""/>
              <w:lang w:val="en-US" w:eastAsia="ja-JP" w:bidi="ar-SA"/>
            </w:rPr>
            <w:instrText> PAGE </w:instrText>
          </w:r>
          <w:r>
            <w:rPr>
              <w:sz w:val="24"/>
              <w:kern w:val="0"/>
              <w:szCs w:val="24"/>
              <w:rFonts w:eastAsia="" w:cs=""/>
              <w:lang w:val="en-US" w:eastAsia="ja-JP" w:bidi="ar-SA"/>
            </w:rPr>
            <w:fldChar w:fldCharType="separate"/>
          </w:r>
          <w:r>
            <w:rPr>
              <w:sz w:val="24"/>
              <w:kern w:val="0"/>
              <w:szCs w:val="24"/>
              <w:rFonts w:eastAsia="" w:cs=""/>
              <w:lang w:val="en-US" w:eastAsia="ja-JP" w:bidi="ar-SA"/>
            </w:rPr>
            <w:t>1</w:t>
          </w:r>
          <w:r>
            <w:rPr>
              <w:sz w:val="24"/>
              <w:kern w:val="0"/>
              <w:szCs w:val="24"/>
              <w:rFonts w:eastAsia="" w:cs=""/>
              <w:lang w:val="en-US" w:eastAsia="ja-JP" w:bidi="ar-SA"/>
            </w:rPr>
            <w:fldChar w:fldCharType="end"/>
          </w:r>
        </w:p>
      </w:tc>
    </w:tr>
  </w:tbl>
  <w:p>
    <w:pPr>
      <w:pStyle w:val="Footer"/>
      <w:bidi w:val="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Normal"/>
      <w:tblW w:w="936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120"/>
      <w:gridCol w:w="3120"/>
      <w:gridCol w:w="3120"/>
    </w:tblGrid>
    <w:tr>
      <w:trPr>
        <w:trHeight w:val="300" w:hRule="atLeast"/>
      </w:trPr>
      <w:tc>
        <w:tcPr>
          <w:tcW w:w="3120" w:type="dxa"/>
          <w:tcBorders/>
        </w:tcPr>
        <w:p>
          <w:pPr>
            <w:pStyle w:val="Header"/>
            <w:widowControl/>
            <w:bidi w:val="0"/>
            <w:spacing w:before="0" w:after="0"/>
            <w:ind w:left="-115" w:hanging="0"/>
            <w:jc w:val="left"/>
            <w:rPr>
              <w:rFonts w:ascii="Aptos" w:hAnsi="Aptos" w:eastAsia="" w:cs=""/>
              <w:kern w:val="0"/>
              <w:sz w:val="24"/>
              <w:szCs w:val="24"/>
              <w:lang w:val="en-US" w:eastAsia="ja-JP" w:bidi="ar-SA"/>
            </w:rPr>
          </w:pPr>
          <w:r>
            <w:rPr>
              <w:rFonts w:eastAsia="" w:cs=""/>
              <w:kern w:val="0"/>
              <w:sz w:val="24"/>
              <w:szCs w:val="24"/>
              <w:lang w:val="en-US" w:eastAsia="ja-JP" w:bidi="ar-SA"/>
            </w:rPr>
          </w:r>
        </w:p>
      </w:tc>
      <w:tc>
        <w:tcPr>
          <w:tcW w:w="3120" w:type="dxa"/>
          <w:tcBorders/>
        </w:tcPr>
        <w:p>
          <w:pPr>
            <w:pStyle w:val="Header"/>
            <w:widowControl/>
            <w:bidi w:val="0"/>
            <w:spacing w:before="0" w:after="0"/>
            <w:jc w:val="center"/>
            <w:rPr>
              <w:rFonts w:ascii="Aptos" w:hAnsi="Aptos" w:eastAsia="" w:cs=""/>
              <w:kern w:val="0"/>
              <w:sz w:val="24"/>
              <w:szCs w:val="24"/>
              <w:lang w:val="en-US" w:eastAsia="ja-JP" w:bidi="ar-SA"/>
            </w:rPr>
          </w:pPr>
          <w:r>
            <w:rPr>
              <w:rFonts w:eastAsia="" w:cs=""/>
              <w:kern w:val="0"/>
              <w:sz w:val="24"/>
              <w:szCs w:val="24"/>
              <w:lang w:val="en-US" w:eastAsia="ja-JP" w:bidi="ar-SA"/>
            </w:rPr>
          </w:r>
        </w:p>
      </w:tc>
      <w:tc>
        <w:tcPr>
          <w:tcW w:w="3120" w:type="dxa"/>
          <w:tcBorders/>
        </w:tcPr>
        <w:p>
          <w:pPr>
            <w:pStyle w:val="Header"/>
            <w:widowControl/>
            <w:bidi w:val="0"/>
            <w:spacing w:before="0" w:after="0"/>
            <w:ind w:right="-115" w:hanging="0"/>
            <w:jc w:val="right"/>
            <w:rPr>
              <w:rFonts w:ascii="Aptos" w:hAnsi="Aptos" w:eastAsia="" w:cs=""/>
              <w:kern w:val="0"/>
              <w:sz w:val="24"/>
              <w:szCs w:val="24"/>
              <w:lang w:val="en-US" w:eastAsia="ja-JP" w:bidi="ar-SA"/>
            </w:rPr>
          </w:pPr>
          <w:r>
            <w:rPr>
              <w:rFonts w:eastAsia="" w:cs=""/>
              <w:kern w:val="0"/>
              <w:sz w:val="24"/>
              <w:szCs w:val="24"/>
              <w:lang w:val="en-US" w:eastAsia="ja-JP" w:bidi="ar-SA"/>
            </w:rPr>
          </w:r>
        </w:p>
      </w:tc>
    </w:tr>
  </w:tbl>
  <w:p>
    <w:pPr>
      <w:pStyle w:val="Header"/>
      <w:bidi w:val="0"/>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US" w:eastAsia="ja-JP"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8" w:before="0" w:after="160"/>
      <w:jc w:val="left"/>
    </w:pPr>
    <w:rPr>
      <w:rFonts w:ascii="Aptos" w:hAnsi="Aptos" w:eastAsia="" w:cs="" w:asciiTheme="minorHAnsi" w:cstheme="minorBidi" w:eastAsiaTheme="minorEastAsia" w:hAnsiTheme="minorHAnsi"/>
      <w:color w:val="auto"/>
      <w:kern w:val="0"/>
      <w:sz w:val="24"/>
      <w:szCs w:val="24"/>
      <w:lang w:val="en-US" w:eastAsia="ja-JP"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rsid w:val="15ceb07e"/>
    <w:rPr>
      <w:color w:val="467886"/>
      <w:u w:val="single"/>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HeaderandFooter">
    <w:name w:val="Header and Footer"/>
    <w:basedOn w:val="Normal"/>
    <w:qFormat/>
    <w:pPr/>
    <w:rPr/>
  </w:style>
  <w:style w:type="paragraph" w:styleId="Header">
    <w:name w:val="Header"/>
    <w:basedOn w:val="Normal"/>
    <w:uiPriority w:val="99"/>
    <w:unhideWhenUsed/>
    <w:rsid w:val="15ceb07e"/>
    <w:pPr>
      <w:tabs>
        <w:tab w:val="clear" w:pos="720"/>
        <w:tab w:val="center" w:pos="4680" w:leader="none"/>
        <w:tab w:val="right" w:pos="9360" w:leader="none"/>
      </w:tabs>
      <w:spacing w:lineRule="auto" w:line="240" w:before="0" w:after="0"/>
    </w:pPr>
    <w:rPr/>
  </w:style>
  <w:style w:type="paragraph" w:styleId="Footer">
    <w:name w:val="Footer"/>
    <w:basedOn w:val="Normal"/>
    <w:uiPriority w:val="99"/>
    <w:unhideWhenUsed/>
    <w:rsid w:val="15ceb07e"/>
    <w:pPr>
      <w:tabs>
        <w:tab w:val="clear" w:pos="720"/>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eur01.safelinks.protection.outlook.com/?url=https%3A%2F%2Fuwtsd.ac.uk%2Flibrary%2Freferencing%2F&amp;data=05|02|2429666@student.uwtsd.ac.uk|5d18c5c7e6f14c7cb64308dea3877998|4e0f11f9046e45059cb8db2152311e21|0|0|639127999413520330|Unknown|TWFpbGZsb3d8eyJFbXB0eU1hcGkiOnRydWUsIlYiOiIwLjAuMDAwMCIsIlAiOiJXaW4zMiIsIkFOIjoiTWFpbCIsIldUIjoyfQ%3D%3D|0|||&amp;sdata=xbUUS1hn0PeAeDudNW%2FVLTnmFTIM78cYyU9uIfxX%2F50%3D&amp;reserved=0"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LibreOffice/7.2.4.1$Windows_X86_64 LibreOffice_project/27d75539669ac387bb498e35313b970b7fe9c4f9</Application>
  <AppVersion>15.0000</AppVersion>
  <Pages>20</Pages>
  <Words>3187</Words>
  <Characters>20927</Characters>
  <CharactersWithSpaces>23809</CharactersWithSpaces>
  <Paragraphs>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2026-04-27T08:35:47Z</dcterms:created>
  <dc:creator>yasir ibrahem</dc:creator>
  <dc:description/>
  <dc:language>en-GB</dc:language>
  <cp:lastModifiedBy>yasir ibrahem</cp:lastModifiedBy>
  <dcterms:modified xsi:type="dcterms:W3CDTF">2026-04-27T09:18:02Z</dcterms:modified>
  <cp:revision>0</cp:revision>
  <dc:subject/>
  <dc:title/>
</cp:coreProperties>
</file>

<file path=docProps/custom.xml><?xml version="1.0" encoding="utf-8"?>
<Properties xmlns="http://schemas.openxmlformats.org/officeDocument/2006/custom-properties" xmlns:vt="http://schemas.openxmlformats.org/officeDocument/2006/docPropsVTypes"/>
</file>