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6BB2DF" w14:textId="77777777" w:rsidR="00A432AF" w:rsidRDefault="00A432AF" w:rsidP="00A432AF">
      <w:pPr>
        <w:keepNext/>
        <w:keepLines/>
        <w:spacing w:before="200" w:after="0" w:line="240" w:lineRule="auto"/>
        <w:outlineLvl w:val="2"/>
        <w:rPr>
          <w:rFonts w:eastAsia="Times New Roman" w:cstheme="minorHAnsi"/>
          <w:b/>
          <w:bCs/>
          <w:lang w:val="en-US" w:eastAsia="x-none"/>
        </w:rPr>
      </w:pPr>
      <w:r>
        <w:rPr>
          <w:rFonts w:cstheme="minorHAnsi"/>
          <w:b/>
          <w:bCs/>
          <w:noProof/>
          <w:lang w:eastAsia="en-GB"/>
        </w:rPr>
        <w:drawing>
          <wp:anchor distT="0" distB="0" distL="114300" distR="114300" simplePos="0" relativeHeight="251659264" behindDoc="0" locked="0" layoutInCell="1" allowOverlap="1" wp14:anchorId="05ED0580" wp14:editId="70F8B645">
            <wp:simplePos x="0" y="0"/>
            <wp:positionH relativeFrom="column">
              <wp:posOffset>1013460</wp:posOffset>
            </wp:positionH>
            <wp:positionV relativeFrom="paragraph">
              <wp:posOffset>-319405</wp:posOffset>
            </wp:positionV>
            <wp:extent cx="3474720" cy="1150620"/>
            <wp:effectExtent l="0" t="0" r="0" b="0"/>
            <wp:wrapNone/>
            <wp:docPr id="2" name="Picture 2" descr="C:\Users\evans\AppData\Local\Microsoft\Windows\INetCache\Content.MSO\CFAEBF35.tmp">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vans\AppData\Local\Microsoft\Windows\INetCache\Content.MSO\CFAEBF35.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4720" cy="1150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BA02B4" w14:textId="77777777" w:rsidR="00A432AF" w:rsidRDefault="00A432AF" w:rsidP="00A432AF">
      <w:pPr>
        <w:keepNext/>
        <w:keepLines/>
        <w:spacing w:before="200" w:after="0" w:line="240" w:lineRule="auto"/>
        <w:outlineLvl w:val="2"/>
        <w:rPr>
          <w:rFonts w:eastAsia="Times New Roman" w:cstheme="minorHAnsi"/>
          <w:b/>
          <w:bCs/>
          <w:lang w:val="en-US" w:eastAsia="x-none"/>
        </w:rPr>
      </w:pPr>
    </w:p>
    <w:p w14:paraId="2C06B099" w14:textId="77777777" w:rsidR="00A432AF" w:rsidRDefault="00A432AF" w:rsidP="00A432AF">
      <w:pPr>
        <w:keepNext/>
        <w:keepLines/>
        <w:spacing w:before="200" w:after="0" w:line="240" w:lineRule="auto"/>
        <w:outlineLvl w:val="2"/>
        <w:rPr>
          <w:rFonts w:eastAsia="Times New Roman" w:cstheme="minorHAnsi"/>
          <w:b/>
          <w:bCs/>
          <w:lang w:val="en-US" w:eastAsia="x-none"/>
        </w:rPr>
      </w:pPr>
    </w:p>
    <w:p w14:paraId="17B1A511" w14:textId="77777777" w:rsidR="00A432AF" w:rsidRDefault="00A432AF" w:rsidP="00A432AF">
      <w:pPr>
        <w:keepNext/>
        <w:keepLines/>
        <w:spacing w:before="200" w:after="0" w:line="240" w:lineRule="auto"/>
        <w:outlineLvl w:val="2"/>
        <w:rPr>
          <w:rFonts w:eastAsia="Times New Roman" w:cstheme="minorHAnsi"/>
          <w:b/>
          <w:bCs/>
          <w:lang w:val="en-US" w:eastAsia="x-none"/>
        </w:rPr>
      </w:pPr>
    </w:p>
    <w:p w14:paraId="15163B98" w14:textId="77777777" w:rsidR="00A432AF" w:rsidRDefault="00A432AF" w:rsidP="00A432AF">
      <w:pPr>
        <w:keepNext/>
        <w:keepLines/>
        <w:spacing w:before="200" w:after="0" w:line="240" w:lineRule="auto"/>
        <w:outlineLvl w:val="2"/>
        <w:rPr>
          <w:rFonts w:eastAsia="Times New Roman" w:cstheme="minorHAnsi"/>
          <w:b/>
          <w:bCs/>
          <w:lang w:val="en-US" w:eastAsia="x-none"/>
        </w:rPr>
      </w:pPr>
    </w:p>
    <w:p w14:paraId="10F8F576" w14:textId="77777777" w:rsidR="00A432AF" w:rsidRDefault="00A432AF" w:rsidP="00A432AF">
      <w:pPr>
        <w:keepNext/>
        <w:keepLines/>
        <w:spacing w:before="200" w:after="0" w:line="240" w:lineRule="auto"/>
        <w:outlineLvl w:val="2"/>
        <w:rPr>
          <w:rFonts w:eastAsia="Times New Roman" w:cstheme="minorHAnsi"/>
          <w:b/>
          <w:bCs/>
          <w:lang w:val="en-US" w:eastAsia="x-none"/>
        </w:rPr>
      </w:pPr>
    </w:p>
    <w:p w14:paraId="39ED6F08" w14:textId="77777777" w:rsidR="00A432AF" w:rsidRDefault="00A432AF" w:rsidP="00A432AF">
      <w:pPr>
        <w:keepNext/>
        <w:keepLines/>
        <w:spacing w:before="200" w:after="0" w:line="240" w:lineRule="auto"/>
        <w:outlineLvl w:val="2"/>
        <w:rPr>
          <w:rFonts w:eastAsia="Times New Roman" w:cstheme="minorHAnsi"/>
          <w:b/>
          <w:bCs/>
          <w:lang w:val="en-US" w:eastAsia="x-none"/>
        </w:rPr>
      </w:pPr>
      <w:r>
        <w:rPr>
          <w:rFonts w:eastAsia="Times New Roman" w:cstheme="minorHAnsi"/>
          <w:b/>
          <w:bCs/>
          <w:lang w:val="en-US" w:eastAsia="x-none"/>
        </w:rPr>
        <w:t>Student Name:</w:t>
      </w:r>
      <w:r>
        <w:rPr>
          <w:rFonts w:eastAsia="Times New Roman" w:cstheme="minorHAnsi"/>
          <w:b/>
          <w:bCs/>
          <w:lang w:val="en-US" w:eastAsia="x-none"/>
        </w:rPr>
        <w:tab/>
      </w:r>
      <w:r>
        <w:rPr>
          <w:rFonts w:eastAsia="Times New Roman" w:cstheme="minorHAnsi"/>
          <w:b/>
          <w:bCs/>
          <w:lang w:val="en-US" w:eastAsia="x-none"/>
        </w:rPr>
        <w:tab/>
      </w:r>
      <w:r w:rsidRPr="00DF00E6">
        <w:rPr>
          <w:rFonts w:eastAsia="Times New Roman" w:cstheme="minorHAnsi"/>
          <w:bCs/>
          <w:lang w:val="en-US" w:eastAsia="x-none"/>
        </w:rPr>
        <w:t>James Evans</w:t>
      </w:r>
    </w:p>
    <w:p w14:paraId="64C96477" w14:textId="77777777" w:rsidR="00A432AF" w:rsidRDefault="00A432AF" w:rsidP="00A432AF">
      <w:pPr>
        <w:keepNext/>
        <w:keepLines/>
        <w:spacing w:before="200" w:after="0" w:line="240" w:lineRule="auto"/>
        <w:outlineLvl w:val="2"/>
        <w:rPr>
          <w:rFonts w:eastAsia="Times New Roman" w:cstheme="minorHAnsi"/>
          <w:b/>
          <w:bCs/>
          <w:lang w:val="en-US" w:eastAsia="x-none"/>
        </w:rPr>
      </w:pPr>
    </w:p>
    <w:p w14:paraId="1D200BEA" w14:textId="77777777" w:rsidR="00A432AF" w:rsidRDefault="00A432AF" w:rsidP="00A432AF">
      <w:pPr>
        <w:keepNext/>
        <w:keepLines/>
        <w:spacing w:before="200" w:after="0" w:line="240" w:lineRule="auto"/>
        <w:outlineLvl w:val="2"/>
        <w:rPr>
          <w:rFonts w:eastAsia="Times New Roman" w:cstheme="minorHAnsi"/>
          <w:b/>
          <w:bCs/>
          <w:lang w:val="en-US" w:eastAsia="x-none"/>
        </w:rPr>
      </w:pPr>
      <w:r>
        <w:rPr>
          <w:rFonts w:eastAsia="Times New Roman" w:cstheme="minorHAnsi"/>
          <w:b/>
          <w:bCs/>
          <w:lang w:val="en-US" w:eastAsia="x-none"/>
        </w:rPr>
        <w:t>Student Number:</w:t>
      </w:r>
      <w:r>
        <w:rPr>
          <w:rFonts w:eastAsia="Times New Roman" w:cstheme="minorHAnsi"/>
          <w:b/>
          <w:bCs/>
          <w:lang w:val="en-US" w:eastAsia="x-none"/>
        </w:rPr>
        <w:tab/>
      </w:r>
      <w:r w:rsidRPr="00DF00E6">
        <w:rPr>
          <w:rFonts w:eastAsia="Times New Roman" w:cstheme="minorHAnsi"/>
          <w:bCs/>
          <w:lang w:val="en-US" w:eastAsia="x-none"/>
        </w:rPr>
        <w:t>P115716</w:t>
      </w:r>
    </w:p>
    <w:p w14:paraId="7175CBF3" w14:textId="77777777" w:rsidR="00A432AF" w:rsidRDefault="00A432AF" w:rsidP="00A432AF">
      <w:pPr>
        <w:keepNext/>
        <w:keepLines/>
        <w:spacing w:before="200" w:after="0" w:line="240" w:lineRule="auto"/>
        <w:outlineLvl w:val="2"/>
        <w:rPr>
          <w:rFonts w:eastAsia="Times New Roman" w:cstheme="minorHAnsi"/>
          <w:b/>
          <w:bCs/>
          <w:lang w:val="en-US" w:eastAsia="x-none"/>
        </w:rPr>
      </w:pPr>
    </w:p>
    <w:p w14:paraId="4F1E0F1B" w14:textId="77777777" w:rsidR="00A432AF" w:rsidRDefault="00A432AF" w:rsidP="00A432AF">
      <w:pPr>
        <w:keepNext/>
        <w:keepLines/>
        <w:spacing w:before="200" w:after="0" w:line="240" w:lineRule="auto"/>
        <w:outlineLvl w:val="2"/>
        <w:rPr>
          <w:rFonts w:eastAsia="Times New Roman" w:cstheme="minorHAnsi"/>
          <w:b/>
          <w:bCs/>
          <w:lang w:val="en-US" w:eastAsia="x-none"/>
        </w:rPr>
      </w:pPr>
      <w:r>
        <w:rPr>
          <w:rFonts w:eastAsia="Times New Roman" w:cstheme="minorHAnsi"/>
          <w:b/>
          <w:bCs/>
          <w:lang w:val="en-US" w:eastAsia="x-none"/>
        </w:rPr>
        <w:t>Course:</w:t>
      </w:r>
      <w:r>
        <w:rPr>
          <w:rFonts w:eastAsia="Times New Roman" w:cstheme="minorHAnsi"/>
          <w:b/>
          <w:bCs/>
          <w:lang w:val="en-US" w:eastAsia="x-none"/>
        </w:rPr>
        <w:tab/>
      </w:r>
      <w:r>
        <w:rPr>
          <w:rFonts w:eastAsia="Times New Roman" w:cstheme="minorHAnsi"/>
          <w:b/>
          <w:bCs/>
          <w:lang w:val="en-US" w:eastAsia="x-none"/>
        </w:rPr>
        <w:tab/>
      </w:r>
      <w:r>
        <w:rPr>
          <w:rFonts w:eastAsia="Times New Roman" w:cstheme="minorHAnsi"/>
          <w:b/>
          <w:bCs/>
          <w:lang w:val="en-US" w:eastAsia="x-none"/>
        </w:rPr>
        <w:tab/>
      </w:r>
      <w:r w:rsidRPr="00DF00E6">
        <w:rPr>
          <w:rFonts w:eastAsia="Times New Roman" w:cstheme="minorHAnsi"/>
          <w:bCs/>
          <w:lang w:val="en-US" w:eastAsia="x-none"/>
        </w:rPr>
        <w:t>MA Education</w:t>
      </w:r>
    </w:p>
    <w:p w14:paraId="4F3652F4" w14:textId="77777777" w:rsidR="00A432AF" w:rsidRDefault="00A432AF" w:rsidP="00A432AF">
      <w:pPr>
        <w:keepNext/>
        <w:keepLines/>
        <w:spacing w:before="200" w:after="0" w:line="240" w:lineRule="auto"/>
        <w:outlineLvl w:val="2"/>
        <w:rPr>
          <w:rFonts w:eastAsia="Times New Roman" w:cstheme="minorHAnsi"/>
          <w:b/>
          <w:bCs/>
          <w:lang w:val="en-US" w:eastAsia="x-none"/>
        </w:rPr>
      </w:pPr>
    </w:p>
    <w:p w14:paraId="721933CD" w14:textId="77777777" w:rsidR="00A432AF" w:rsidRDefault="00A432AF" w:rsidP="00A432AF">
      <w:pPr>
        <w:keepNext/>
        <w:keepLines/>
        <w:spacing w:before="200" w:after="0" w:line="240" w:lineRule="auto"/>
        <w:outlineLvl w:val="2"/>
        <w:rPr>
          <w:rFonts w:eastAsia="Times New Roman" w:cstheme="minorHAnsi"/>
          <w:b/>
          <w:bCs/>
          <w:lang w:val="en-US" w:eastAsia="x-none"/>
        </w:rPr>
      </w:pPr>
      <w:r>
        <w:rPr>
          <w:rFonts w:eastAsia="Times New Roman" w:cstheme="minorHAnsi"/>
          <w:b/>
          <w:bCs/>
          <w:lang w:val="en-US" w:eastAsia="x-none"/>
        </w:rPr>
        <w:t>Module:</w:t>
      </w:r>
      <w:r>
        <w:rPr>
          <w:rFonts w:eastAsia="Times New Roman" w:cstheme="minorHAnsi"/>
          <w:b/>
          <w:bCs/>
          <w:lang w:val="en-US" w:eastAsia="x-none"/>
        </w:rPr>
        <w:tab/>
      </w:r>
      <w:r w:rsidRPr="00DF00E6">
        <w:rPr>
          <w:rFonts w:eastAsia="Times New Roman" w:cstheme="minorHAnsi"/>
          <w:bCs/>
          <w:lang w:val="en-US" w:eastAsia="x-none"/>
        </w:rPr>
        <w:tab/>
        <w:t>Mentoring and Coaching (M7X01470)</w:t>
      </w:r>
    </w:p>
    <w:p w14:paraId="4BE54585" w14:textId="77777777" w:rsidR="00A432AF" w:rsidRDefault="00A432AF" w:rsidP="00A432AF">
      <w:pPr>
        <w:keepNext/>
        <w:keepLines/>
        <w:spacing w:before="200" w:after="0" w:line="240" w:lineRule="auto"/>
        <w:outlineLvl w:val="2"/>
        <w:rPr>
          <w:rFonts w:eastAsia="Times New Roman" w:cstheme="minorHAnsi"/>
          <w:b/>
          <w:bCs/>
          <w:lang w:val="en-US" w:eastAsia="x-none"/>
        </w:rPr>
      </w:pPr>
    </w:p>
    <w:p w14:paraId="35A8D782" w14:textId="77777777" w:rsidR="00A432AF" w:rsidRDefault="00A432AF" w:rsidP="00A432AF">
      <w:pPr>
        <w:keepNext/>
        <w:keepLines/>
        <w:spacing w:before="200" w:after="0" w:line="240" w:lineRule="auto"/>
        <w:ind w:left="2160" w:hanging="2160"/>
        <w:outlineLvl w:val="2"/>
        <w:rPr>
          <w:rFonts w:eastAsia="Times New Roman" w:cstheme="minorHAnsi"/>
          <w:b/>
          <w:bCs/>
          <w:lang w:val="en-US" w:eastAsia="x-none"/>
        </w:rPr>
      </w:pPr>
      <w:r>
        <w:rPr>
          <w:rFonts w:eastAsia="Times New Roman" w:cstheme="minorHAnsi"/>
          <w:b/>
          <w:bCs/>
          <w:lang w:val="en-US" w:eastAsia="x-none"/>
        </w:rPr>
        <w:t>Assignment Title:</w:t>
      </w:r>
      <w:r>
        <w:rPr>
          <w:rFonts w:eastAsia="Times New Roman" w:cstheme="minorHAnsi"/>
          <w:b/>
          <w:bCs/>
          <w:lang w:val="en-US" w:eastAsia="x-none"/>
        </w:rPr>
        <w:tab/>
      </w:r>
      <w:r w:rsidRPr="00DF00E6">
        <w:rPr>
          <w:rFonts w:eastAsia="Times New Roman" w:cstheme="minorHAnsi"/>
          <w:bCs/>
          <w:lang w:val="en-US" w:eastAsia="x-none"/>
        </w:rPr>
        <w:t>You will critique one article from a choice provided by the module leader. Make sure you provide the full details of the author/s and title of article and place of publication.</w:t>
      </w:r>
      <w:r w:rsidRPr="00FC737C">
        <w:rPr>
          <w:rFonts w:eastAsia="Times New Roman" w:cstheme="minorHAnsi"/>
          <w:b/>
          <w:bCs/>
          <w:lang w:val="en-US" w:eastAsia="x-none"/>
        </w:rPr>
        <w:t xml:space="preserve">  </w:t>
      </w:r>
    </w:p>
    <w:p w14:paraId="2960680D" w14:textId="77777777" w:rsidR="00A432AF" w:rsidRDefault="00A432AF" w:rsidP="00A432AF">
      <w:pPr>
        <w:keepNext/>
        <w:keepLines/>
        <w:spacing w:before="200" w:after="0" w:line="240" w:lineRule="auto"/>
        <w:ind w:left="2160" w:hanging="2160"/>
        <w:outlineLvl w:val="2"/>
        <w:rPr>
          <w:rFonts w:eastAsia="Times New Roman" w:cstheme="minorHAnsi"/>
          <w:b/>
          <w:bCs/>
          <w:lang w:val="en-US" w:eastAsia="x-none"/>
        </w:rPr>
      </w:pPr>
    </w:p>
    <w:p w14:paraId="72847BAF" w14:textId="77777777" w:rsidR="00A432AF" w:rsidRPr="00DF00E6" w:rsidRDefault="00A432AF" w:rsidP="00A432AF">
      <w:pPr>
        <w:keepNext/>
        <w:keepLines/>
        <w:spacing w:before="200" w:after="0" w:line="240" w:lineRule="auto"/>
        <w:ind w:left="2160" w:hanging="2160"/>
        <w:outlineLvl w:val="2"/>
        <w:rPr>
          <w:rFonts w:eastAsia="Times New Roman" w:cstheme="minorHAnsi"/>
          <w:bCs/>
          <w:lang w:val="en-US" w:eastAsia="x-none"/>
        </w:rPr>
      </w:pPr>
      <w:r>
        <w:rPr>
          <w:rFonts w:eastAsia="Times New Roman" w:cstheme="minorHAnsi"/>
          <w:b/>
          <w:bCs/>
          <w:lang w:val="en-US" w:eastAsia="x-none"/>
        </w:rPr>
        <w:t>Article Chosen:</w:t>
      </w:r>
      <w:r>
        <w:rPr>
          <w:rFonts w:eastAsia="Times New Roman" w:cstheme="minorHAnsi"/>
          <w:b/>
          <w:bCs/>
          <w:lang w:val="en-US" w:eastAsia="x-none"/>
        </w:rPr>
        <w:tab/>
      </w:r>
      <w:r>
        <w:rPr>
          <w:rFonts w:eastAsia="Times New Roman" w:cstheme="minorHAnsi"/>
          <w:bCs/>
          <w:lang w:val="en-US" w:eastAsia="x-none"/>
        </w:rPr>
        <w:t>Christie, H.,</w:t>
      </w:r>
      <w:r w:rsidRPr="00A34402">
        <w:rPr>
          <w:rFonts w:eastAsia="Times New Roman" w:cstheme="minorHAnsi"/>
          <w:bCs/>
          <w:lang w:val="en-US" w:eastAsia="x-none"/>
        </w:rPr>
        <w:t xml:space="preserve"> 2014. </w:t>
      </w:r>
      <w:r>
        <w:rPr>
          <w:rFonts w:eastAsia="Times New Roman" w:cstheme="minorHAnsi"/>
          <w:bCs/>
          <w:lang w:val="en-US" w:eastAsia="x-none"/>
        </w:rPr>
        <w:t>‘</w:t>
      </w:r>
      <w:r w:rsidRPr="00A34402">
        <w:rPr>
          <w:rFonts w:eastAsia="Times New Roman" w:cstheme="minorHAnsi"/>
          <w:bCs/>
          <w:lang w:val="en-US" w:eastAsia="x-none"/>
        </w:rPr>
        <w:t>Peer Mentoring in Higher Education: Issues of Power and Control</w:t>
      </w:r>
      <w:r>
        <w:rPr>
          <w:rFonts w:eastAsia="Times New Roman" w:cstheme="minorHAnsi"/>
          <w:bCs/>
          <w:lang w:val="en-US" w:eastAsia="x-none"/>
        </w:rPr>
        <w:t>’,</w:t>
      </w:r>
      <w:r w:rsidRPr="00A34402">
        <w:rPr>
          <w:rFonts w:eastAsia="Times New Roman" w:cstheme="minorHAnsi"/>
          <w:bCs/>
          <w:lang w:val="en-US" w:eastAsia="x-none"/>
        </w:rPr>
        <w:t xml:space="preserve"> </w:t>
      </w:r>
      <w:r>
        <w:rPr>
          <w:rFonts w:eastAsia="Times New Roman" w:cstheme="minorHAnsi"/>
          <w:bCs/>
          <w:lang w:val="en-US" w:eastAsia="x-none"/>
        </w:rPr>
        <w:t xml:space="preserve">Teaching in Higher Education, vol 19, no. 8, p 955-965. </w:t>
      </w:r>
    </w:p>
    <w:p w14:paraId="5F89D4EB" w14:textId="77777777" w:rsidR="00A432AF" w:rsidRDefault="00A432AF" w:rsidP="00A432AF">
      <w:pPr>
        <w:keepNext/>
        <w:keepLines/>
        <w:spacing w:before="200" w:after="0" w:line="240" w:lineRule="auto"/>
        <w:ind w:left="2160" w:hanging="2160"/>
        <w:outlineLvl w:val="2"/>
        <w:rPr>
          <w:rFonts w:eastAsia="Times New Roman" w:cstheme="minorHAnsi"/>
          <w:b/>
          <w:bCs/>
          <w:lang w:val="en-US" w:eastAsia="x-none"/>
        </w:rPr>
      </w:pPr>
    </w:p>
    <w:p w14:paraId="45BA2E63" w14:textId="77777777" w:rsidR="00A432AF" w:rsidRPr="00DF00E6" w:rsidRDefault="00A432AF" w:rsidP="00A432AF">
      <w:pPr>
        <w:keepNext/>
        <w:keepLines/>
        <w:spacing w:before="200" w:after="0" w:line="240" w:lineRule="auto"/>
        <w:outlineLvl w:val="2"/>
        <w:rPr>
          <w:rFonts w:eastAsia="Times New Roman" w:cstheme="minorHAnsi"/>
          <w:b/>
          <w:bCs/>
          <w:lang w:val="en-US" w:eastAsia="x-none"/>
        </w:rPr>
      </w:pPr>
      <w:r w:rsidRPr="00DF00E6">
        <w:rPr>
          <w:rFonts w:eastAsia="Times New Roman" w:cstheme="minorHAnsi"/>
          <w:b/>
          <w:bCs/>
          <w:lang w:val="en-US" w:eastAsia="x-none"/>
        </w:rPr>
        <w:t>Module Lead:</w:t>
      </w:r>
      <w:r w:rsidRPr="00DF00E6">
        <w:rPr>
          <w:rFonts w:eastAsia="Times New Roman" w:cstheme="minorHAnsi"/>
          <w:b/>
          <w:bCs/>
          <w:lang w:val="en-US" w:eastAsia="x-none"/>
        </w:rPr>
        <w:tab/>
      </w:r>
      <w:r>
        <w:rPr>
          <w:rFonts w:eastAsia="Times New Roman" w:cstheme="minorHAnsi"/>
          <w:b/>
          <w:bCs/>
          <w:lang w:val="en-US" w:eastAsia="x-none"/>
        </w:rPr>
        <w:tab/>
      </w:r>
      <w:r w:rsidRPr="00DF00E6">
        <w:rPr>
          <w:rFonts w:eastAsia="Times New Roman" w:cstheme="minorHAnsi"/>
          <w:bCs/>
          <w:lang w:val="en-US" w:eastAsia="x-none"/>
        </w:rPr>
        <w:t>Dr Jill Morgan</w:t>
      </w:r>
    </w:p>
    <w:p w14:paraId="12925ED7" w14:textId="77777777" w:rsidR="00A432AF" w:rsidRPr="00DF00E6" w:rsidRDefault="00A432AF" w:rsidP="00A432AF">
      <w:pPr>
        <w:keepNext/>
        <w:keepLines/>
        <w:spacing w:before="200" w:after="0" w:line="240" w:lineRule="auto"/>
        <w:ind w:left="2160" w:hanging="2160"/>
        <w:outlineLvl w:val="2"/>
        <w:rPr>
          <w:rFonts w:eastAsia="Times New Roman" w:cstheme="minorHAnsi"/>
          <w:b/>
          <w:bCs/>
          <w:lang w:val="en-US" w:eastAsia="x-none"/>
        </w:rPr>
      </w:pPr>
    </w:p>
    <w:p w14:paraId="144D0D8A" w14:textId="77777777" w:rsidR="00A432AF" w:rsidRDefault="00A432AF" w:rsidP="00A432AF">
      <w:pPr>
        <w:keepNext/>
        <w:keepLines/>
        <w:spacing w:before="200" w:after="0" w:line="240" w:lineRule="auto"/>
        <w:ind w:left="2160" w:hanging="2160"/>
        <w:outlineLvl w:val="2"/>
        <w:rPr>
          <w:rFonts w:eastAsia="Times New Roman" w:cstheme="minorHAnsi"/>
          <w:b/>
          <w:bCs/>
          <w:lang w:val="en-US" w:eastAsia="x-none"/>
        </w:rPr>
      </w:pPr>
      <w:r w:rsidRPr="00DF00E6">
        <w:rPr>
          <w:rFonts w:eastAsia="Times New Roman" w:cstheme="minorHAnsi"/>
          <w:b/>
          <w:bCs/>
          <w:lang w:val="en-US" w:eastAsia="x-none"/>
        </w:rPr>
        <w:t>Deadline:</w:t>
      </w:r>
      <w:r w:rsidRPr="00DF00E6">
        <w:rPr>
          <w:rFonts w:eastAsia="Times New Roman" w:cstheme="minorHAnsi"/>
          <w:b/>
          <w:bCs/>
          <w:lang w:val="en-US" w:eastAsia="x-none"/>
        </w:rPr>
        <w:tab/>
      </w:r>
      <w:r>
        <w:rPr>
          <w:rFonts w:eastAsia="Times New Roman" w:cstheme="minorHAnsi"/>
          <w:bCs/>
          <w:lang w:val="en-US" w:eastAsia="x-none"/>
        </w:rPr>
        <w:t>Friday 7</w:t>
      </w:r>
      <w:r w:rsidRPr="00DF00E6">
        <w:rPr>
          <w:rFonts w:eastAsia="Times New Roman" w:cstheme="minorHAnsi"/>
          <w:bCs/>
          <w:lang w:val="en-US" w:eastAsia="x-none"/>
        </w:rPr>
        <w:t>th September</w:t>
      </w:r>
      <w:r>
        <w:rPr>
          <w:rFonts w:eastAsia="Times New Roman" w:cstheme="minorHAnsi"/>
          <w:bCs/>
          <w:lang w:val="en-US" w:eastAsia="x-none"/>
        </w:rPr>
        <w:t xml:space="preserve"> 2018</w:t>
      </w:r>
    </w:p>
    <w:p w14:paraId="6B0D19C8" w14:textId="77777777" w:rsidR="00A432AF" w:rsidRDefault="00A432AF" w:rsidP="00A432AF">
      <w:pPr>
        <w:keepNext/>
        <w:keepLines/>
        <w:spacing w:before="200" w:after="0" w:line="240" w:lineRule="auto"/>
        <w:ind w:left="2160" w:hanging="2160"/>
        <w:outlineLvl w:val="2"/>
        <w:rPr>
          <w:rFonts w:eastAsia="Times New Roman" w:cstheme="minorHAnsi"/>
          <w:b/>
          <w:bCs/>
          <w:lang w:val="en-US" w:eastAsia="x-none"/>
        </w:rPr>
      </w:pPr>
    </w:p>
    <w:p w14:paraId="70A305C3" w14:textId="77777777" w:rsidR="00A432AF" w:rsidRDefault="00A432AF" w:rsidP="00A432AF">
      <w:pPr>
        <w:keepNext/>
        <w:keepLines/>
        <w:spacing w:before="200" w:after="0" w:line="240" w:lineRule="auto"/>
        <w:jc w:val="center"/>
        <w:outlineLvl w:val="2"/>
        <w:rPr>
          <w:rFonts w:eastAsia="Times New Roman" w:cstheme="minorHAnsi"/>
          <w:b/>
          <w:bCs/>
          <w:lang w:val="en-US" w:eastAsia="x-none"/>
        </w:rPr>
      </w:pPr>
    </w:p>
    <w:p w14:paraId="392110A3" w14:textId="77777777" w:rsidR="00A432AF" w:rsidRDefault="00A432AF" w:rsidP="00A432AF">
      <w:pPr>
        <w:keepNext/>
        <w:keepLines/>
        <w:spacing w:before="200" w:after="0" w:line="240" w:lineRule="auto"/>
        <w:jc w:val="center"/>
        <w:outlineLvl w:val="2"/>
        <w:rPr>
          <w:rFonts w:eastAsia="Times New Roman" w:cstheme="minorHAnsi"/>
          <w:b/>
          <w:bCs/>
          <w:lang w:val="en-US" w:eastAsia="x-none"/>
        </w:rPr>
      </w:pPr>
    </w:p>
    <w:p w14:paraId="44880E5D" w14:textId="77777777" w:rsidR="00A432AF" w:rsidRDefault="00A432AF" w:rsidP="00A432AF">
      <w:pPr>
        <w:keepNext/>
        <w:keepLines/>
        <w:spacing w:before="200" w:after="0" w:line="240" w:lineRule="auto"/>
        <w:jc w:val="center"/>
        <w:outlineLvl w:val="2"/>
        <w:rPr>
          <w:rFonts w:eastAsia="Times New Roman" w:cstheme="minorHAnsi"/>
          <w:b/>
          <w:bCs/>
          <w:lang w:val="en-US" w:eastAsia="x-none"/>
        </w:rPr>
      </w:pPr>
    </w:p>
    <w:p w14:paraId="329BD4C3" w14:textId="77777777" w:rsidR="00A432AF" w:rsidRDefault="00A432AF" w:rsidP="00A432AF">
      <w:pPr>
        <w:keepNext/>
        <w:keepLines/>
        <w:spacing w:before="200" w:after="0" w:line="240" w:lineRule="auto"/>
        <w:jc w:val="center"/>
        <w:outlineLvl w:val="2"/>
        <w:rPr>
          <w:rFonts w:eastAsia="Times New Roman" w:cstheme="minorHAnsi"/>
          <w:b/>
          <w:bCs/>
          <w:lang w:val="en-US" w:eastAsia="x-none"/>
        </w:rPr>
      </w:pPr>
    </w:p>
    <w:p w14:paraId="1F3E018D" w14:textId="77777777" w:rsidR="00A432AF" w:rsidRDefault="00A432AF" w:rsidP="00A432AF">
      <w:pPr>
        <w:keepNext/>
        <w:keepLines/>
        <w:spacing w:before="200" w:after="0" w:line="240" w:lineRule="auto"/>
        <w:jc w:val="center"/>
        <w:outlineLvl w:val="2"/>
        <w:rPr>
          <w:rFonts w:eastAsia="Times New Roman" w:cstheme="minorHAnsi"/>
          <w:b/>
          <w:bCs/>
          <w:lang w:val="en-US" w:eastAsia="x-none"/>
        </w:rPr>
      </w:pPr>
    </w:p>
    <w:p w14:paraId="28CE475B" w14:textId="77777777" w:rsidR="00A432AF" w:rsidRDefault="00A432AF" w:rsidP="00A432AF">
      <w:pPr>
        <w:spacing w:after="0" w:line="240" w:lineRule="auto"/>
        <w:rPr>
          <w:rFonts w:eastAsia="Times New Roman" w:cstheme="minorHAnsi"/>
          <w:b/>
          <w:bCs/>
          <w:lang w:val="en-US" w:eastAsia="x-none"/>
        </w:rPr>
      </w:pPr>
    </w:p>
    <w:p w14:paraId="0C942C54" w14:textId="77777777" w:rsidR="00A432AF" w:rsidRDefault="00A432AF" w:rsidP="00A432AF">
      <w:pPr>
        <w:spacing w:after="0" w:line="240" w:lineRule="auto"/>
        <w:rPr>
          <w:rFonts w:eastAsia="Times New Roman" w:cstheme="minorHAnsi"/>
          <w:b/>
          <w:color w:val="000000"/>
          <w:u w:val="single"/>
          <w:lang w:val="en-US"/>
        </w:rPr>
      </w:pPr>
      <w:r>
        <w:rPr>
          <w:rFonts w:eastAsia="Times New Roman" w:cstheme="minorHAnsi"/>
          <w:b/>
          <w:color w:val="000000"/>
          <w:u w:val="single"/>
          <w:lang w:val="en-US"/>
        </w:rPr>
        <w:lastRenderedPageBreak/>
        <w:t>Contents Page</w:t>
      </w:r>
    </w:p>
    <w:p w14:paraId="2B7543D2" w14:textId="77777777" w:rsidR="00A432AF" w:rsidRDefault="00A432AF" w:rsidP="00A432AF">
      <w:pPr>
        <w:spacing w:after="0" w:line="240" w:lineRule="auto"/>
        <w:rPr>
          <w:rFonts w:eastAsia="Times New Roman" w:cstheme="minorHAnsi"/>
          <w:b/>
          <w:color w:val="000000"/>
          <w:u w:val="single"/>
          <w:lang w:val="en-US"/>
        </w:rPr>
      </w:pPr>
    </w:p>
    <w:p w14:paraId="4CB796B2" w14:textId="77777777" w:rsidR="00A432AF" w:rsidRDefault="00A432AF" w:rsidP="00A432AF">
      <w:pPr>
        <w:spacing w:after="0" w:line="240" w:lineRule="auto"/>
        <w:rPr>
          <w:rFonts w:eastAsia="Times New Roman" w:cstheme="minorHAnsi"/>
          <w:b/>
          <w:color w:val="000000"/>
          <w:u w:val="single"/>
          <w:lang w:val="en-US"/>
        </w:rPr>
      </w:pPr>
    </w:p>
    <w:p w14:paraId="3A1D087A" w14:textId="77777777" w:rsidR="00A432AF" w:rsidRDefault="00A432AF" w:rsidP="00A432AF">
      <w:pPr>
        <w:spacing w:after="0" w:line="240" w:lineRule="auto"/>
        <w:ind w:left="1440" w:hanging="1440"/>
        <w:rPr>
          <w:rFonts w:eastAsia="Times New Roman" w:cstheme="minorHAnsi"/>
          <w:color w:val="000000"/>
          <w:lang w:val="en-US"/>
        </w:rPr>
      </w:pPr>
      <w:r>
        <w:rPr>
          <w:rFonts w:eastAsia="Times New Roman" w:cstheme="minorHAnsi"/>
          <w:color w:val="000000"/>
          <w:lang w:val="en-US"/>
        </w:rPr>
        <w:t>Page 3:</w:t>
      </w:r>
      <w:r>
        <w:rPr>
          <w:rFonts w:eastAsia="Times New Roman" w:cstheme="minorHAnsi"/>
          <w:color w:val="000000"/>
          <w:lang w:val="en-US"/>
        </w:rPr>
        <w:tab/>
      </w:r>
      <w:r w:rsidRPr="00DD443F">
        <w:rPr>
          <w:rFonts w:eastAsia="Times New Roman" w:cstheme="minorHAnsi"/>
          <w:color w:val="000000"/>
          <w:lang w:val="en-US"/>
        </w:rPr>
        <w:t>Introduction, aims and objectives, along with research questions and how they guide the article</w:t>
      </w:r>
    </w:p>
    <w:p w14:paraId="06DAF3AF"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Page 4:</w:t>
      </w:r>
      <w:r>
        <w:rPr>
          <w:rFonts w:eastAsia="Times New Roman" w:cstheme="minorHAnsi"/>
          <w:color w:val="000000"/>
          <w:lang w:val="en-US"/>
        </w:rPr>
        <w:tab/>
      </w:r>
      <w:r>
        <w:rPr>
          <w:rFonts w:eastAsia="Times New Roman" w:cstheme="minorHAnsi"/>
          <w:color w:val="000000"/>
          <w:lang w:val="en-US"/>
        </w:rPr>
        <w:tab/>
      </w:r>
      <w:r w:rsidRPr="00DD443F">
        <w:rPr>
          <w:rFonts w:eastAsia="Times New Roman" w:cstheme="minorHAnsi"/>
          <w:color w:val="000000"/>
          <w:lang w:val="en-US"/>
        </w:rPr>
        <w:t>Sample size, type and how it was selected</w:t>
      </w:r>
    </w:p>
    <w:p w14:paraId="18C33F5E"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Pages 4-5:</w:t>
      </w:r>
      <w:r>
        <w:rPr>
          <w:rFonts w:eastAsia="Times New Roman" w:cstheme="minorHAnsi"/>
          <w:color w:val="000000"/>
          <w:lang w:val="en-US"/>
        </w:rPr>
        <w:tab/>
      </w:r>
      <w:r w:rsidRPr="00DD443F">
        <w:rPr>
          <w:rFonts w:eastAsia="Times New Roman" w:cstheme="minorHAnsi"/>
          <w:color w:val="000000"/>
          <w:lang w:val="en-US"/>
        </w:rPr>
        <w:t>Ethical issues</w:t>
      </w:r>
    </w:p>
    <w:p w14:paraId="1562B4DF"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Page 5:</w:t>
      </w:r>
      <w:r>
        <w:rPr>
          <w:rFonts w:eastAsia="Times New Roman" w:cstheme="minorHAnsi"/>
          <w:color w:val="000000"/>
          <w:lang w:val="en-US"/>
        </w:rPr>
        <w:tab/>
      </w:r>
      <w:r>
        <w:rPr>
          <w:rFonts w:eastAsia="Times New Roman" w:cstheme="minorHAnsi"/>
          <w:color w:val="000000"/>
          <w:lang w:val="en-US"/>
        </w:rPr>
        <w:tab/>
        <w:t>The role of the researcher</w:t>
      </w:r>
    </w:p>
    <w:p w14:paraId="06C17993"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Page 5:</w:t>
      </w:r>
      <w:r>
        <w:rPr>
          <w:rFonts w:eastAsia="Times New Roman" w:cstheme="minorHAnsi"/>
          <w:color w:val="000000"/>
          <w:lang w:val="en-US"/>
        </w:rPr>
        <w:tab/>
      </w:r>
      <w:r>
        <w:rPr>
          <w:rFonts w:eastAsia="Times New Roman" w:cstheme="minorHAnsi"/>
          <w:color w:val="000000"/>
          <w:lang w:val="en-US"/>
        </w:rPr>
        <w:tab/>
      </w:r>
      <w:r w:rsidRPr="00DD443F">
        <w:rPr>
          <w:rFonts w:eastAsia="Times New Roman" w:cstheme="minorHAnsi"/>
          <w:color w:val="000000"/>
          <w:lang w:val="en-US"/>
        </w:rPr>
        <w:t>Raw data collected and how it was presented in the article</w:t>
      </w:r>
    </w:p>
    <w:p w14:paraId="4761B679"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Page 5:</w:t>
      </w:r>
      <w:r>
        <w:rPr>
          <w:rFonts w:eastAsia="Times New Roman" w:cstheme="minorHAnsi"/>
          <w:color w:val="000000"/>
          <w:lang w:val="en-US"/>
        </w:rPr>
        <w:tab/>
      </w:r>
      <w:r>
        <w:rPr>
          <w:rFonts w:eastAsia="Times New Roman" w:cstheme="minorHAnsi"/>
          <w:color w:val="000000"/>
          <w:lang w:val="en-US"/>
        </w:rPr>
        <w:tab/>
        <w:t>How is the data analysed?</w:t>
      </w:r>
    </w:p>
    <w:p w14:paraId="0AA21108"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Pages 5-7:</w:t>
      </w:r>
      <w:r>
        <w:rPr>
          <w:rFonts w:eastAsia="Times New Roman" w:cstheme="minorHAnsi"/>
          <w:color w:val="000000"/>
          <w:lang w:val="en-US"/>
        </w:rPr>
        <w:tab/>
      </w:r>
      <w:r w:rsidRPr="00DD443F">
        <w:rPr>
          <w:rFonts w:eastAsia="Times New Roman" w:cstheme="minorHAnsi"/>
          <w:color w:val="000000"/>
          <w:lang w:val="en-US"/>
        </w:rPr>
        <w:t>Analysis of researcher’s main arguments, points, and conclusions</w:t>
      </w:r>
    </w:p>
    <w:p w14:paraId="067427EB"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Page 8:</w:t>
      </w:r>
      <w:r>
        <w:rPr>
          <w:rFonts w:eastAsia="Times New Roman" w:cstheme="minorHAnsi"/>
          <w:color w:val="000000"/>
          <w:lang w:val="en-US"/>
        </w:rPr>
        <w:tab/>
      </w:r>
      <w:r>
        <w:rPr>
          <w:rFonts w:eastAsia="Times New Roman" w:cstheme="minorHAnsi"/>
          <w:color w:val="000000"/>
          <w:lang w:val="en-US"/>
        </w:rPr>
        <w:tab/>
        <w:t>Reference list</w:t>
      </w:r>
    </w:p>
    <w:p w14:paraId="312C04D7"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Appendices:</w:t>
      </w:r>
      <w:r>
        <w:rPr>
          <w:rFonts w:eastAsia="Times New Roman" w:cstheme="minorHAnsi"/>
          <w:color w:val="000000"/>
          <w:lang w:val="en-US"/>
        </w:rPr>
        <w:tab/>
        <w:t>Hard copy of selected article</w:t>
      </w:r>
    </w:p>
    <w:p w14:paraId="00C274DD" w14:textId="77777777" w:rsidR="00A432AF" w:rsidRDefault="00A432AF" w:rsidP="00A432AF">
      <w:pPr>
        <w:spacing w:after="0" w:line="240" w:lineRule="auto"/>
        <w:rPr>
          <w:rFonts w:eastAsia="Times New Roman" w:cstheme="minorHAnsi"/>
          <w:color w:val="000000"/>
          <w:lang w:val="en-US"/>
        </w:rPr>
      </w:pPr>
    </w:p>
    <w:p w14:paraId="3F0A0413" w14:textId="77777777" w:rsidR="00A432AF" w:rsidRDefault="00A432AF" w:rsidP="00A432AF">
      <w:pPr>
        <w:spacing w:after="0" w:line="240" w:lineRule="auto"/>
        <w:rPr>
          <w:rFonts w:eastAsia="Times New Roman" w:cstheme="minorHAnsi"/>
          <w:color w:val="000000"/>
          <w:lang w:val="en-US"/>
        </w:rPr>
      </w:pPr>
    </w:p>
    <w:p w14:paraId="7E4B12CF" w14:textId="77777777" w:rsidR="00A432AF" w:rsidRPr="00DD443F" w:rsidRDefault="00A432AF" w:rsidP="00A432AF">
      <w:pPr>
        <w:spacing w:after="0" w:line="240" w:lineRule="auto"/>
        <w:rPr>
          <w:rFonts w:eastAsia="Times New Roman" w:cstheme="minorHAnsi"/>
          <w:color w:val="000000"/>
          <w:lang w:val="en-US"/>
        </w:rPr>
      </w:pPr>
    </w:p>
    <w:p w14:paraId="211D8690" w14:textId="77777777" w:rsidR="00A432AF" w:rsidRDefault="00A432AF" w:rsidP="00A432AF">
      <w:pPr>
        <w:spacing w:after="0" w:line="240" w:lineRule="auto"/>
        <w:rPr>
          <w:rFonts w:eastAsia="Times New Roman" w:cstheme="minorHAnsi"/>
          <w:b/>
          <w:color w:val="000000"/>
          <w:u w:val="single"/>
          <w:lang w:val="en-US"/>
        </w:rPr>
      </w:pPr>
    </w:p>
    <w:p w14:paraId="04C0036E" w14:textId="77777777" w:rsidR="00A432AF" w:rsidRDefault="00A432AF" w:rsidP="00A432AF">
      <w:pPr>
        <w:spacing w:after="0" w:line="240" w:lineRule="auto"/>
        <w:rPr>
          <w:rFonts w:eastAsia="Times New Roman" w:cstheme="minorHAnsi"/>
          <w:b/>
          <w:color w:val="000000"/>
          <w:u w:val="single"/>
          <w:lang w:val="en-US"/>
        </w:rPr>
      </w:pPr>
    </w:p>
    <w:p w14:paraId="55504084" w14:textId="77777777" w:rsidR="00A432AF" w:rsidRDefault="00A432AF" w:rsidP="00A432AF">
      <w:pPr>
        <w:spacing w:after="0" w:line="240" w:lineRule="auto"/>
        <w:rPr>
          <w:rFonts w:eastAsia="Times New Roman" w:cstheme="minorHAnsi"/>
          <w:b/>
          <w:color w:val="000000"/>
          <w:u w:val="single"/>
          <w:lang w:val="en-US"/>
        </w:rPr>
      </w:pPr>
    </w:p>
    <w:p w14:paraId="02C7F295" w14:textId="77777777" w:rsidR="00A432AF" w:rsidRDefault="00A432AF" w:rsidP="00A432AF">
      <w:pPr>
        <w:spacing w:after="0" w:line="240" w:lineRule="auto"/>
        <w:rPr>
          <w:rFonts w:eastAsia="Times New Roman" w:cstheme="minorHAnsi"/>
          <w:b/>
          <w:color w:val="000000"/>
          <w:u w:val="single"/>
          <w:lang w:val="en-US"/>
        </w:rPr>
      </w:pPr>
    </w:p>
    <w:p w14:paraId="4BB1DD73" w14:textId="77777777" w:rsidR="00A432AF" w:rsidRDefault="00A432AF" w:rsidP="00A432AF">
      <w:pPr>
        <w:spacing w:after="0" w:line="240" w:lineRule="auto"/>
        <w:rPr>
          <w:rFonts w:eastAsia="Times New Roman" w:cstheme="minorHAnsi"/>
          <w:b/>
          <w:color w:val="000000"/>
          <w:u w:val="single"/>
          <w:lang w:val="en-US"/>
        </w:rPr>
      </w:pPr>
    </w:p>
    <w:p w14:paraId="01895BC7" w14:textId="77777777" w:rsidR="00A432AF" w:rsidRDefault="00A432AF" w:rsidP="00A432AF">
      <w:pPr>
        <w:spacing w:after="0" w:line="240" w:lineRule="auto"/>
        <w:rPr>
          <w:rFonts w:eastAsia="Times New Roman" w:cstheme="minorHAnsi"/>
          <w:b/>
          <w:color w:val="000000"/>
          <w:u w:val="single"/>
          <w:lang w:val="en-US"/>
        </w:rPr>
      </w:pPr>
    </w:p>
    <w:p w14:paraId="0D9280FE" w14:textId="77777777" w:rsidR="00A432AF" w:rsidRDefault="00A432AF" w:rsidP="00A432AF">
      <w:pPr>
        <w:spacing w:after="0" w:line="240" w:lineRule="auto"/>
        <w:rPr>
          <w:rFonts w:eastAsia="Times New Roman" w:cstheme="minorHAnsi"/>
          <w:b/>
          <w:color w:val="000000"/>
          <w:u w:val="single"/>
          <w:lang w:val="en-US"/>
        </w:rPr>
      </w:pPr>
    </w:p>
    <w:p w14:paraId="486B3D62" w14:textId="77777777" w:rsidR="00A432AF" w:rsidRDefault="00A432AF" w:rsidP="00A432AF">
      <w:pPr>
        <w:spacing w:after="0" w:line="240" w:lineRule="auto"/>
        <w:rPr>
          <w:rFonts w:eastAsia="Times New Roman" w:cstheme="minorHAnsi"/>
          <w:b/>
          <w:color w:val="000000"/>
          <w:u w:val="single"/>
          <w:lang w:val="en-US"/>
        </w:rPr>
      </w:pPr>
    </w:p>
    <w:p w14:paraId="551EA4EA" w14:textId="77777777" w:rsidR="00A432AF" w:rsidRDefault="00A432AF" w:rsidP="00A432AF">
      <w:pPr>
        <w:spacing w:after="0" w:line="240" w:lineRule="auto"/>
        <w:rPr>
          <w:rFonts w:eastAsia="Times New Roman" w:cstheme="minorHAnsi"/>
          <w:b/>
          <w:color w:val="000000"/>
          <w:u w:val="single"/>
          <w:lang w:val="en-US"/>
        </w:rPr>
      </w:pPr>
    </w:p>
    <w:p w14:paraId="13A9921B" w14:textId="77777777" w:rsidR="00A432AF" w:rsidRDefault="00A432AF" w:rsidP="00A432AF">
      <w:pPr>
        <w:spacing w:after="0" w:line="240" w:lineRule="auto"/>
        <w:rPr>
          <w:rFonts w:eastAsia="Times New Roman" w:cstheme="minorHAnsi"/>
          <w:b/>
          <w:color w:val="000000"/>
          <w:u w:val="single"/>
          <w:lang w:val="en-US"/>
        </w:rPr>
      </w:pPr>
    </w:p>
    <w:p w14:paraId="6B56DB44" w14:textId="77777777" w:rsidR="00A432AF" w:rsidRDefault="00A432AF" w:rsidP="00A432AF">
      <w:pPr>
        <w:spacing w:after="0" w:line="240" w:lineRule="auto"/>
        <w:rPr>
          <w:rFonts w:eastAsia="Times New Roman" w:cstheme="minorHAnsi"/>
          <w:b/>
          <w:color w:val="000000"/>
          <w:u w:val="single"/>
          <w:lang w:val="en-US"/>
        </w:rPr>
      </w:pPr>
    </w:p>
    <w:p w14:paraId="7E26A826" w14:textId="77777777" w:rsidR="00A432AF" w:rsidRDefault="00A432AF" w:rsidP="00A432AF">
      <w:pPr>
        <w:spacing w:after="0" w:line="240" w:lineRule="auto"/>
        <w:rPr>
          <w:rFonts w:eastAsia="Times New Roman" w:cstheme="minorHAnsi"/>
          <w:b/>
          <w:color w:val="000000"/>
          <w:u w:val="single"/>
          <w:lang w:val="en-US"/>
        </w:rPr>
      </w:pPr>
    </w:p>
    <w:p w14:paraId="2C0DC21A" w14:textId="77777777" w:rsidR="00A432AF" w:rsidRDefault="00A432AF" w:rsidP="00A432AF">
      <w:pPr>
        <w:spacing w:after="0" w:line="240" w:lineRule="auto"/>
        <w:rPr>
          <w:rFonts w:eastAsia="Times New Roman" w:cstheme="minorHAnsi"/>
          <w:b/>
          <w:color w:val="000000"/>
          <w:u w:val="single"/>
          <w:lang w:val="en-US"/>
        </w:rPr>
      </w:pPr>
    </w:p>
    <w:p w14:paraId="26DC2282" w14:textId="77777777" w:rsidR="00A432AF" w:rsidRDefault="00A432AF" w:rsidP="00A432AF">
      <w:pPr>
        <w:spacing w:after="0" w:line="240" w:lineRule="auto"/>
        <w:rPr>
          <w:rFonts w:eastAsia="Times New Roman" w:cstheme="minorHAnsi"/>
          <w:b/>
          <w:color w:val="000000"/>
          <w:u w:val="single"/>
          <w:lang w:val="en-US"/>
        </w:rPr>
      </w:pPr>
    </w:p>
    <w:p w14:paraId="66249E81" w14:textId="77777777" w:rsidR="00A432AF" w:rsidRDefault="00A432AF" w:rsidP="00A432AF">
      <w:pPr>
        <w:spacing w:after="0" w:line="240" w:lineRule="auto"/>
        <w:rPr>
          <w:rFonts w:eastAsia="Times New Roman" w:cstheme="minorHAnsi"/>
          <w:b/>
          <w:color w:val="000000"/>
          <w:u w:val="single"/>
          <w:lang w:val="en-US"/>
        </w:rPr>
      </w:pPr>
    </w:p>
    <w:p w14:paraId="25E1AD6E" w14:textId="77777777" w:rsidR="00A432AF" w:rsidRDefault="00A432AF" w:rsidP="00A432AF">
      <w:pPr>
        <w:spacing w:after="0" w:line="240" w:lineRule="auto"/>
        <w:rPr>
          <w:rFonts w:eastAsia="Times New Roman" w:cstheme="minorHAnsi"/>
          <w:b/>
          <w:color w:val="000000"/>
          <w:u w:val="single"/>
          <w:lang w:val="en-US"/>
        </w:rPr>
      </w:pPr>
    </w:p>
    <w:p w14:paraId="5DC72462" w14:textId="77777777" w:rsidR="00A432AF" w:rsidRDefault="00A432AF" w:rsidP="00A432AF">
      <w:pPr>
        <w:spacing w:after="0" w:line="240" w:lineRule="auto"/>
        <w:rPr>
          <w:rFonts w:eastAsia="Times New Roman" w:cstheme="minorHAnsi"/>
          <w:b/>
          <w:color w:val="000000"/>
          <w:u w:val="single"/>
          <w:lang w:val="en-US"/>
        </w:rPr>
      </w:pPr>
    </w:p>
    <w:p w14:paraId="3BCBB21F" w14:textId="77777777" w:rsidR="00A432AF" w:rsidRDefault="00A432AF" w:rsidP="00A432AF">
      <w:pPr>
        <w:spacing w:after="0" w:line="240" w:lineRule="auto"/>
        <w:rPr>
          <w:rFonts w:eastAsia="Times New Roman" w:cstheme="minorHAnsi"/>
          <w:b/>
          <w:color w:val="000000"/>
          <w:u w:val="single"/>
          <w:lang w:val="en-US"/>
        </w:rPr>
      </w:pPr>
    </w:p>
    <w:p w14:paraId="107D2608" w14:textId="77777777" w:rsidR="00A432AF" w:rsidRDefault="00A432AF" w:rsidP="00A432AF">
      <w:pPr>
        <w:spacing w:after="0" w:line="240" w:lineRule="auto"/>
        <w:rPr>
          <w:rFonts w:eastAsia="Times New Roman" w:cstheme="minorHAnsi"/>
          <w:b/>
          <w:color w:val="000000"/>
          <w:u w:val="single"/>
          <w:lang w:val="en-US"/>
        </w:rPr>
      </w:pPr>
    </w:p>
    <w:p w14:paraId="2C28C16C" w14:textId="77777777" w:rsidR="00A432AF" w:rsidRDefault="00A432AF" w:rsidP="00A432AF">
      <w:pPr>
        <w:spacing w:after="0" w:line="240" w:lineRule="auto"/>
        <w:rPr>
          <w:rFonts w:eastAsia="Times New Roman" w:cstheme="minorHAnsi"/>
          <w:b/>
          <w:color w:val="000000"/>
          <w:u w:val="single"/>
          <w:lang w:val="en-US"/>
        </w:rPr>
      </w:pPr>
    </w:p>
    <w:p w14:paraId="32910EC6" w14:textId="77777777" w:rsidR="00A432AF" w:rsidRDefault="00A432AF" w:rsidP="00A432AF">
      <w:pPr>
        <w:spacing w:after="0" w:line="240" w:lineRule="auto"/>
        <w:rPr>
          <w:rFonts w:eastAsia="Times New Roman" w:cstheme="minorHAnsi"/>
          <w:b/>
          <w:color w:val="000000"/>
          <w:u w:val="single"/>
          <w:lang w:val="en-US"/>
        </w:rPr>
      </w:pPr>
    </w:p>
    <w:p w14:paraId="01F080CC" w14:textId="77777777" w:rsidR="00A432AF" w:rsidRDefault="00A432AF" w:rsidP="00A432AF">
      <w:pPr>
        <w:spacing w:after="0" w:line="240" w:lineRule="auto"/>
        <w:rPr>
          <w:rFonts w:eastAsia="Times New Roman" w:cstheme="minorHAnsi"/>
          <w:b/>
          <w:color w:val="000000"/>
          <w:u w:val="single"/>
          <w:lang w:val="en-US"/>
        </w:rPr>
      </w:pPr>
      <w:bookmarkStart w:id="0" w:name="_Hlk522882445"/>
    </w:p>
    <w:p w14:paraId="0289D4CD" w14:textId="77777777" w:rsidR="00A432AF" w:rsidRDefault="00A432AF" w:rsidP="00A432AF">
      <w:pPr>
        <w:spacing w:after="0" w:line="240" w:lineRule="auto"/>
        <w:rPr>
          <w:rFonts w:eastAsia="Times New Roman" w:cstheme="minorHAnsi"/>
          <w:b/>
          <w:color w:val="000000"/>
          <w:u w:val="single"/>
          <w:lang w:val="en-US"/>
        </w:rPr>
      </w:pPr>
    </w:p>
    <w:p w14:paraId="7CB562E9" w14:textId="77777777" w:rsidR="00A432AF" w:rsidRDefault="00A432AF" w:rsidP="00A432AF">
      <w:pPr>
        <w:spacing w:after="0" w:line="240" w:lineRule="auto"/>
        <w:rPr>
          <w:rFonts w:eastAsia="Times New Roman" w:cstheme="minorHAnsi"/>
          <w:b/>
          <w:color w:val="000000"/>
          <w:u w:val="single"/>
          <w:lang w:val="en-US"/>
        </w:rPr>
      </w:pPr>
    </w:p>
    <w:p w14:paraId="55A07C73" w14:textId="77777777" w:rsidR="00A432AF" w:rsidRDefault="00A432AF" w:rsidP="00A432AF">
      <w:pPr>
        <w:spacing w:after="0" w:line="240" w:lineRule="auto"/>
        <w:rPr>
          <w:rFonts w:eastAsia="Times New Roman" w:cstheme="minorHAnsi"/>
          <w:b/>
          <w:color w:val="000000"/>
          <w:u w:val="single"/>
          <w:lang w:val="en-US"/>
        </w:rPr>
      </w:pPr>
    </w:p>
    <w:p w14:paraId="08D32B10" w14:textId="77777777" w:rsidR="00A432AF" w:rsidRDefault="00A432AF" w:rsidP="00A432AF">
      <w:pPr>
        <w:spacing w:after="0" w:line="240" w:lineRule="auto"/>
        <w:rPr>
          <w:rFonts w:eastAsia="Times New Roman" w:cstheme="minorHAnsi"/>
          <w:b/>
          <w:color w:val="000000"/>
          <w:u w:val="single"/>
          <w:lang w:val="en-US"/>
        </w:rPr>
      </w:pPr>
    </w:p>
    <w:p w14:paraId="2827ABC7" w14:textId="77777777" w:rsidR="00A432AF" w:rsidRDefault="00A432AF" w:rsidP="00A432AF">
      <w:pPr>
        <w:spacing w:after="0" w:line="240" w:lineRule="auto"/>
        <w:rPr>
          <w:rFonts w:eastAsia="Times New Roman" w:cstheme="minorHAnsi"/>
          <w:b/>
          <w:color w:val="000000"/>
          <w:u w:val="single"/>
          <w:lang w:val="en-US"/>
        </w:rPr>
      </w:pPr>
    </w:p>
    <w:p w14:paraId="14F5B628" w14:textId="77777777" w:rsidR="00A432AF" w:rsidRDefault="00A432AF" w:rsidP="00A432AF">
      <w:pPr>
        <w:spacing w:after="0" w:line="240" w:lineRule="auto"/>
        <w:rPr>
          <w:rFonts w:eastAsia="Times New Roman" w:cstheme="minorHAnsi"/>
          <w:b/>
          <w:color w:val="000000"/>
          <w:u w:val="single"/>
          <w:lang w:val="en-US"/>
        </w:rPr>
      </w:pPr>
    </w:p>
    <w:p w14:paraId="3159CD3C" w14:textId="77777777" w:rsidR="00A432AF" w:rsidRDefault="00A432AF" w:rsidP="00A432AF">
      <w:pPr>
        <w:spacing w:after="0" w:line="240" w:lineRule="auto"/>
        <w:rPr>
          <w:rFonts w:eastAsia="Times New Roman" w:cstheme="minorHAnsi"/>
          <w:b/>
          <w:color w:val="000000"/>
          <w:u w:val="single"/>
          <w:lang w:val="en-US"/>
        </w:rPr>
      </w:pPr>
    </w:p>
    <w:p w14:paraId="5D23532F" w14:textId="77777777" w:rsidR="00A432AF" w:rsidRDefault="00A432AF" w:rsidP="00A432AF">
      <w:pPr>
        <w:spacing w:after="0" w:line="240" w:lineRule="auto"/>
        <w:rPr>
          <w:rFonts w:eastAsia="Times New Roman" w:cstheme="minorHAnsi"/>
          <w:b/>
          <w:color w:val="000000"/>
          <w:u w:val="single"/>
          <w:lang w:val="en-US"/>
        </w:rPr>
      </w:pPr>
    </w:p>
    <w:p w14:paraId="2F3B0A7E" w14:textId="77777777" w:rsidR="00A432AF" w:rsidRDefault="00A432AF" w:rsidP="00A432AF">
      <w:pPr>
        <w:spacing w:after="0" w:line="240" w:lineRule="auto"/>
        <w:rPr>
          <w:rFonts w:eastAsia="Times New Roman" w:cstheme="minorHAnsi"/>
          <w:b/>
          <w:color w:val="000000"/>
          <w:u w:val="single"/>
          <w:lang w:val="en-US"/>
        </w:rPr>
      </w:pPr>
    </w:p>
    <w:p w14:paraId="070E4424" w14:textId="77777777" w:rsidR="00A432AF" w:rsidRDefault="00A432AF" w:rsidP="00A432AF">
      <w:pPr>
        <w:spacing w:after="0" w:line="240" w:lineRule="auto"/>
        <w:rPr>
          <w:rFonts w:eastAsia="Times New Roman" w:cstheme="minorHAnsi"/>
          <w:b/>
          <w:color w:val="000000"/>
          <w:u w:val="single"/>
          <w:lang w:val="en-US"/>
        </w:rPr>
      </w:pPr>
    </w:p>
    <w:p w14:paraId="4958CDAD" w14:textId="77777777" w:rsidR="00A432AF" w:rsidRDefault="00A432AF" w:rsidP="00A432AF">
      <w:pPr>
        <w:spacing w:after="0" w:line="240" w:lineRule="auto"/>
        <w:rPr>
          <w:rFonts w:eastAsia="Times New Roman" w:cstheme="minorHAnsi"/>
          <w:b/>
          <w:color w:val="000000"/>
          <w:u w:val="single"/>
          <w:lang w:val="en-US"/>
        </w:rPr>
      </w:pPr>
    </w:p>
    <w:p w14:paraId="6ED75351" w14:textId="77777777" w:rsidR="00A432AF" w:rsidRDefault="00A432AF" w:rsidP="00A432AF">
      <w:pPr>
        <w:spacing w:after="0" w:line="240" w:lineRule="auto"/>
        <w:rPr>
          <w:rFonts w:eastAsia="Times New Roman" w:cstheme="minorHAnsi"/>
          <w:b/>
          <w:color w:val="000000"/>
          <w:u w:val="single"/>
          <w:lang w:val="en-US"/>
        </w:rPr>
      </w:pPr>
    </w:p>
    <w:p w14:paraId="55A432BA" w14:textId="77777777" w:rsidR="00A432AF" w:rsidRDefault="00A432AF" w:rsidP="00A432AF">
      <w:pPr>
        <w:spacing w:after="0" w:line="240" w:lineRule="auto"/>
        <w:rPr>
          <w:rFonts w:eastAsia="Times New Roman" w:cstheme="minorHAnsi"/>
          <w:b/>
          <w:color w:val="000000"/>
          <w:u w:val="single"/>
          <w:lang w:val="en-US"/>
        </w:rPr>
      </w:pPr>
    </w:p>
    <w:p w14:paraId="173ADD6B" w14:textId="77777777" w:rsidR="00A432AF" w:rsidRPr="00ED537C" w:rsidRDefault="00A432AF" w:rsidP="00A432AF">
      <w:pPr>
        <w:spacing w:after="0" w:line="240" w:lineRule="auto"/>
        <w:rPr>
          <w:rFonts w:eastAsia="Times New Roman" w:cstheme="minorHAnsi"/>
          <w:b/>
          <w:color w:val="000000"/>
          <w:u w:val="single"/>
          <w:lang w:val="en-US"/>
        </w:rPr>
      </w:pPr>
      <w:r w:rsidRPr="00ED537C">
        <w:rPr>
          <w:rFonts w:eastAsia="Times New Roman" w:cstheme="minorHAnsi"/>
          <w:b/>
          <w:color w:val="000000"/>
          <w:u w:val="single"/>
          <w:lang w:val="en-US"/>
        </w:rPr>
        <w:lastRenderedPageBreak/>
        <w:t xml:space="preserve">Introduction, </w:t>
      </w:r>
      <w:r>
        <w:rPr>
          <w:rFonts w:eastAsia="Times New Roman" w:cstheme="minorHAnsi"/>
          <w:b/>
          <w:color w:val="000000"/>
          <w:u w:val="single"/>
          <w:lang w:val="en-US"/>
        </w:rPr>
        <w:t>aims and objectives, along with research questions and how they guide the article</w:t>
      </w:r>
    </w:p>
    <w:bookmarkEnd w:id="0"/>
    <w:p w14:paraId="484D0F2A" w14:textId="77777777" w:rsidR="00A432AF" w:rsidRDefault="00A432AF" w:rsidP="00A432AF">
      <w:pPr>
        <w:spacing w:after="0" w:line="240" w:lineRule="auto"/>
        <w:rPr>
          <w:rFonts w:eastAsia="Times New Roman" w:cstheme="minorHAnsi"/>
          <w:b/>
          <w:color w:val="000000"/>
          <w:lang w:val="en-US"/>
        </w:rPr>
      </w:pPr>
      <w:r w:rsidRPr="00776143">
        <w:rPr>
          <w:rFonts w:eastAsia="Times New Roman" w:cstheme="minorHAnsi"/>
          <w:b/>
          <w:color w:val="000000"/>
          <w:lang w:val="en-US"/>
        </w:rPr>
        <w:t> </w:t>
      </w:r>
    </w:p>
    <w:p w14:paraId="4F4B8810" w14:textId="77777777" w:rsidR="00A432AF" w:rsidRPr="00DD3BFA" w:rsidRDefault="00A432AF" w:rsidP="00A432AF">
      <w:pPr>
        <w:spacing w:after="0" w:line="240" w:lineRule="auto"/>
        <w:rPr>
          <w:rFonts w:eastAsia="Times New Roman" w:cstheme="minorHAnsi"/>
          <w:b/>
          <w:color w:val="000000"/>
          <w:lang w:val="en-US"/>
        </w:rPr>
      </w:pPr>
      <w:r>
        <w:rPr>
          <w:rFonts w:eastAsia="Times New Roman" w:cstheme="minorHAnsi"/>
          <w:color w:val="000000"/>
          <w:lang w:val="en-US"/>
        </w:rPr>
        <w:t xml:space="preserve">Melnyk and Fineout-Overholt (2011) argue that an introduction should be written in a succinct manner and should not extend beyond a few paragraphs, it contains information about the purpose of the article, the importance of the topic for the professional audience, and brief supporting evidence as to why it is important. The purpose of the article is to critically analyse the dynamics of power and control and question presumptions that mentoring brings only positive benefits to participants using evidence from a mentoring project at a chosen university in the United Kingdom. Christie (2014: 956) makes her aims and objectives explicit in her introduction section, stating that “the first part of the paper outlines the methods used to investigate the dynamics of the mentoring project in the case study. In the sections that follow, the expectations of mentoring’s taken for granted positive effects will be examined in the light of results showing other effects, including the extent of institutional </w:t>
      </w:r>
      <w:r w:rsidRPr="009F3C20">
        <w:rPr>
          <w:rFonts w:eastAsia="Times New Roman" w:cstheme="minorHAnsi"/>
          <w:i/>
          <w:color w:val="000000"/>
          <w:lang w:val="en-US"/>
        </w:rPr>
        <w:t>contro</w:t>
      </w:r>
      <w:r>
        <w:rPr>
          <w:rFonts w:eastAsia="Times New Roman" w:cstheme="minorHAnsi"/>
          <w:color w:val="000000"/>
          <w:lang w:val="en-US"/>
        </w:rPr>
        <w:t xml:space="preserve">l and the existence of </w:t>
      </w:r>
      <w:r w:rsidRPr="009F3C20">
        <w:rPr>
          <w:rFonts w:eastAsia="Times New Roman" w:cstheme="minorHAnsi"/>
          <w:i/>
          <w:color w:val="000000"/>
          <w:lang w:val="en-US"/>
        </w:rPr>
        <w:t>power</w:t>
      </w:r>
      <w:r>
        <w:rPr>
          <w:rFonts w:eastAsia="Times New Roman" w:cstheme="minorHAnsi"/>
          <w:color w:val="000000"/>
          <w:lang w:val="en-US"/>
        </w:rPr>
        <w:t xml:space="preserve"> relations between participants. The final section of the paper turns to the difficulties which arise when mentors and mentees hold competing or conflicting views about what constitutes the mentoring relationship, and which centre on academic skills development”. </w:t>
      </w:r>
    </w:p>
    <w:p w14:paraId="1FAFA46F" w14:textId="77777777" w:rsidR="00A432AF" w:rsidRDefault="00A432AF" w:rsidP="00A432AF">
      <w:pPr>
        <w:spacing w:after="0" w:line="240" w:lineRule="auto"/>
        <w:rPr>
          <w:rFonts w:eastAsia="Times New Roman" w:cstheme="minorHAnsi"/>
          <w:color w:val="000000"/>
          <w:lang w:val="en-US"/>
        </w:rPr>
      </w:pPr>
    </w:p>
    <w:p w14:paraId="3043E8E7"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 xml:space="preserve">The introduction contains a lot of literature highlighting the importance of mentoring in higher education and how mentoring supports students to become members of a learning community but there is very little literature surrounding the issues of power and control. It is not until the sixth paragraph of the introduction that Colley (2002) cited in Christie (2014) stresses that the popularity of mentoring has not been matched by similar progress in its conceptualization. In response to this, Christie (2014) argues that Colley points to the need for a detailed investigation of its potential negative effects. Important here are questions about the relations of power and control which inhere within the mentoring relationship. Machi and McEvoy (2016) argue that it is important to use current field-based literature to decide the issues, significance, and relevance of the study. With the article in question being written in 2014, it can be argued that views of Colley in 2002, are somewhat outdated and possibly not relevant at the present time of writing. It is highly likely that since 2002, there has been research into the potential negative effects of the mentoring process. Grossman (2012) addresses the potential negative impacts of mentoring, arguing that one of the biggest negatives that mentees have experienced is mentors who take credit for the mentees work with other issues including a lack of networking with others. Gomez (2012) argues that if the assigned mentor is too busy to work the program, or doesn’t care that much about the process, the learner won’t get the most out of it. Such research about the potential negative impacts of peer mentoring post 2002, does argue that the literature review in this article is outdated or not current. </w:t>
      </w:r>
    </w:p>
    <w:p w14:paraId="384AB0B2" w14:textId="77777777" w:rsidR="00A432AF" w:rsidRDefault="00A432AF" w:rsidP="00A432AF">
      <w:pPr>
        <w:spacing w:after="0" w:line="240" w:lineRule="auto"/>
        <w:rPr>
          <w:rFonts w:eastAsia="Times New Roman" w:cstheme="minorHAnsi"/>
          <w:color w:val="000000"/>
          <w:lang w:val="en-US"/>
        </w:rPr>
      </w:pPr>
    </w:p>
    <w:p w14:paraId="24698125"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 xml:space="preserve">Throughout the introduction, there seems to be assumptions made by the author on several occasions. For example, Christie (2014: 956) states that ‘mentoring relationships should be personal and reciprocal, and everyone involved in the process should benefit in some tangible way’ and ‘in terms of age, the assumption is often made that it is the younger person, or protégé, who is being mentored. Griffith (2011) argues that writers should back up claims with evidence, showing their readers and not just telling them. The claims made by Christie in the introduction of the article lack criticality and have not been supported by any meaningful literature. Therefore, it could be argued that the investigation is misleading, possibly having an element of bias because the reader may accept what is being thought. Although the title of the research stimulates the reader and attracts interest by using key words such as power and control. There is not a substantial enough argument made for the need of this research activity due to the lack of literature surrounding power and control in the introduction. If the author was able to include statistical evidence or a critical review of the literature to support their argument in the introduction, readers would be encouraged to read the article. The lack of hypothesis also questions the credibility of this paper because it would formulate a benchmark against the actual outcomes of the investigation. </w:t>
      </w:r>
    </w:p>
    <w:p w14:paraId="7E8C322B" w14:textId="77777777" w:rsidR="00A432AF" w:rsidRPr="004E1AFD" w:rsidRDefault="00A432AF" w:rsidP="00A432AF">
      <w:pPr>
        <w:spacing w:after="0" w:line="240" w:lineRule="auto"/>
        <w:rPr>
          <w:rFonts w:eastAsia="Times New Roman" w:cstheme="minorHAnsi"/>
          <w:color w:val="000000"/>
          <w:lang w:val="en-US"/>
        </w:rPr>
      </w:pPr>
      <w:r w:rsidRPr="00A865CD">
        <w:rPr>
          <w:rFonts w:eastAsia="Times New Roman" w:cstheme="minorHAnsi"/>
          <w:b/>
          <w:color w:val="000000"/>
          <w:u w:val="single"/>
          <w:lang w:val="en-US"/>
        </w:rPr>
        <w:lastRenderedPageBreak/>
        <w:t xml:space="preserve">Sample </w:t>
      </w:r>
      <w:r>
        <w:rPr>
          <w:rFonts w:eastAsia="Times New Roman" w:cstheme="minorHAnsi"/>
          <w:b/>
          <w:color w:val="000000"/>
          <w:u w:val="single"/>
          <w:lang w:val="en-US"/>
        </w:rPr>
        <w:t>size, type and how it was selected</w:t>
      </w:r>
    </w:p>
    <w:p w14:paraId="636D91A2" w14:textId="77777777" w:rsidR="00A432AF" w:rsidRPr="00A865CD" w:rsidRDefault="00A432AF" w:rsidP="00A432AF">
      <w:pPr>
        <w:spacing w:after="0" w:line="240" w:lineRule="auto"/>
        <w:rPr>
          <w:rFonts w:eastAsia="Times New Roman" w:cstheme="minorHAnsi"/>
          <w:b/>
          <w:color w:val="000000"/>
          <w:u w:val="single"/>
          <w:lang w:val="en-US"/>
        </w:rPr>
      </w:pPr>
    </w:p>
    <w:p w14:paraId="7D78D0FC" w14:textId="77777777" w:rsidR="00A432AF" w:rsidRPr="00DD3BFA" w:rsidRDefault="00A432AF" w:rsidP="00A432AF">
      <w:pPr>
        <w:spacing w:after="0" w:line="240" w:lineRule="auto"/>
        <w:rPr>
          <w:rFonts w:eastAsia="Times New Roman" w:cstheme="minorHAnsi"/>
          <w:b/>
          <w:color w:val="000000"/>
          <w:lang w:val="en-US"/>
        </w:rPr>
      </w:pPr>
      <w:r>
        <w:rPr>
          <w:rFonts w:eastAsia="Times New Roman" w:cstheme="minorHAnsi"/>
          <w:color w:val="000000"/>
          <w:lang w:val="en-US"/>
        </w:rPr>
        <w:t>Since the author of this paper did not play any part in the original research by the university, the sample size selected by the institution for the original project will be critically analysed. The original project report includes evidence from 175 students in total. Of these students, 101 expressed an interest in being a mentee and the other 74 volunteered to become a trained mentor, with a total of 87 mentor and mentee matches made. The majority of the participants were females with a great majority of both mentors and mentees being mature students. Lee et al (2004) argue that females seem to desire and be more aggressive in pursuit of mentoring than males. Due to the nature of the sample being female dominated, problems could arise with potential cross gender relationships, making management of the relationship more problematic for the institution. Ragins and Kram (2008) argue that cross gender relationships can be more difficult to manage than same gender relationships. Welsh (2004) argues that in numerous studies, men have shown to be consistently more likely to have a mentor of the same gender than women. Such issues may have had an impact when matching mentees to mentors early on in the process.</w:t>
      </w:r>
    </w:p>
    <w:p w14:paraId="1EF64B49" w14:textId="77777777" w:rsidR="00A432AF" w:rsidRDefault="00A432AF" w:rsidP="00A432AF">
      <w:pPr>
        <w:spacing w:after="0" w:line="240" w:lineRule="auto"/>
        <w:rPr>
          <w:rFonts w:eastAsia="Times New Roman" w:cstheme="minorHAnsi"/>
          <w:color w:val="000000"/>
          <w:lang w:val="en-US"/>
        </w:rPr>
      </w:pPr>
    </w:p>
    <w:p w14:paraId="69B2ED2F"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Issues as mentioned above may lead to more matters of power and control than first anticipated due to the nature of potential cross gender pairings. The lack of younger students being represented in the original study may also pose problems concerning the accuracy and validity of the results. Referring to the sample in her article, Christie (2014) states that in total, 70 of the mentees (80%), and 70 mentors (80%) were 21 or over when they took part in the scheme and that younger students are under-represented across the scheme as a whole. Since the program was set up as a service to provide support for undergraduate students throughout their first year, the lack of younger students being represented is a real shame for the project since a number of first year students tend to be 18 years of age. Universities UK (2015: 12) state that “t</w:t>
      </w:r>
      <w:r w:rsidRPr="00F17677">
        <w:rPr>
          <w:rFonts w:eastAsia="Times New Roman" w:cstheme="minorHAnsi"/>
          <w:color w:val="000000"/>
          <w:lang w:val="en-US"/>
        </w:rPr>
        <w:t>he proportion of 18-year-olds accepted for full-time undergraduate study reached its highest ever level in all four UK countries in 2013</w:t>
      </w:r>
      <w:r>
        <w:rPr>
          <w:rFonts w:eastAsia="Times New Roman" w:cstheme="minorHAnsi"/>
          <w:color w:val="000000"/>
          <w:lang w:val="en-US"/>
        </w:rPr>
        <w:t>”</w:t>
      </w:r>
      <w:r w:rsidRPr="00F17677">
        <w:rPr>
          <w:rFonts w:eastAsia="Times New Roman" w:cstheme="minorHAnsi"/>
          <w:color w:val="000000"/>
          <w:lang w:val="en-US"/>
        </w:rPr>
        <w:t>.</w:t>
      </w:r>
      <w:r>
        <w:rPr>
          <w:rFonts w:eastAsia="Times New Roman" w:cstheme="minorHAnsi"/>
          <w:color w:val="000000"/>
          <w:lang w:val="en-US"/>
        </w:rPr>
        <w:t xml:space="preserve"> Since this date is close to the time of this paper being written, it would have been beneficial to have seen less mature students represented in the sample to provide correct results. </w:t>
      </w:r>
    </w:p>
    <w:p w14:paraId="104210B9" w14:textId="77777777" w:rsidR="00A432AF" w:rsidRDefault="00A432AF" w:rsidP="00A432AF">
      <w:pPr>
        <w:spacing w:after="0" w:line="240" w:lineRule="auto"/>
        <w:rPr>
          <w:rFonts w:eastAsia="Times New Roman" w:cstheme="minorHAnsi"/>
          <w:color w:val="000000"/>
          <w:lang w:val="en-US"/>
        </w:rPr>
      </w:pPr>
    </w:p>
    <w:p w14:paraId="51884B38"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 xml:space="preserve">The fact that 80% of both mentors and mentees were over 21 years of age will result in mentor and mentee matches of similar ages. Clutterbuck et al (2012) argues that to add value to formal training programmes, the mentee is usually less experienced than the mentor, and this is often, though not always, reflected in the mentor being older than the mentee. Although this is not always the case, it can be suggested that younger students being under represented in the study may not be a true reflection of the result. Starr (2014) argues that what actually qualifies you as a mentor might be more about life experience, relevant knowledge, or general maturity. These are traits you would normally associate with older participants, which is a shame for this study. </w:t>
      </w:r>
    </w:p>
    <w:p w14:paraId="74BA7E27" w14:textId="77777777" w:rsidR="00A432AF" w:rsidRDefault="00A432AF" w:rsidP="00A432AF">
      <w:pPr>
        <w:spacing w:after="0" w:line="240" w:lineRule="auto"/>
        <w:rPr>
          <w:rFonts w:eastAsia="Times New Roman" w:cstheme="minorHAnsi"/>
          <w:color w:val="000000"/>
          <w:lang w:val="en-US"/>
        </w:rPr>
      </w:pPr>
    </w:p>
    <w:p w14:paraId="3186A411" w14:textId="77777777" w:rsidR="00A432AF" w:rsidRDefault="00A432AF" w:rsidP="00A432AF">
      <w:pPr>
        <w:spacing w:after="0" w:line="240" w:lineRule="auto"/>
        <w:rPr>
          <w:rFonts w:eastAsia="Times New Roman" w:cstheme="minorHAnsi"/>
          <w:color w:val="000000"/>
          <w:lang w:val="en-US"/>
        </w:rPr>
      </w:pPr>
    </w:p>
    <w:p w14:paraId="1550EA6F" w14:textId="77777777" w:rsidR="00A432AF" w:rsidRPr="00E67622" w:rsidRDefault="00A432AF" w:rsidP="00A432AF">
      <w:pPr>
        <w:spacing w:after="0" w:line="240" w:lineRule="auto"/>
        <w:rPr>
          <w:rFonts w:eastAsia="Times New Roman" w:cstheme="minorHAnsi"/>
          <w:b/>
          <w:color w:val="000000"/>
          <w:u w:val="single"/>
          <w:lang w:val="en-US"/>
        </w:rPr>
      </w:pPr>
      <w:r w:rsidRPr="00E67622">
        <w:rPr>
          <w:rFonts w:eastAsia="Times New Roman" w:cstheme="minorHAnsi"/>
          <w:b/>
          <w:color w:val="000000"/>
          <w:u w:val="single"/>
          <w:lang w:val="en-US"/>
        </w:rPr>
        <w:t>Ethical issues</w:t>
      </w:r>
    </w:p>
    <w:p w14:paraId="5C3E5806" w14:textId="77777777" w:rsidR="00A432AF" w:rsidRDefault="00A432AF" w:rsidP="00A432AF">
      <w:pPr>
        <w:spacing w:after="0" w:line="240" w:lineRule="auto"/>
        <w:rPr>
          <w:rFonts w:eastAsia="Times New Roman" w:cstheme="minorHAnsi"/>
          <w:b/>
          <w:color w:val="000000"/>
          <w:lang w:val="en-US"/>
        </w:rPr>
      </w:pPr>
    </w:p>
    <w:p w14:paraId="5EC3C4C1"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 xml:space="preserve">There are no ethical concerns or issues mentioned in this article by the author. The author does however ensure that the name of the university, project officer and mentee comments remain anonymous throughout. Since the author was not directly involved in the original mentoring project being analysed, she did not need to acquire any voluntary consent from participants and the university to use their data. However, it could be expected that the author would need to get permission to use the data for this paper. Oliver (2010) argues that on one level, it might be regarded as poor research, since the researcher carrying out the reanalysis would not necessarily be familiar with the circumstances under which the data had been collected, which might be very significant for the new research and that the use of data without permission would be ethically </w:t>
      </w:r>
      <w:r>
        <w:rPr>
          <w:rFonts w:eastAsia="Times New Roman" w:cstheme="minorHAnsi"/>
          <w:color w:val="000000"/>
          <w:lang w:val="en-US"/>
        </w:rPr>
        <w:lastRenderedPageBreak/>
        <w:t xml:space="preserve">questionable. As a reader, you would expect to see at least a small section of a research paper highlighting ethics in some way. </w:t>
      </w:r>
    </w:p>
    <w:p w14:paraId="17601381" w14:textId="77777777" w:rsidR="00A432AF" w:rsidRDefault="00A432AF" w:rsidP="00A432AF">
      <w:pPr>
        <w:spacing w:after="0" w:line="240" w:lineRule="auto"/>
        <w:rPr>
          <w:rFonts w:eastAsia="Times New Roman" w:cstheme="minorHAnsi"/>
          <w:color w:val="000000"/>
          <w:lang w:val="en-US"/>
        </w:rPr>
      </w:pPr>
    </w:p>
    <w:p w14:paraId="5BD90B36" w14:textId="77777777" w:rsidR="00A432AF" w:rsidRPr="004E1AFD" w:rsidRDefault="00A432AF" w:rsidP="00A432AF">
      <w:pPr>
        <w:spacing w:after="0" w:line="240" w:lineRule="auto"/>
        <w:rPr>
          <w:rFonts w:eastAsia="Times New Roman" w:cstheme="minorHAnsi"/>
          <w:color w:val="000000"/>
          <w:lang w:val="en-US"/>
        </w:rPr>
      </w:pPr>
      <w:r w:rsidRPr="00ED537C">
        <w:rPr>
          <w:rFonts w:eastAsia="Times New Roman" w:cstheme="minorHAnsi"/>
          <w:b/>
          <w:color w:val="000000"/>
          <w:u w:val="single"/>
          <w:lang w:val="en-US"/>
        </w:rPr>
        <w:t xml:space="preserve">The </w:t>
      </w:r>
      <w:r>
        <w:rPr>
          <w:rFonts w:eastAsia="Times New Roman" w:cstheme="minorHAnsi"/>
          <w:b/>
          <w:color w:val="000000"/>
          <w:u w:val="single"/>
          <w:lang w:val="en-US"/>
        </w:rPr>
        <w:t>role of the researcher</w:t>
      </w:r>
    </w:p>
    <w:p w14:paraId="308FFE2B" w14:textId="77777777" w:rsidR="00A432AF" w:rsidRPr="00776143" w:rsidRDefault="00A432AF" w:rsidP="00A432AF">
      <w:pPr>
        <w:spacing w:after="0" w:line="240" w:lineRule="auto"/>
        <w:ind w:left="360"/>
        <w:rPr>
          <w:rFonts w:eastAsia="Times New Roman" w:cstheme="minorHAnsi"/>
          <w:b/>
          <w:color w:val="000000"/>
          <w:lang w:val="en-US"/>
        </w:rPr>
      </w:pPr>
      <w:r w:rsidRPr="00776143">
        <w:rPr>
          <w:rFonts w:eastAsia="Times New Roman" w:cstheme="minorHAnsi"/>
          <w:b/>
          <w:color w:val="000000"/>
          <w:lang w:val="en-US"/>
        </w:rPr>
        <w:t> </w:t>
      </w:r>
    </w:p>
    <w:p w14:paraId="1F169283" w14:textId="77777777" w:rsidR="00A432AF" w:rsidRDefault="00A432AF" w:rsidP="00A432AF">
      <w:pPr>
        <w:spacing w:after="0" w:line="240" w:lineRule="auto"/>
        <w:rPr>
          <w:rFonts w:eastAsia="Times New Roman" w:cstheme="minorHAnsi"/>
          <w:color w:val="000000"/>
          <w:lang w:val="en-US"/>
        </w:rPr>
      </w:pPr>
      <w:r w:rsidRPr="00F17677">
        <w:rPr>
          <w:rFonts w:eastAsia="Times New Roman" w:cstheme="minorHAnsi"/>
          <w:color w:val="000000"/>
          <w:lang w:val="en-US"/>
        </w:rPr>
        <w:t xml:space="preserve">The </w:t>
      </w:r>
      <w:r>
        <w:rPr>
          <w:rFonts w:eastAsia="Times New Roman" w:cstheme="minorHAnsi"/>
          <w:color w:val="000000"/>
          <w:lang w:val="en-US"/>
        </w:rPr>
        <w:t xml:space="preserve">researcher was a non-participant in the study. The goal of the researcher was to conduct a critical appraisal, using evidence from a mentoring project at one university in the United Kingdom. The main aims of the researcher were to address the aims and objectives previously mentioned, paying particular attention to the issues of power and control and their effect on the mentoring relationship. </w:t>
      </w:r>
    </w:p>
    <w:p w14:paraId="3FFF6BBB" w14:textId="77777777" w:rsidR="00A432AF" w:rsidRPr="00F17677" w:rsidRDefault="00A432AF" w:rsidP="00A432AF">
      <w:pPr>
        <w:spacing w:after="0" w:line="240" w:lineRule="auto"/>
        <w:rPr>
          <w:rFonts w:eastAsia="Times New Roman" w:cstheme="minorHAnsi"/>
          <w:color w:val="000000"/>
          <w:lang w:val="en-US"/>
        </w:rPr>
      </w:pPr>
    </w:p>
    <w:p w14:paraId="44D4AAFE" w14:textId="77777777" w:rsidR="00A432AF" w:rsidRPr="00E9098F" w:rsidRDefault="00A432AF" w:rsidP="00A432AF">
      <w:pPr>
        <w:spacing w:after="0" w:line="240" w:lineRule="auto"/>
        <w:rPr>
          <w:rFonts w:eastAsia="Times New Roman" w:cstheme="minorHAnsi"/>
          <w:color w:val="000000"/>
          <w:u w:val="single"/>
          <w:lang w:val="en-US"/>
        </w:rPr>
      </w:pPr>
      <w:r w:rsidRPr="00E9098F">
        <w:rPr>
          <w:rFonts w:eastAsia="Times New Roman" w:cstheme="minorHAnsi"/>
          <w:b/>
          <w:color w:val="000000"/>
          <w:u w:val="single"/>
          <w:lang w:val="en-US"/>
        </w:rPr>
        <w:t>Raw data collected and how it was presented in the article</w:t>
      </w:r>
    </w:p>
    <w:p w14:paraId="2DB0A5BF" w14:textId="77777777" w:rsidR="00A432AF" w:rsidRPr="00776143" w:rsidRDefault="00A432AF" w:rsidP="00A432AF">
      <w:pPr>
        <w:spacing w:after="0" w:line="240" w:lineRule="auto"/>
        <w:rPr>
          <w:rFonts w:eastAsia="Times New Roman" w:cstheme="minorHAnsi"/>
          <w:b/>
          <w:color w:val="000000"/>
          <w:lang w:val="en-US"/>
        </w:rPr>
      </w:pPr>
    </w:p>
    <w:p w14:paraId="6CD35133" w14:textId="77777777" w:rsidR="00A432AF" w:rsidRPr="00ED537C" w:rsidRDefault="00A432AF" w:rsidP="00A432AF">
      <w:pPr>
        <w:spacing w:after="0" w:line="240" w:lineRule="auto"/>
        <w:rPr>
          <w:rFonts w:eastAsia="Times New Roman" w:cstheme="minorHAnsi"/>
          <w:b/>
          <w:color w:val="000000"/>
          <w:lang w:val="en-US"/>
        </w:rPr>
      </w:pPr>
      <w:r w:rsidRPr="005E022C">
        <w:rPr>
          <w:rFonts w:eastAsia="Times New Roman" w:cstheme="minorHAnsi"/>
          <w:color w:val="000000"/>
          <w:lang w:val="en-US"/>
        </w:rPr>
        <w:t xml:space="preserve">No raw data has been obtained for this research activity. Only secondary data has been used in the form of </w:t>
      </w:r>
      <w:r>
        <w:rPr>
          <w:rFonts w:eastAsia="Times New Roman" w:cstheme="minorHAnsi"/>
          <w:color w:val="000000"/>
          <w:lang w:val="en-US"/>
        </w:rPr>
        <w:t xml:space="preserve">an annual mentoring project report at an unnamed university in 2012. The secondary data however, does contain raw data from the initial study. The raw data is presented in the form of tables to display the sex of participants and age of participants at the start of the mentoring relationship. Presenting the data in this way makes it very clear to understand, summarise and make comparisons. Wang and Hole (2007) argue that presenting data in tables is an efficient way of summarising data with its primary purpose to summarise data for comparison. </w:t>
      </w:r>
    </w:p>
    <w:p w14:paraId="01DEEFF1" w14:textId="77777777" w:rsidR="00A432AF" w:rsidRPr="00776143" w:rsidRDefault="00A432AF" w:rsidP="00A432AF">
      <w:pPr>
        <w:spacing w:after="0" w:line="240" w:lineRule="auto"/>
        <w:rPr>
          <w:rFonts w:eastAsia="Times New Roman" w:cstheme="minorHAnsi"/>
          <w:b/>
          <w:color w:val="000000"/>
          <w:lang w:val="en-US"/>
        </w:rPr>
      </w:pPr>
    </w:p>
    <w:p w14:paraId="60A79EEE" w14:textId="77777777" w:rsidR="00A432AF" w:rsidRPr="00776143" w:rsidRDefault="00A432AF" w:rsidP="00A432AF">
      <w:pPr>
        <w:spacing w:after="0" w:line="240" w:lineRule="auto"/>
        <w:ind w:left="360"/>
        <w:rPr>
          <w:rFonts w:eastAsia="Times New Roman" w:cstheme="minorHAnsi"/>
          <w:b/>
          <w:color w:val="000000"/>
          <w:lang w:val="en-US"/>
        </w:rPr>
      </w:pPr>
      <w:r w:rsidRPr="00776143">
        <w:rPr>
          <w:rFonts w:eastAsia="Times New Roman" w:cstheme="minorHAnsi"/>
          <w:b/>
          <w:color w:val="000000"/>
          <w:lang w:val="en-US"/>
        </w:rPr>
        <w:t> </w:t>
      </w:r>
    </w:p>
    <w:p w14:paraId="1988FB04" w14:textId="77777777" w:rsidR="00A432AF" w:rsidRPr="00676F39" w:rsidRDefault="00A432AF" w:rsidP="00A432AF">
      <w:pPr>
        <w:spacing w:after="0" w:line="240" w:lineRule="auto"/>
        <w:rPr>
          <w:rFonts w:eastAsia="Times New Roman" w:cstheme="minorHAnsi"/>
          <w:b/>
          <w:color w:val="000000"/>
          <w:u w:val="single"/>
          <w:lang w:val="en-US"/>
        </w:rPr>
      </w:pPr>
      <w:r w:rsidRPr="00676F39">
        <w:rPr>
          <w:rFonts w:eastAsia="Times New Roman" w:cstheme="minorHAnsi"/>
          <w:b/>
          <w:color w:val="000000"/>
          <w:u w:val="single"/>
          <w:lang w:val="en-US"/>
        </w:rPr>
        <w:t>How is the data analysed?</w:t>
      </w:r>
    </w:p>
    <w:p w14:paraId="371277CF" w14:textId="77777777" w:rsidR="00A432AF" w:rsidRPr="006B368C" w:rsidRDefault="00A432AF" w:rsidP="00A432AF">
      <w:pPr>
        <w:spacing w:after="0" w:line="240" w:lineRule="auto"/>
        <w:rPr>
          <w:rFonts w:eastAsia="Times New Roman" w:cstheme="minorHAnsi"/>
          <w:color w:val="000000"/>
          <w:lang w:val="en-US"/>
        </w:rPr>
      </w:pPr>
    </w:p>
    <w:p w14:paraId="5A8B123F" w14:textId="77777777" w:rsidR="00A432AF" w:rsidRPr="006B368C" w:rsidRDefault="00A432AF" w:rsidP="00A432AF">
      <w:pPr>
        <w:spacing w:after="0" w:line="240" w:lineRule="auto"/>
        <w:rPr>
          <w:rFonts w:eastAsia="Times New Roman" w:cstheme="minorHAnsi"/>
          <w:color w:val="000000"/>
          <w:lang w:val="en-US"/>
        </w:rPr>
      </w:pPr>
      <w:r w:rsidRPr="006B368C">
        <w:rPr>
          <w:rFonts w:eastAsia="Times New Roman" w:cstheme="minorHAnsi"/>
          <w:color w:val="000000"/>
          <w:lang w:val="en-US"/>
        </w:rPr>
        <w:t xml:space="preserve">The author uses a deductive approach to qualitative data analysis in this article, using her own research questions as a guide for grouping and analysing </w:t>
      </w:r>
      <w:r>
        <w:rPr>
          <w:rFonts w:eastAsia="Times New Roman" w:cstheme="minorHAnsi"/>
          <w:color w:val="000000"/>
          <w:lang w:val="en-US"/>
        </w:rPr>
        <w:t>secondary</w:t>
      </w:r>
      <w:r w:rsidRPr="006B368C">
        <w:rPr>
          <w:rFonts w:eastAsia="Times New Roman" w:cstheme="minorHAnsi"/>
          <w:color w:val="000000"/>
          <w:lang w:val="en-US"/>
        </w:rPr>
        <w:t xml:space="preserve"> data.</w:t>
      </w:r>
      <w:r>
        <w:rPr>
          <w:rFonts w:eastAsia="Times New Roman" w:cstheme="minorHAnsi"/>
          <w:color w:val="000000"/>
          <w:lang w:val="en-US"/>
        </w:rPr>
        <w:t xml:space="preserve"> Alexander et al (2007) argue that this approach involves developing a theory from basic prepositions, premises, and assumptions. The author uses discourse analysis to facilitate a critical reading of the mentoring project to investigate, what was included, as well as excluded. It can be argued however that the purpose of discourse analysis can produce elements of bias. Blommaert (2005) cited in Clarke (2012) argues that discourse analysis has a linguistic bias and is often so focused on textual minutiae and so aridly grammatical that it misses the bigger social picture. There is such a focus in this paper regarding the issues of power and control, that the bigger picture is being missed. Quantitative data analysis had also been used regarding the sex and age of the participants, which has been presented in tables within the article. </w:t>
      </w:r>
    </w:p>
    <w:p w14:paraId="2447D0C2" w14:textId="77777777" w:rsidR="00A432AF" w:rsidRDefault="00A432AF" w:rsidP="00A432AF">
      <w:pPr>
        <w:spacing w:after="0" w:line="240" w:lineRule="auto"/>
        <w:rPr>
          <w:rFonts w:eastAsia="Times New Roman" w:cstheme="minorHAnsi"/>
          <w:b/>
          <w:color w:val="000000"/>
          <w:lang w:val="en-US"/>
        </w:rPr>
      </w:pPr>
    </w:p>
    <w:p w14:paraId="72205C18" w14:textId="77777777" w:rsidR="00A432AF" w:rsidRDefault="00A432AF" w:rsidP="00A432AF">
      <w:pPr>
        <w:spacing w:after="0" w:line="240" w:lineRule="auto"/>
        <w:rPr>
          <w:rFonts w:eastAsia="Times New Roman" w:cstheme="minorHAnsi"/>
          <w:b/>
          <w:color w:val="000000"/>
          <w:lang w:val="en-US"/>
        </w:rPr>
      </w:pPr>
    </w:p>
    <w:p w14:paraId="5E79F8B5" w14:textId="77777777" w:rsidR="00A432AF" w:rsidRPr="00ED537C" w:rsidRDefault="00A432AF" w:rsidP="00A432AF">
      <w:pPr>
        <w:spacing w:after="0" w:line="240" w:lineRule="auto"/>
        <w:rPr>
          <w:rFonts w:eastAsia="Times New Roman" w:cstheme="minorHAnsi"/>
          <w:b/>
          <w:color w:val="000000"/>
          <w:u w:val="single"/>
          <w:lang w:val="en-US"/>
        </w:rPr>
      </w:pPr>
      <w:r w:rsidRPr="00ED537C">
        <w:rPr>
          <w:rFonts w:eastAsia="Times New Roman" w:cstheme="minorHAnsi"/>
          <w:b/>
          <w:color w:val="000000"/>
          <w:u w:val="single"/>
          <w:lang w:val="en-US"/>
        </w:rPr>
        <w:t>A</w:t>
      </w:r>
      <w:r>
        <w:rPr>
          <w:rFonts w:eastAsia="Times New Roman" w:cstheme="minorHAnsi"/>
          <w:b/>
          <w:color w:val="000000"/>
          <w:u w:val="single"/>
          <w:lang w:val="en-US"/>
        </w:rPr>
        <w:t xml:space="preserve">nalysis of researcher’s main arguments, </w:t>
      </w:r>
      <w:proofErr w:type="gramStart"/>
      <w:r>
        <w:rPr>
          <w:rFonts w:eastAsia="Times New Roman" w:cstheme="minorHAnsi"/>
          <w:b/>
          <w:color w:val="000000"/>
          <w:u w:val="single"/>
          <w:lang w:val="en-US"/>
        </w:rPr>
        <w:t>points</w:t>
      </w:r>
      <w:proofErr w:type="gramEnd"/>
      <w:r>
        <w:rPr>
          <w:rFonts w:eastAsia="Times New Roman" w:cstheme="minorHAnsi"/>
          <w:b/>
          <w:color w:val="000000"/>
          <w:u w:val="single"/>
          <w:lang w:val="en-US"/>
        </w:rPr>
        <w:t xml:space="preserve"> and conclusions</w:t>
      </w:r>
    </w:p>
    <w:p w14:paraId="0847187D" w14:textId="77777777" w:rsidR="00A432AF" w:rsidRPr="00776143" w:rsidRDefault="00A432AF" w:rsidP="00A432AF">
      <w:pPr>
        <w:spacing w:after="0" w:line="240" w:lineRule="auto"/>
        <w:rPr>
          <w:rFonts w:eastAsia="Times New Roman" w:cstheme="minorHAnsi"/>
          <w:b/>
          <w:color w:val="000000"/>
          <w:lang w:val="en-US"/>
        </w:rPr>
      </w:pPr>
    </w:p>
    <w:p w14:paraId="2A8339FF" w14:textId="77777777" w:rsidR="00A432AF" w:rsidRPr="00DD3BFA" w:rsidRDefault="00A432AF" w:rsidP="00A432AF">
      <w:pPr>
        <w:spacing w:after="0" w:line="240" w:lineRule="auto"/>
        <w:rPr>
          <w:rFonts w:eastAsia="Times New Roman" w:cstheme="minorHAnsi"/>
          <w:b/>
          <w:color w:val="000000"/>
          <w:lang w:val="en-US"/>
        </w:rPr>
      </w:pPr>
      <w:r w:rsidRPr="002E11E4">
        <w:rPr>
          <w:rFonts w:eastAsia="Times New Roman" w:cstheme="minorHAnsi"/>
          <w:color w:val="000000"/>
          <w:lang w:val="en-US"/>
        </w:rPr>
        <w:t>The main</w:t>
      </w:r>
      <w:r>
        <w:rPr>
          <w:rFonts w:eastAsia="Times New Roman" w:cstheme="minorHAnsi"/>
          <w:color w:val="000000"/>
          <w:lang w:val="en-US"/>
        </w:rPr>
        <w:t xml:space="preserve"> points of view in the article are centered on the issues of institutional power and control in the mentoring process. Using discourse analysis, the author conducted a critical review of the mentoring project at the unnamed university. Christie (2014) argues that the mentoring scheme is heavily formalized, employing one project officer, located in a central service, whose remit is to coordinate the programme as a whole with responsibility for recruiting students, designing, and delivering training for mentors, matching mentors and mentees, and day to day management of the project. She argues that what this analysis reveals is the power of the project staff to exercise considerable influence on the direction, shape, and ethos of the mentoring programme. It can be argued that although the project officer has elements of power and control in the process, students, and volunteers, who have possibly not mentored before, surely must need direction. Valcik and Benavides (2012: 140) state that “mentors and mentees will need direction in understanding the goals of the program, and how to relate to the other individual in the mentoring relationship. No one </w:t>
      </w:r>
      <w:r>
        <w:rPr>
          <w:rFonts w:eastAsia="Times New Roman" w:cstheme="minorHAnsi"/>
          <w:color w:val="000000"/>
          <w:lang w:val="en-US"/>
        </w:rPr>
        <w:lastRenderedPageBreak/>
        <w:t xml:space="preserve">should be allowed in the mentoring program without going through an orientation or training program”. </w:t>
      </w:r>
    </w:p>
    <w:p w14:paraId="0754A32A" w14:textId="77777777" w:rsidR="00A432AF" w:rsidRDefault="00A432AF" w:rsidP="00A432AF">
      <w:pPr>
        <w:spacing w:after="0" w:line="240" w:lineRule="auto"/>
        <w:rPr>
          <w:rFonts w:eastAsia="Times New Roman" w:cstheme="minorHAnsi"/>
          <w:color w:val="000000"/>
          <w:lang w:val="en-US"/>
        </w:rPr>
      </w:pPr>
    </w:p>
    <w:p w14:paraId="55042639"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 xml:space="preserve">Christie (2014) also argues that training for mentors is a source of legitimation and formalisation of the mentoring process, because the project officer is vested with the formal power to set the nature and content of the training. It is arguable however, that participants lack the experience to perform such roles without training, particularly the role of a mentor, requiring training, regardless of its content. Dyson et al (2015) argue that mentors appreciate training and preparation, which is vital if they are to embrace the process of effective and purposeful mentoring.  Although the author is criticizing the project officer due to the level of power and control they possess, mentoring programs will need a form of management or leadership behind its success. Clutterbuck (2014) argues that a good mentoring programme manager is integral to programme success, it is their energy and enthusiasm for mentoring specifically and for developing others more generally that will drive the program and keep momentum within it. Christie (2014) also states that mentees are positioned as passive recipients of the scheme in that if they become troublesome, or step out of line, they must be referred on to the project officer for remediation. It can be anticipated that peer mentors may encounter situations as those above and that younger students may not be suitably qualified to deal with all issues. Therefore, not making it an issue of power, but a necessity for mentors involved in the program. McFarlane and Wroe (2015) argue that it is vital in any mentor training that the young people recognise their imitations and are aware of when issues </w:t>
      </w:r>
      <w:proofErr w:type="spellStart"/>
      <w:r>
        <w:rPr>
          <w:rFonts w:eastAsia="Times New Roman" w:cstheme="minorHAnsi"/>
          <w:color w:val="000000"/>
          <w:lang w:val="en-US"/>
        </w:rPr>
        <w:t>nee</w:t>
      </w:r>
      <w:proofErr w:type="spellEnd"/>
      <w:r>
        <w:rPr>
          <w:rFonts w:eastAsia="Times New Roman" w:cstheme="minorHAnsi"/>
          <w:color w:val="000000"/>
          <w:lang w:val="en-US"/>
        </w:rPr>
        <w:t xml:space="preserve"> to be referred. It would be beneficial for the reader here if the author was to define what is meant by ‘troublesome’ and ‘step out of line’. What constitutes for stepping out of line or being troublesome for one person, may be different to another. </w:t>
      </w:r>
    </w:p>
    <w:p w14:paraId="1B3B39BE" w14:textId="77777777" w:rsidR="00A432AF" w:rsidRDefault="00A432AF" w:rsidP="00A432AF">
      <w:pPr>
        <w:spacing w:after="0" w:line="240" w:lineRule="auto"/>
        <w:rPr>
          <w:rFonts w:eastAsia="Times New Roman" w:cstheme="minorHAnsi"/>
          <w:color w:val="000000"/>
          <w:lang w:val="en-US"/>
        </w:rPr>
      </w:pPr>
    </w:p>
    <w:p w14:paraId="4A22EA1E"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 xml:space="preserve">Referring to mentor and mentee matches in her article, Christie (2014: 960) states that “it is also clear that more value is based on some matches than on others, based on judgments about ‘character’, which may be mediated by sociocultural beliefs about class, race, age and gender. As such the coordinator has formally sanctioned power to construct and control the social practices through which mentoring relationship takes place”. This statement has no factual evidence to support its claim and is misleading for the reader. The author must also define character and not assume that it is referred to as class, race, age, and gender. Furthermore, it would also be difficult to define a mentees character considering they are new to the institution. After revisiting the above issues regarding power and control in her conclusion, Christie (2014) also argues in her conclusion that real worries for mentors were that mentees had become dependent on them, finding it difficult to provide in depth academic support. This however, is expected due to the nature that peer mentors are still learning about their subject themselves. Leatherman (2008) argues that mentors don’t have to have all the answers, it is only important they are able to help the mentee learn where to look for the answers. </w:t>
      </w:r>
    </w:p>
    <w:p w14:paraId="387C4E4D" w14:textId="77777777" w:rsidR="00A432AF" w:rsidRDefault="00A432AF" w:rsidP="00A432AF">
      <w:pPr>
        <w:spacing w:after="0" w:line="240" w:lineRule="auto"/>
        <w:rPr>
          <w:rFonts w:eastAsia="Times New Roman" w:cstheme="minorHAnsi"/>
          <w:color w:val="000000"/>
          <w:lang w:val="en-US"/>
        </w:rPr>
      </w:pPr>
    </w:p>
    <w:p w14:paraId="13D4ABCE" w14:textId="77777777" w:rsidR="00A432AF" w:rsidRDefault="00A432AF" w:rsidP="00A432AF">
      <w:pPr>
        <w:spacing w:after="0" w:line="240" w:lineRule="auto"/>
        <w:rPr>
          <w:rFonts w:eastAsia="Times New Roman" w:cstheme="minorHAnsi"/>
          <w:color w:val="000000"/>
          <w:lang w:val="en-US"/>
        </w:rPr>
      </w:pPr>
      <w:r>
        <w:rPr>
          <w:rFonts w:eastAsia="Times New Roman" w:cstheme="minorHAnsi"/>
          <w:color w:val="000000"/>
          <w:lang w:val="en-US"/>
        </w:rPr>
        <w:t xml:space="preserve">Overall, the arguments presented are not convincing enough to form a strong case regarding the issues of power and control mentioned regarding the mentoring project and lack justification. It can be argued that it is imperative for mentors and mentees to have a support network in place and be given adequate training in order to perform the roles effectively. Due to the lack of criticality throughout the article, there does seem to be a one-sided argument regarding the issues of power and control, with only negative aspects of the matter mentioned with a range of assumptions made about the mentoring project with no factual evidence. Although a critical analysis of the mentoring project was completed, this can only be deemed as one-person view on the matters. Interviewing or speaking to people who were part of the scheme may be seen as more beneficial because it may have given a more concrete understanding of the mentoring project. When given power, the article revealed that mentors often struggled to provide additional support to mentees when needed. It may also benefit the author if a comparative study were to be completed, critically reviewing </w:t>
      </w:r>
      <w:r>
        <w:rPr>
          <w:rFonts w:eastAsia="Times New Roman" w:cstheme="minorHAnsi"/>
          <w:color w:val="000000"/>
          <w:lang w:val="en-US"/>
        </w:rPr>
        <w:lastRenderedPageBreak/>
        <w:t xml:space="preserve">another university mentoring project, examining, and comparing issues of power and control between them. Finally, a broader methodology with the use of interviews or questionnaires with the participants could have provided more accurate conclusions. </w:t>
      </w:r>
    </w:p>
    <w:p w14:paraId="60CFAA6B" w14:textId="77777777" w:rsidR="00A432AF" w:rsidRDefault="00A432AF" w:rsidP="00A432AF">
      <w:pPr>
        <w:spacing w:after="0" w:line="240" w:lineRule="auto"/>
        <w:rPr>
          <w:rFonts w:eastAsia="Times New Roman" w:cstheme="minorHAnsi"/>
          <w:color w:val="000000"/>
          <w:lang w:val="en-US"/>
        </w:rPr>
      </w:pPr>
    </w:p>
    <w:p w14:paraId="19C9A7A3" w14:textId="77777777" w:rsidR="00A432AF" w:rsidRDefault="00A432AF" w:rsidP="00A432AF">
      <w:pPr>
        <w:spacing w:after="0" w:line="240" w:lineRule="auto"/>
        <w:rPr>
          <w:rFonts w:eastAsia="Times New Roman" w:cstheme="minorHAnsi"/>
          <w:b/>
          <w:color w:val="000000"/>
          <w:lang w:val="en-US"/>
        </w:rPr>
      </w:pPr>
    </w:p>
    <w:p w14:paraId="6830C6BE" w14:textId="77777777" w:rsidR="00A432AF" w:rsidRDefault="00A432AF" w:rsidP="00A432AF">
      <w:pPr>
        <w:spacing w:after="0" w:line="240" w:lineRule="auto"/>
        <w:rPr>
          <w:rFonts w:eastAsia="Times New Roman" w:cstheme="minorHAnsi"/>
          <w:b/>
          <w:color w:val="000000"/>
          <w:lang w:val="en-US"/>
        </w:rPr>
      </w:pPr>
    </w:p>
    <w:p w14:paraId="32455F82" w14:textId="77777777" w:rsidR="00A432AF" w:rsidRDefault="00A432AF" w:rsidP="00A432AF">
      <w:pPr>
        <w:spacing w:after="0" w:line="240" w:lineRule="auto"/>
        <w:rPr>
          <w:rFonts w:eastAsia="Times New Roman" w:cstheme="minorHAnsi"/>
          <w:b/>
          <w:color w:val="000000"/>
          <w:lang w:val="en-US"/>
        </w:rPr>
      </w:pPr>
    </w:p>
    <w:p w14:paraId="2A6DDB10" w14:textId="77777777" w:rsidR="00A432AF" w:rsidRDefault="00A432AF" w:rsidP="00A432AF">
      <w:pPr>
        <w:spacing w:after="0" w:line="240" w:lineRule="auto"/>
        <w:rPr>
          <w:rFonts w:eastAsia="Times New Roman" w:cstheme="minorHAnsi"/>
          <w:b/>
          <w:color w:val="000000"/>
          <w:lang w:val="en-US"/>
        </w:rPr>
      </w:pPr>
    </w:p>
    <w:p w14:paraId="5379D0AC" w14:textId="77777777" w:rsidR="00A432AF" w:rsidRDefault="00A432AF" w:rsidP="00A432AF">
      <w:pPr>
        <w:spacing w:after="0" w:line="240" w:lineRule="auto"/>
        <w:rPr>
          <w:rFonts w:eastAsia="Times New Roman" w:cstheme="minorHAnsi"/>
          <w:b/>
          <w:color w:val="000000"/>
          <w:lang w:val="en-US"/>
        </w:rPr>
      </w:pPr>
    </w:p>
    <w:p w14:paraId="03474ADA" w14:textId="77777777" w:rsidR="00A432AF" w:rsidRDefault="00A432AF" w:rsidP="00A432AF">
      <w:pPr>
        <w:spacing w:after="0" w:line="240" w:lineRule="auto"/>
        <w:rPr>
          <w:rFonts w:eastAsia="Times New Roman" w:cstheme="minorHAnsi"/>
          <w:b/>
          <w:color w:val="000000"/>
          <w:lang w:val="en-US"/>
        </w:rPr>
      </w:pPr>
    </w:p>
    <w:p w14:paraId="610F440B" w14:textId="77777777" w:rsidR="00A432AF" w:rsidRDefault="00A432AF" w:rsidP="00A432AF">
      <w:pPr>
        <w:spacing w:after="0" w:line="240" w:lineRule="auto"/>
        <w:rPr>
          <w:rFonts w:eastAsia="Times New Roman" w:cstheme="minorHAnsi"/>
          <w:b/>
          <w:color w:val="000000"/>
          <w:lang w:val="en-US"/>
        </w:rPr>
      </w:pPr>
    </w:p>
    <w:p w14:paraId="21B23257" w14:textId="77777777" w:rsidR="00A432AF" w:rsidRDefault="00A432AF" w:rsidP="00A432AF">
      <w:pPr>
        <w:spacing w:after="0" w:line="240" w:lineRule="auto"/>
        <w:rPr>
          <w:rFonts w:eastAsia="Times New Roman" w:cstheme="minorHAnsi"/>
          <w:b/>
          <w:color w:val="000000"/>
          <w:lang w:val="en-US"/>
        </w:rPr>
      </w:pPr>
    </w:p>
    <w:p w14:paraId="4C420401" w14:textId="77777777" w:rsidR="00A432AF" w:rsidRDefault="00A432AF" w:rsidP="00A432AF">
      <w:pPr>
        <w:spacing w:after="0" w:line="240" w:lineRule="auto"/>
        <w:rPr>
          <w:rFonts w:eastAsia="Times New Roman" w:cstheme="minorHAnsi"/>
          <w:b/>
          <w:color w:val="000000"/>
          <w:lang w:val="en-US"/>
        </w:rPr>
      </w:pPr>
    </w:p>
    <w:p w14:paraId="1BA07062" w14:textId="77777777" w:rsidR="00A432AF" w:rsidRDefault="00A432AF" w:rsidP="00A432AF">
      <w:pPr>
        <w:spacing w:after="0" w:line="240" w:lineRule="auto"/>
        <w:rPr>
          <w:rFonts w:eastAsia="Times New Roman" w:cstheme="minorHAnsi"/>
          <w:b/>
          <w:color w:val="000000"/>
          <w:lang w:val="en-US"/>
        </w:rPr>
      </w:pPr>
    </w:p>
    <w:p w14:paraId="75042728" w14:textId="77777777" w:rsidR="00A432AF" w:rsidRDefault="00A432AF" w:rsidP="00A432AF">
      <w:pPr>
        <w:spacing w:after="0" w:line="240" w:lineRule="auto"/>
        <w:rPr>
          <w:rFonts w:eastAsia="Times New Roman" w:cstheme="minorHAnsi"/>
          <w:b/>
          <w:color w:val="000000"/>
          <w:lang w:val="en-US"/>
        </w:rPr>
      </w:pPr>
    </w:p>
    <w:p w14:paraId="3B5F1547" w14:textId="77777777" w:rsidR="00A432AF" w:rsidRDefault="00A432AF" w:rsidP="00A432AF">
      <w:pPr>
        <w:spacing w:after="0" w:line="240" w:lineRule="auto"/>
        <w:rPr>
          <w:rFonts w:eastAsia="Times New Roman" w:cstheme="minorHAnsi"/>
          <w:b/>
          <w:color w:val="000000"/>
          <w:lang w:val="en-US"/>
        </w:rPr>
      </w:pPr>
    </w:p>
    <w:p w14:paraId="49C0266D" w14:textId="77777777" w:rsidR="00A432AF" w:rsidRDefault="00A432AF" w:rsidP="00A432AF">
      <w:pPr>
        <w:spacing w:after="0" w:line="240" w:lineRule="auto"/>
        <w:rPr>
          <w:rFonts w:eastAsia="Times New Roman" w:cstheme="minorHAnsi"/>
          <w:b/>
          <w:color w:val="000000"/>
          <w:lang w:val="en-US"/>
        </w:rPr>
      </w:pPr>
    </w:p>
    <w:p w14:paraId="6B8EF112" w14:textId="77777777" w:rsidR="00A432AF" w:rsidRDefault="00A432AF" w:rsidP="00A432AF">
      <w:pPr>
        <w:spacing w:after="0" w:line="240" w:lineRule="auto"/>
        <w:rPr>
          <w:rFonts w:eastAsia="Times New Roman" w:cstheme="minorHAnsi"/>
          <w:b/>
          <w:color w:val="000000"/>
          <w:lang w:val="en-US"/>
        </w:rPr>
      </w:pPr>
    </w:p>
    <w:p w14:paraId="65C338B2" w14:textId="77777777" w:rsidR="00A432AF" w:rsidRDefault="00A432AF" w:rsidP="00A432AF">
      <w:pPr>
        <w:spacing w:after="0" w:line="240" w:lineRule="auto"/>
        <w:rPr>
          <w:rFonts w:eastAsia="Times New Roman" w:cstheme="minorHAnsi"/>
          <w:b/>
          <w:color w:val="000000"/>
          <w:lang w:val="en-US"/>
        </w:rPr>
      </w:pPr>
    </w:p>
    <w:p w14:paraId="0D62F9EE" w14:textId="77777777" w:rsidR="00A432AF" w:rsidRDefault="00A432AF" w:rsidP="00A432AF">
      <w:pPr>
        <w:spacing w:after="0" w:line="240" w:lineRule="auto"/>
        <w:rPr>
          <w:rFonts w:eastAsia="Times New Roman" w:cstheme="minorHAnsi"/>
          <w:b/>
          <w:color w:val="000000"/>
          <w:lang w:val="en-US"/>
        </w:rPr>
      </w:pPr>
    </w:p>
    <w:p w14:paraId="291ADD34" w14:textId="77777777" w:rsidR="00A432AF" w:rsidRDefault="00A432AF" w:rsidP="00A432AF">
      <w:pPr>
        <w:spacing w:after="0" w:line="240" w:lineRule="auto"/>
        <w:rPr>
          <w:rFonts w:eastAsia="Times New Roman" w:cstheme="minorHAnsi"/>
          <w:b/>
          <w:color w:val="000000"/>
          <w:lang w:val="en-US"/>
        </w:rPr>
      </w:pPr>
    </w:p>
    <w:p w14:paraId="06A4E125" w14:textId="77777777" w:rsidR="00A432AF" w:rsidRDefault="00A432AF" w:rsidP="00A432AF">
      <w:pPr>
        <w:spacing w:after="0" w:line="240" w:lineRule="auto"/>
        <w:rPr>
          <w:rFonts w:eastAsia="Times New Roman" w:cstheme="minorHAnsi"/>
          <w:b/>
          <w:color w:val="000000"/>
          <w:lang w:val="en-US"/>
        </w:rPr>
      </w:pPr>
    </w:p>
    <w:p w14:paraId="7E5E0654" w14:textId="77777777" w:rsidR="00A432AF" w:rsidRDefault="00A432AF" w:rsidP="00A432AF">
      <w:pPr>
        <w:spacing w:after="0" w:line="240" w:lineRule="auto"/>
        <w:rPr>
          <w:rFonts w:eastAsia="Times New Roman" w:cstheme="minorHAnsi"/>
          <w:b/>
          <w:color w:val="000000"/>
          <w:lang w:val="en-US"/>
        </w:rPr>
      </w:pPr>
    </w:p>
    <w:p w14:paraId="7825C610" w14:textId="77777777" w:rsidR="00A432AF" w:rsidRDefault="00A432AF" w:rsidP="00A432AF">
      <w:pPr>
        <w:spacing w:after="0" w:line="240" w:lineRule="auto"/>
        <w:rPr>
          <w:rFonts w:eastAsia="Times New Roman" w:cstheme="minorHAnsi"/>
          <w:b/>
          <w:color w:val="000000"/>
          <w:lang w:val="en-US"/>
        </w:rPr>
      </w:pPr>
    </w:p>
    <w:p w14:paraId="5C2C5643" w14:textId="77777777" w:rsidR="00A432AF" w:rsidRDefault="00A432AF" w:rsidP="00A432AF">
      <w:pPr>
        <w:spacing w:after="0" w:line="240" w:lineRule="auto"/>
        <w:rPr>
          <w:rFonts w:eastAsia="Times New Roman" w:cstheme="minorHAnsi"/>
          <w:b/>
          <w:color w:val="000000"/>
          <w:lang w:val="en-US"/>
        </w:rPr>
      </w:pPr>
    </w:p>
    <w:p w14:paraId="2BF62B52" w14:textId="77777777" w:rsidR="00A432AF" w:rsidRDefault="00A432AF" w:rsidP="00A432AF">
      <w:pPr>
        <w:spacing w:after="0" w:line="240" w:lineRule="auto"/>
        <w:rPr>
          <w:rFonts w:eastAsia="Times New Roman" w:cstheme="minorHAnsi"/>
          <w:b/>
          <w:color w:val="000000"/>
          <w:lang w:val="en-US"/>
        </w:rPr>
      </w:pPr>
    </w:p>
    <w:p w14:paraId="1DE8C09C" w14:textId="77777777" w:rsidR="00A432AF" w:rsidRDefault="00A432AF" w:rsidP="00A432AF">
      <w:pPr>
        <w:spacing w:after="0" w:line="240" w:lineRule="auto"/>
        <w:rPr>
          <w:rFonts w:eastAsia="Times New Roman" w:cstheme="minorHAnsi"/>
          <w:b/>
          <w:color w:val="000000"/>
          <w:lang w:val="en-US"/>
        </w:rPr>
      </w:pPr>
    </w:p>
    <w:p w14:paraId="0531CFA8" w14:textId="77777777" w:rsidR="00A432AF" w:rsidRDefault="00A432AF" w:rsidP="00A432AF">
      <w:pPr>
        <w:spacing w:after="0" w:line="240" w:lineRule="auto"/>
        <w:rPr>
          <w:rFonts w:eastAsia="Times New Roman" w:cstheme="minorHAnsi"/>
          <w:b/>
          <w:color w:val="000000"/>
          <w:lang w:val="en-US"/>
        </w:rPr>
      </w:pPr>
    </w:p>
    <w:p w14:paraId="62F80F3C" w14:textId="77777777" w:rsidR="00A432AF" w:rsidRDefault="00A432AF" w:rsidP="00A432AF">
      <w:pPr>
        <w:spacing w:after="0" w:line="240" w:lineRule="auto"/>
        <w:rPr>
          <w:rFonts w:eastAsia="Times New Roman" w:cstheme="minorHAnsi"/>
          <w:b/>
          <w:color w:val="000000"/>
          <w:lang w:val="en-US"/>
        </w:rPr>
      </w:pPr>
    </w:p>
    <w:p w14:paraId="616D5B45" w14:textId="77777777" w:rsidR="00A432AF" w:rsidRDefault="00A432AF" w:rsidP="00A432AF">
      <w:pPr>
        <w:spacing w:after="0" w:line="240" w:lineRule="auto"/>
        <w:rPr>
          <w:rFonts w:eastAsia="Times New Roman" w:cstheme="minorHAnsi"/>
          <w:b/>
          <w:color w:val="000000"/>
          <w:lang w:val="en-US"/>
        </w:rPr>
      </w:pPr>
    </w:p>
    <w:p w14:paraId="3B53442D" w14:textId="77777777" w:rsidR="00A432AF" w:rsidRDefault="00A432AF" w:rsidP="00A432AF">
      <w:pPr>
        <w:spacing w:after="0" w:line="240" w:lineRule="auto"/>
        <w:rPr>
          <w:rFonts w:eastAsia="Times New Roman" w:cstheme="minorHAnsi"/>
          <w:b/>
          <w:color w:val="000000"/>
          <w:lang w:val="en-US"/>
        </w:rPr>
      </w:pPr>
    </w:p>
    <w:p w14:paraId="046B5196" w14:textId="77777777" w:rsidR="00A432AF" w:rsidRDefault="00A432AF" w:rsidP="00A432AF">
      <w:pPr>
        <w:spacing w:after="0" w:line="240" w:lineRule="auto"/>
        <w:rPr>
          <w:rFonts w:eastAsia="Times New Roman" w:cstheme="minorHAnsi"/>
          <w:b/>
          <w:color w:val="000000"/>
          <w:lang w:val="en-US"/>
        </w:rPr>
      </w:pPr>
    </w:p>
    <w:p w14:paraId="242595CD" w14:textId="77777777" w:rsidR="00A432AF" w:rsidRDefault="00A432AF" w:rsidP="00A432AF">
      <w:pPr>
        <w:spacing w:after="0" w:line="240" w:lineRule="auto"/>
        <w:rPr>
          <w:rFonts w:eastAsia="Times New Roman" w:cstheme="minorHAnsi"/>
          <w:b/>
          <w:color w:val="000000"/>
          <w:lang w:val="en-US"/>
        </w:rPr>
      </w:pPr>
    </w:p>
    <w:p w14:paraId="50F096B0" w14:textId="77777777" w:rsidR="00A432AF" w:rsidRDefault="00A432AF" w:rsidP="00A432AF">
      <w:pPr>
        <w:spacing w:after="0" w:line="240" w:lineRule="auto"/>
        <w:rPr>
          <w:rFonts w:eastAsia="Times New Roman" w:cstheme="minorHAnsi"/>
          <w:b/>
          <w:color w:val="000000"/>
          <w:lang w:val="en-US"/>
        </w:rPr>
      </w:pPr>
    </w:p>
    <w:p w14:paraId="38D1C723" w14:textId="77777777" w:rsidR="00A432AF" w:rsidRDefault="00A432AF" w:rsidP="00A432AF">
      <w:pPr>
        <w:spacing w:after="0" w:line="240" w:lineRule="auto"/>
        <w:rPr>
          <w:rFonts w:eastAsia="Times New Roman" w:cstheme="minorHAnsi"/>
          <w:b/>
          <w:color w:val="000000"/>
          <w:lang w:val="en-US"/>
        </w:rPr>
      </w:pPr>
    </w:p>
    <w:p w14:paraId="62D16474" w14:textId="77777777" w:rsidR="00A432AF" w:rsidRDefault="00A432AF" w:rsidP="00A432AF">
      <w:pPr>
        <w:spacing w:after="0" w:line="240" w:lineRule="auto"/>
        <w:rPr>
          <w:rFonts w:eastAsia="Times New Roman" w:cstheme="minorHAnsi"/>
          <w:b/>
          <w:color w:val="000000"/>
          <w:lang w:val="en-US"/>
        </w:rPr>
      </w:pPr>
    </w:p>
    <w:p w14:paraId="16078EB5" w14:textId="77777777" w:rsidR="00A432AF" w:rsidRDefault="00A432AF" w:rsidP="00A432AF">
      <w:pPr>
        <w:spacing w:after="0" w:line="240" w:lineRule="auto"/>
        <w:rPr>
          <w:rFonts w:eastAsia="Times New Roman" w:cstheme="minorHAnsi"/>
          <w:b/>
          <w:color w:val="000000"/>
          <w:lang w:val="en-US"/>
        </w:rPr>
      </w:pPr>
    </w:p>
    <w:p w14:paraId="3AFA840E" w14:textId="77777777" w:rsidR="00A432AF" w:rsidRDefault="00A432AF" w:rsidP="00A432AF">
      <w:pPr>
        <w:spacing w:after="0" w:line="240" w:lineRule="auto"/>
        <w:rPr>
          <w:rFonts w:eastAsia="Times New Roman" w:cstheme="minorHAnsi"/>
          <w:b/>
          <w:color w:val="000000"/>
          <w:lang w:val="en-US"/>
        </w:rPr>
      </w:pPr>
    </w:p>
    <w:p w14:paraId="37A8DFCF" w14:textId="77777777" w:rsidR="00A432AF" w:rsidRDefault="00A432AF" w:rsidP="00A432AF">
      <w:pPr>
        <w:spacing w:after="0" w:line="240" w:lineRule="auto"/>
        <w:rPr>
          <w:rFonts w:eastAsia="Times New Roman" w:cstheme="minorHAnsi"/>
          <w:b/>
          <w:color w:val="000000"/>
          <w:lang w:val="en-US"/>
        </w:rPr>
      </w:pPr>
    </w:p>
    <w:p w14:paraId="649ED00E" w14:textId="77777777" w:rsidR="00A432AF" w:rsidRDefault="00A432AF" w:rsidP="00A432AF">
      <w:pPr>
        <w:spacing w:after="0" w:line="240" w:lineRule="auto"/>
        <w:rPr>
          <w:rFonts w:eastAsia="Times New Roman" w:cstheme="minorHAnsi"/>
          <w:b/>
          <w:color w:val="000000"/>
          <w:lang w:val="en-US"/>
        </w:rPr>
      </w:pPr>
    </w:p>
    <w:p w14:paraId="3BA08A58" w14:textId="77777777" w:rsidR="00A432AF" w:rsidRDefault="00A432AF" w:rsidP="00A432AF">
      <w:pPr>
        <w:spacing w:after="0" w:line="240" w:lineRule="auto"/>
        <w:rPr>
          <w:rFonts w:eastAsia="Times New Roman" w:cstheme="minorHAnsi"/>
          <w:b/>
          <w:color w:val="000000"/>
          <w:lang w:val="en-US"/>
        </w:rPr>
      </w:pPr>
    </w:p>
    <w:p w14:paraId="18E822F8" w14:textId="77777777" w:rsidR="00A432AF" w:rsidRDefault="00A432AF" w:rsidP="00A432AF">
      <w:pPr>
        <w:spacing w:after="0" w:line="240" w:lineRule="auto"/>
        <w:rPr>
          <w:rFonts w:eastAsia="Times New Roman" w:cstheme="minorHAnsi"/>
          <w:b/>
          <w:color w:val="000000"/>
          <w:lang w:val="en-US"/>
        </w:rPr>
      </w:pPr>
    </w:p>
    <w:p w14:paraId="1C924522" w14:textId="77777777" w:rsidR="00A432AF" w:rsidRDefault="00A432AF" w:rsidP="00A432AF">
      <w:pPr>
        <w:spacing w:after="0" w:line="240" w:lineRule="auto"/>
        <w:rPr>
          <w:rFonts w:eastAsia="Times New Roman" w:cstheme="minorHAnsi"/>
          <w:b/>
          <w:color w:val="000000"/>
          <w:lang w:val="en-US"/>
        </w:rPr>
      </w:pPr>
    </w:p>
    <w:p w14:paraId="3272F64E" w14:textId="77777777" w:rsidR="00A432AF" w:rsidRDefault="00A432AF" w:rsidP="00A432AF">
      <w:pPr>
        <w:spacing w:after="0" w:line="240" w:lineRule="auto"/>
        <w:rPr>
          <w:rFonts w:eastAsia="Times New Roman" w:cstheme="minorHAnsi"/>
          <w:b/>
          <w:color w:val="000000"/>
          <w:lang w:val="en-US"/>
        </w:rPr>
      </w:pPr>
    </w:p>
    <w:p w14:paraId="7F5FD6B7" w14:textId="77777777" w:rsidR="00A432AF" w:rsidRDefault="00A432AF" w:rsidP="00A432AF">
      <w:pPr>
        <w:spacing w:after="0" w:line="240" w:lineRule="auto"/>
        <w:rPr>
          <w:rFonts w:eastAsia="Times New Roman" w:cstheme="minorHAnsi"/>
          <w:b/>
          <w:color w:val="000000"/>
          <w:lang w:val="en-US"/>
        </w:rPr>
      </w:pPr>
    </w:p>
    <w:p w14:paraId="1ABD1628" w14:textId="77777777" w:rsidR="00A432AF" w:rsidRDefault="00A432AF" w:rsidP="00A432AF">
      <w:pPr>
        <w:spacing w:after="0" w:line="240" w:lineRule="auto"/>
        <w:rPr>
          <w:rFonts w:eastAsia="Times New Roman" w:cstheme="minorHAnsi"/>
          <w:b/>
          <w:color w:val="000000"/>
          <w:lang w:val="en-US"/>
        </w:rPr>
      </w:pPr>
    </w:p>
    <w:p w14:paraId="6307B0C1" w14:textId="77777777" w:rsidR="00A432AF" w:rsidRDefault="00A432AF" w:rsidP="00A432AF">
      <w:pPr>
        <w:spacing w:after="0" w:line="240" w:lineRule="auto"/>
        <w:rPr>
          <w:rFonts w:eastAsia="Times New Roman" w:cstheme="minorHAnsi"/>
          <w:b/>
          <w:color w:val="000000"/>
          <w:lang w:val="en-US"/>
        </w:rPr>
      </w:pPr>
    </w:p>
    <w:p w14:paraId="3914CD1B" w14:textId="77777777" w:rsidR="00A432AF" w:rsidRDefault="00A432AF" w:rsidP="00A432AF">
      <w:pPr>
        <w:spacing w:after="0" w:line="240" w:lineRule="auto"/>
        <w:rPr>
          <w:rFonts w:eastAsia="Times New Roman" w:cstheme="minorHAnsi"/>
          <w:b/>
          <w:color w:val="000000"/>
          <w:lang w:val="en-US"/>
        </w:rPr>
      </w:pPr>
    </w:p>
    <w:p w14:paraId="6E0D5B59" w14:textId="77777777" w:rsidR="00A432AF" w:rsidRDefault="00A432AF" w:rsidP="00A432AF">
      <w:pPr>
        <w:spacing w:after="0" w:line="240" w:lineRule="auto"/>
        <w:rPr>
          <w:rFonts w:eastAsia="Times New Roman" w:cstheme="minorHAnsi"/>
          <w:b/>
          <w:color w:val="000000"/>
          <w:lang w:val="en-US"/>
        </w:rPr>
      </w:pPr>
    </w:p>
    <w:p w14:paraId="11765DAC" w14:textId="77777777" w:rsidR="00A432AF" w:rsidRDefault="00A432AF" w:rsidP="00A432AF">
      <w:pPr>
        <w:spacing w:after="0" w:line="240" w:lineRule="auto"/>
        <w:rPr>
          <w:rFonts w:eastAsia="Times New Roman" w:cstheme="minorHAnsi"/>
          <w:b/>
          <w:color w:val="000000"/>
          <w:lang w:val="en-US"/>
        </w:rPr>
      </w:pPr>
    </w:p>
    <w:p w14:paraId="04F4382D" w14:textId="77777777" w:rsidR="00A432AF" w:rsidRDefault="00A432AF" w:rsidP="00A432AF">
      <w:pPr>
        <w:spacing w:after="0" w:line="240" w:lineRule="auto"/>
        <w:rPr>
          <w:rFonts w:eastAsia="Times New Roman" w:cstheme="minorHAnsi"/>
          <w:b/>
          <w:color w:val="000000"/>
          <w:lang w:val="en-US"/>
        </w:rPr>
      </w:pPr>
    </w:p>
    <w:p w14:paraId="281BBBAA" w14:textId="77777777" w:rsidR="00A432AF" w:rsidRPr="00EC34CB" w:rsidRDefault="00A432AF" w:rsidP="00A432AF">
      <w:pPr>
        <w:spacing w:after="0" w:line="240" w:lineRule="auto"/>
        <w:rPr>
          <w:rFonts w:eastAsia="Times New Roman" w:cstheme="minorHAnsi"/>
          <w:color w:val="000000"/>
          <w:lang w:val="en-US"/>
        </w:rPr>
      </w:pPr>
      <w:r w:rsidRPr="00DE1C9B">
        <w:rPr>
          <w:rFonts w:eastAsia="Times New Roman" w:cstheme="minorHAnsi"/>
          <w:b/>
          <w:color w:val="000000"/>
          <w:lang w:val="en-US"/>
        </w:rPr>
        <w:lastRenderedPageBreak/>
        <w:t>References</w:t>
      </w:r>
    </w:p>
    <w:p w14:paraId="4AFB2DC4" w14:textId="77777777" w:rsidR="00A432AF" w:rsidRPr="00DE1C9B" w:rsidRDefault="00A432AF" w:rsidP="00A432AF">
      <w:pPr>
        <w:spacing w:after="0" w:line="240" w:lineRule="auto"/>
        <w:rPr>
          <w:rFonts w:eastAsia="Times New Roman" w:cstheme="minorHAnsi"/>
          <w:color w:val="000000"/>
          <w:lang w:val="en-US"/>
        </w:rPr>
      </w:pPr>
    </w:p>
    <w:p w14:paraId="21179D35" w14:textId="77777777" w:rsidR="00A432AF" w:rsidRDefault="00A432AF" w:rsidP="00A432AF">
      <w:pPr>
        <w:spacing w:after="0" w:line="240" w:lineRule="auto"/>
        <w:rPr>
          <w:rFonts w:eastAsia="Times New Roman" w:cstheme="minorHAnsi"/>
          <w:color w:val="000000"/>
          <w:lang w:val="en-US"/>
        </w:rPr>
      </w:pPr>
      <w:r w:rsidRPr="00C66966">
        <w:rPr>
          <w:rFonts w:eastAsia="Times New Roman" w:cstheme="minorHAnsi"/>
          <w:color w:val="000000"/>
          <w:lang w:val="en-US"/>
        </w:rPr>
        <w:t xml:space="preserve">Melnyk, B.M. &amp; Fineout-Overholt, E. </w:t>
      </w:r>
      <w:r>
        <w:rPr>
          <w:rFonts w:eastAsia="Times New Roman" w:cstheme="minorHAnsi"/>
          <w:color w:val="000000"/>
          <w:lang w:val="en-US"/>
        </w:rPr>
        <w:t>(</w:t>
      </w:r>
      <w:r w:rsidRPr="00C66966">
        <w:rPr>
          <w:rFonts w:eastAsia="Times New Roman" w:cstheme="minorHAnsi"/>
          <w:color w:val="000000"/>
          <w:lang w:val="en-US"/>
        </w:rPr>
        <w:t>2011</w:t>
      </w:r>
      <w:r>
        <w:rPr>
          <w:rFonts w:eastAsia="Times New Roman" w:cstheme="minorHAnsi"/>
          <w:color w:val="000000"/>
          <w:lang w:val="en-US"/>
        </w:rPr>
        <w:t xml:space="preserve">) </w:t>
      </w:r>
      <w:r w:rsidRPr="00C66966">
        <w:rPr>
          <w:rFonts w:eastAsia="Times New Roman" w:cstheme="minorHAnsi"/>
          <w:color w:val="000000"/>
          <w:lang w:val="en-US"/>
        </w:rPr>
        <w:t>Evidence-based practice in nursing &amp; healthcare: a guide to best practice, Philadelphia: Wolters Kluwer/Lippincott Williams &amp; Wilkins Health.</w:t>
      </w:r>
    </w:p>
    <w:p w14:paraId="21F6CE67" w14:textId="77777777" w:rsidR="00A432AF" w:rsidRDefault="00A432AF" w:rsidP="00A432AF">
      <w:pPr>
        <w:spacing w:after="0" w:line="240" w:lineRule="auto"/>
        <w:rPr>
          <w:rFonts w:eastAsia="Times New Roman" w:cstheme="minorHAnsi"/>
          <w:color w:val="000000"/>
          <w:lang w:val="en-US"/>
        </w:rPr>
      </w:pPr>
    </w:p>
    <w:p w14:paraId="1458F839" w14:textId="77777777" w:rsidR="00A432AF" w:rsidRDefault="00A432AF" w:rsidP="00A432AF">
      <w:pPr>
        <w:spacing w:after="0" w:line="240" w:lineRule="auto"/>
        <w:rPr>
          <w:rFonts w:eastAsia="Times New Roman" w:cstheme="minorHAnsi"/>
          <w:color w:val="000000"/>
          <w:lang w:val="en-US"/>
        </w:rPr>
      </w:pPr>
      <w:r w:rsidRPr="000E0814">
        <w:rPr>
          <w:rFonts w:eastAsia="Times New Roman" w:cstheme="minorHAnsi"/>
          <w:color w:val="000000"/>
          <w:lang w:val="en-US"/>
        </w:rPr>
        <w:t>Machi, L.A. &amp; McEvoy, B.T.</w:t>
      </w:r>
      <w:r>
        <w:rPr>
          <w:rFonts w:eastAsia="Times New Roman" w:cstheme="minorHAnsi"/>
          <w:color w:val="000000"/>
          <w:lang w:val="en-US"/>
        </w:rPr>
        <w:t xml:space="preserve"> (</w:t>
      </w:r>
      <w:r w:rsidRPr="000E0814">
        <w:rPr>
          <w:rFonts w:eastAsia="Times New Roman" w:cstheme="minorHAnsi"/>
          <w:color w:val="000000"/>
          <w:lang w:val="en-US"/>
        </w:rPr>
        <w:t>2016</w:t>
      </w:r>
      <w:r>
        <w:rPr>
          <w:rFonts w:eastAsia="Times New Roman" w:cstheme="minorHAnsi"/>
          <w:color w:val="000000"/>
          <w:lang w:val="en-US"/>
        </w:rPr>
        <w:t>)</w:t>
      </w:r>
      <w:r w:rsidRPr="000E0814">
        <w:rPr>
          <w:rFonts w:eastAsia="Times New Roman" w:cstheme="minorHAnsi"/>
          <w:color w:val="000000"/>
          <w:lang w:val="en-US"/>
        </w:rPr>
        <w:t xml:space="preserve"> The literature review: six steps to success, Thousand Oaks, CA: Corwin.</w:t>
      </w:r>
    </w:p>
    <w:p w14:paraId="34375C07" w14:textId="77777777" w:rsidR="00A432AF" w:rsidRDefault="00A432AF" w:rsidP="00A432AF">
      <w:pPr>
        <w:spacing w:after="0" w:line="240" w:lineRule="auto"/>
        <w:rPr>
          <w:rFonts w:eastAsia="Times New Roman" w:cstheme="minorHAnsi"/>
          <w:color w:val="000000"/>
          <w:lang w:val="en-US"/>
        </w:rPr>
      </w:pPr>
    </w:p>
    <w:p w14:paraId="4AD250A9" w14:textId="77777777" w:rsidR="00A432AF" w:rsidRDefault="00A432AF" w:rsidP="00A432AF">
      <w:pPr>
        <w:spacing w:after="0" w:line="240" w:lineRule="auto"/>
        <w:rPr>
          <w:rFonts w:eastAsia="Times New Roman" w:cstheme="minorHAnsi"/>
          <w:color w:val="000000"/>
          <w:lang w:val="en-US"/>
        </w:rPr>
      </w:pPr>
      <w:r w:rsidRPr="000E0814">
        <w:rPr>
          <w:rFonts w:eastAsia="Times New Roman" w:cstheme="minorHAnsi"/>
          <w:color w:val="000000"/>
          <w:lang w:val="en-US"/>
        </w:rPr>
        <w:t xml:space="preserve">Smith, T. </w:t>
      </w:r>
      <w:r>
        <w:rPr>
          <w:rFonts w:eastAsia="Times New Roman" w:cstheme="minorHAnsi"/>
          <w:color w:val="000000"/>
          <w:lang w:val="en-US"/>
        </w:rPr>
        <w:t>(</w:t>
      </w:r>
      <w:r w:rsidRPr="000E0814">
        <w:rPr>
          <w:rFonts w:eastAsia="Times New Roman" w:cstheme="minorHAnsi"/>
          <w:color w:val="000000"/>
          <w:lang w:val="en-US"/>
        </w:rPr>
        <w:t>2013</w:t>
      </w:r>
      <w:r>
        <w:rPr>
          <w:rFonts w:eastAsia="Times New Roman" w:cstheme="minorHAnsi"/>
          <w:color w:val="000000"/>
          <w:lang w:val="en-US"/>
        </w:rPr>
        <w:t>)</w:t>
      </w:r>
      <w:r w:rsidRPr="000E0814">
        <w:rPr>
          <w:rFonts w:eastAsia="Times New Roman" w:cstheme="minorHAnsi"/>
          <w:color w:val="000000"/>
          <w:lang w:val="en-US"/>
        </w:rPr>
        <w:t xml:space="preserve"> Undergraduate curricular peer mentoring programs: perspectives on innovation by faculty, staff, and students, Lanham: Lexington Books.</w:t>
      </w:r>
    </w:p>
    <w:p w14:paraId="016D2E41" w14:textId="77777777" w:rsidR="00A432AF" w:rsidRDefault="00A432AF" w:rsidP="00A432AF">
      <w:pPr>
        <w:spacing w:after="0" w:line="240" w:lineRule="auto"/>
        <w:rPr>
          <w:rFonts w:eastAsia="Times New Roman" w:cstheme="minorHAnsi"/>
          <w:color w:val="000000"/>
          <w:lang w:val="en-US"/>
        </w:rPr>
      </w:pPr>
    </w:p>
    <w:p w14:paraId="54941255" w14:textId="77777777" w:rsidR="00A432AF" w:rsidRPr="000E0814" w:rsidRDefault="00A432AF" w:rsidP="00A432AF">
      <w:pPr>
        <w:rPr>
          <w:rFonts w:eastAsia="Times New Roman" w:cstheme="minorHAnsi"/>
          <w:color w:val="000000"/>
          <w:lang w:val="en-US"/>
        </w:rPr>
      </w:pPr>
      <w:r w:rsidRPr="000E0814">
        <w:t>Gomez, R.</w:t>
      </w:r>
      <w:r>
        <w:t xml:space="preserve"> (</w:t>
      </w:r>
      <w:r w:rsidRPr="000E0814">
        <w:t>2012</w:t>
      </w:r>
      <w:r>
        <w:t>)</w:t>
      </w:r>
      <w:r w:rsidRPr="000E0814">
        <w:t xml:space="preserve"> Looking forward to Monday: how you can rise above bad bosses and toxic companies and love your job: a guide to success, Morrisville, NC: Lulu Press, Inc.</w:t>
      </w:r>
    </w:p>
    <w:p w14:paraId="4F9032DA" w14:textId="77777777" w:rsidR="00A432AF" w:rsidRDefault="00A432AF" w:rsidP="00A432AF">
      <w:r>
        <w:t>Griffith, K. (2011) Writing essays about literature: a guide and style sheet, Boston, MA: Wadsworth, Cengage Learning.</w:t>
      </w:r>
    </w:p>
    <w:p w14:paraId="69FBB0AE" w14:textId="77777777" w:rsidR="00A432AF" w:rsidRDefault="00A432AF" w:rsidP="00A432AF">
      <w:r w:rsidRPr="000E0814">
        <w:t>Coyne, B., Coyne, E.J. &amp; Lee, M.</w:t>
      </w:r>
      <w:r>
        <w:t xml:space="preserve"> (</w:t>
      </w:r>
      <w:r w:rsidRPr="000E0814">
        <w:t>2004</w:t>
      </w:r>
      <w:r>
        <w:t>)</w:t>
      </w:r>
      <w:r w:rsidRPr="000E0814">
        <w:t xml:space="preserve"> Human resources, care giving, career progression, and gender: a gender-neutral glass ceiling, London: Routledge.</w:t>
      </w:r>
    </w:p>
    <w:p w14:paraId="77B5FB18" w14:textId="77777777" w:rsidR="00A432AF" w:rsidRDefault="00A432AF" w:rsidP="00A432AF">
      <w:r w:rsidRPr="005B7CED">
        <w:t xml:space="preserve">Ragins, B.R. &amp; Kram, K.E. </w:t>
      </w:r>
      <w:r>
        <w:t>(</w:t>
      </w:r>
      <w:r w:rsidRPr="005B7CED">
        <w:t>2008</w:t>
      </w:r>
      <w:r>
        <w:t>)</w:t>
      </w:r>
      <w:r w:rsidRPr="005B7CED">
        <w:t xml:space="preserve"> The handbook of mentoring at work: theory, research, and practice, Thousand Oaks: SAGE Publications.</w:t>
      </w:r>
    </w:p>
    <w:p w14:paraId="1B6EB98A" w14:textId="77777777" w:rsidR="00A432AF" w:rsidRDefault="00A432AF" w:rsidP="00A432AF">
      <w:r w:rsidRPr="005B7CED">
        <w:t>Clutterbuck, D., Poulsen, K.A. &amp; Kochan, F.K.</w:t>
      </w:r>
      <w:r>
        <w:t xml:space="preserve"> (</w:t>
      </w:r>
      <w:r w:rsidRPr="005B7CED">
        <w:t>2012</w:t>
      </w:r>
      <w:r>
        <w:t>)</w:t>
      </w:r>
      <w:r w:rsidRPr="005B7CED">
        <w:t xml:space="preserve"> Developing successful diversity mentoring programmes: an international casebook, Maidenhead: Open University Press.</w:t>
      </w:r>
    </w:p>
    <w:p w14:paraId="01D09351" w14:textId="77777777" w:rsidR="00A432AF" w:rsidRDefault="00A432AF" w:rsidP="00A432AF">
      <w:r w:rsidRPr="00552FAB">
        <w:t>Valcik, N.A. &amp; Benavides, T.J.</w:t>
      </w:r>
      <w:r>
        <w:t xml:space="preserve"> (</w:t>
      </w:r>
      <w:r w:rsidRPr="00552FAB">
        <w:t>2012</w:t>
      </w:r>
      <w:r>
        <w:t>)</w:t>
      </w:r>
      <w:r w:rsidRPr="00552FAB">
        <w:t xml:space="preserve"> Practical human resources for public managers: a case study approach, Boca Raton, FL: CRC Press.</w:t>
      </w:r>
    </w:p>
    <w:p w14:paraId="39B03609" w14:textId="77777777" w:rsidR="00A432AF" w:rsidRDefault="00A432AF" w:rsidP="00A432AF">
      <w:r w:rsidRPr="00552FAB">
        <w:t>Clutterbuck, D.</w:t>
      </w:r>
      <w:r>
        <w:t xml:space="preserve"> (</w:t>
      </w:r>
      <w:r w:rsidRPr="00552FAB">
        <w:t>2014</w:t>
      </w:r>
      <w:r>
        <w:t>)</w:t>
      </w:r>
      <w:r w:rsidRPr="00552FAB">
        <w:t xml:space="preserve"> Everyone needs a mentor: f</w:t>
      </w:r>
      <w:r>
        <w:t>ifth edition</w:t>
      </w:r>
      <w:r w:rsidRPr="00552FAB">
        <w:t>, London: Chartered Institute of Personnel and Development (CIPD).</w:t>
      </w:r>
    </w:p>
    <w:p w14:paraId="3815C62C" w14:textId="77777777" w:rsidR="00A432AF" w:rsidRDefault="00A432AF" w:rsidP="00A432AF">
      <w:r w:rsidRPr="00552FAB">
        <w:t xml:space="preserve">Starr, J. </w:t>
      </w:r>
      <w:r>
        <w:t>(</w:t>
      </w:r>
      <w:r w:rsidRPr="00552FAB">
        <w:t>2014</w:t>
      </w:r>
      <w:r>
        <w:t>)</w:t>
      </w:r>
      <w:r w:rsidRPr="00552FAB">
        <w:t xml:space="preserve"> The mentoring manual: your step by step guide to </w:t>
      </w:r>
      <w:proofErr w:type="gramStart"/>
      <w:r w:rsidRPr="00552FAB">
        <w:t>being</w:t>
      </w:r>
      <w:proofErr w:type="gramEnd"/>
      <w:r w:rsidRPr="00552FAB">
        <w:t xml:space="preserve"> a better mentor, Harlow, England: Pearson.</w:t>
      </w:r>
    </w:p>
    <w:p w14:paraId="36605ABB" w14:textId="77777777" w:rsidR="00A432AF" w:rsidRDefault="00A432AF" w:rsidP="00A432AF">
      <w:r w:rsidRPr="00552FAB">
        <w:t xml:space="preserve">Wroe, N. &amp; McFarlane, P. </w:t>
      </w:r>
      <w:r>
        <w:t>(</w:t>
      </w:r>
      <w:r w:rsidRPr="00552FAB">
        <w:t>2015</w:t>
      </w:r>
      <w:r>
        <w:t>)</w:t>
      </w:r>
      <w:r w:rsidRPr="00552FAB">
        <w:t xml:space="preserve"> The KidsKope peer mentoring programme: a therapeutic approach to help children and young people build resilience and deal with conflict, London: Jessica Kingsley Publishers.</w:t>
      </w:r>
    </w:p>
    <w:p w14:paraId="29857C1F" w14:textId="77777777" w:rsidR="00A432AF" w:rsidRDefault="00A432AF" w:rsidP="00A432AF">
      <w:r w:rsidRPr="00C805A2">
        <w:t>Leatherman, D.</w:t>
      </w:r>
      <w:r>
        <w:t xml:space="preserve"> (</w:t>
      </w:r>
      <w:r w:rsidRPr="00C805A2">
        <w:t>200</w:t>
      </w:r>
      <w:r>
        <w:t>8)</w:t>
      </w:r>
      <w:r w:rsidRPr="00C805A2">
        <w:t xml:space="preserve"> Quality leadership skills: standards of leadership behavior, Amherst, MA: HRD Press.</w:t>
      </w:r>
    </w:p>
    <w:p w14:paraId="00F76FFB" w14:textId="77777777" w:rsidR="00A432AF" w:rsidRDefault="00A432AF" w:rsidP="00A432AF">
      <w:r w:rsidRPr="00C805A2">
        <w:t>Wang, X. &amp; Hofe, R.</w:t>
      </w:r>
      <w:r>
        <w:t xml:space="preserve"> (</w:t>
      </w:r>
      <w:r w:rsidRPr="00C805A2">
        <w:t>2007</w:t>
      </w:r>
      <w:r>
        <w:t>)</w:t>
      </w:r>
      <w:r w:rsidRPr="00C805A2">
        <w:t xml:space="preserve"> Research Methods in Urban and Regional Planning, Berlin: Tsinghua University Press.</w:t>
      </w:r>
    </w:p>
    <w:p w14:paraId="2F8FA4EF" w14:textId="77777777" w:rsidR="00A432AF" w:rsidRDefault="00A432AF" w:rsidP="00A432AF">
      <w:r w:rsidRPr="00C805A2">
        <w:t>Alexander, D., Britton, A. &amp; Jorissen, A.</w:t>
      </w:r>
      <w:r>
        <w:t xml:space="preserve"> (</w:t>
      </w:r>
      <w:r w:rsidRPr="00C805A2">
        <w:t>2007</w:t>
      </w:r>
      <w:r>
        <w:t>)</w:t>
      </w:r>
      <w:r w:rsidRPr="00C805A2">
        <w:t xml:space="preserve"> International financial reporting and analysis, London: Thomson Learning.</w:t>
      </w:r>
    </w:p>
    <w:p w14:paraId="34B739DF" w14:textId="77777777" w:rsidR="00A432AF" w:rsidRDefault="00A432AF" w:rsidP="00A432AF">
      <w:r w:rsidRPr="00C805A2">
        <w:t>Clarke, M.</w:t>
      </w:r>
      <w:r>
        <w:t xml:space="preserve"> (2008)</w:t>
      </w:r>
      <w:r w:rsidRPr="00C805A2">
        <w:t xml:space="preserve"> Language Teacher Identities: Co-constructing Discourse and Community (New Perspectives on Language and Education), Multilingual Matters.</w:t>
      </w:r>
    </w:p>
    <w:p w14:paraId="7433E535" w14:textId="77777777" w:rsidR="00A432AF" w:rsidRDefault="00A432AF" w:rsidP="00A432AF">
      <w:r w:rsidRPr="00C805A2">
        <w:t>Oliver, P.</w:t>
      </w:r>
      <w:r>
        <w:t xml:space="preserve"> (</w:t>
      </w:r>
      <w:r w:rsidRPr="00C805A2">
        <w:t>2010</w:t>
      </w:r>
      <w:r>
        <w:t>)</w:t>
      </w:r>
      <w:r w:rsidRPr="00C805A2">
        <w:t xml:space="preserve"> Students Guide to Research Ethics (2nd Edition), Open University.</w:t>
      </w:r>
    </w:p>
    <w:p w14:paraId="5A1013B5" w14:textId="37D2DAD1" w:rsidR="00680965" w:rsidRDefault="00680965"/>
    <w:p w14:paraId="0F3CAB12"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r w:rsidRPr="00A432AF">
        <w:rPr>
          <w:rFonts w:cstheme="minorHAnsi"/>
          <w:b/>
          <w:bCs/>
          <w:noProof/>
          <w:lang w:eastAsia="en-GB"/>
        </w:rPr>
        <w:lastRenderedPageBreak/>
        <w:drawing>
          <wp:anchor distT="0" distB="0" distL="114300" distR="114300" simplePos="0" relativeHeight="251661312" behindDoc="0" locked="0" layoutInCell="1" allowOverlap="1" wp14:anchorId="7B08CB72" wp14:editId="1B71D96A">
            <wp:simplePos x="0" y="0"/>
            <wp:positionH relativeFrom="column">
              <wp:posOffset>1013460</wp:posOffset>
            </wp:positionH>
            <wp:positionV relativeFrom="paragraph">
              <wp:posOffset>-319405</wp:posOffset>
            </wp:positionV>
            <wp:extent cx="3474720" cy="1150620"/>
            <wp:effectExtent l="0" t="0" r="0" b="0"/>
            <wp:wrapNone/>
            <wp:docPr id="1" name="Picture 1" descr="C:\Users\evans\AppData\Local\Microsoft\Windows\INetCache\Content.MSO\CFAEBF35.tmp">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vans\AppData\Local\Microsoft\Windows\INetCache\Content.MSO\CFAEBF35.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4720" cy="1150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7B902E"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p>
    <w:p w14:paraId="105708DC"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p>
    <w:p w14:paraId="75FB92B8"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p>
    <w:p w14:paraId="4F38A2E4"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p>
    <w:p w14:paraId="4ACDDD05"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p>
    <w:p w14:paraId="56A4DAA3"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r w:rsidRPr="00A432AF">
        <w:rPr>
          <w:rFonts w:eastAsia="Times New Roman" w:cstheme="minorHAnsi"/>
          <w:b/>
          <w:bCs/>
          <w:lang w:val="en-US" w:eastAsia="x-none"/>
        </w:rPr>
        <w:t>Student Name:</w:t>
      </w:r>
      <w:r w:rsidRPr="00A432AF">
        <w:rPr>
          <w:rFonts w:eastAsia="Times New Roman" w:cstheme="minorHAnsi"/>
          <w:b/>
          <w:bCs/>
          <w:lang w:val="en-US" w:eastAsia="x-none"/>
        </w:rPr>
        <w:tab/>
      </w:r>
      <w:r w:rsidRPr="00A432AF">
        <w:rPr>
          <w:rFonts w:eastAsia="Times New Roman" w:cstheme="minorHAnsi"/>
          <w:b/>
          <w:bCs/>
          <w:lang w:val="en-US" w:eastAsia="x-none"/>
        </w:rPr>
        <w:tab/>
      </w:r>
      <w:r w:rsidRPr="00A432AF">
        <w:rPr>
          <w:rFonts w:eastAsia="Times New Roman" w:cstheme="minorHAnsi"/>
          <w:bCs/>
          <w:lang w:val="en-US" w:eastAsia="x-none"/>
        </w:rPr>
        <w:t>James Evans</w:t>
      </w:r>
    </w:p>
    <w:p w14:paraId="0D64868B"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p>
    <w:p w14:paraId="648A487A"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r w:rsidRPr="00A432AF">
        <w:rPr>
          <w:rFonts w:eastAsia="Times New Roman" w:cstheme="minorHAnsi"/>
          <w:b/>
          <w:bCs/>
          <w:lang w:val="en-US" w:eastAsia="x-none"/>
        </w:rPr>
        <w:t>Student Number:</w:t>
      </w:r>
      <w:r w:rsidRPr="00A432AF">
        <w:rPr>
          <w:rFonts w:eastAsia="Times New Roman" w:cstheme="minorHAnsi"/>
          <w:b/>
          <w:bCs/>
          <w:lang w:val="en-US" w:eastAsia="x-none"/>
        </w:rPr>
        <w:tab/>
      </w:r>
      <w:r w:rsidRPr="00A432AF">
        <w:rPr>
          <w:rFonts w:eastAsia="Times New Roman" w:cstheme="minorHAnsi"/>
          <w:bCs/>
          <w:lang w:val="en-US" w:eastAsia="x-none"/>
        </w:rPr>
        <w:t>P115716</w:t>
      </w:r>
    </w:p>
    <w:p w14:paraId="280B6330"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p>
    <w:p w14:paraId="57E8ED5F" w14:textId="77777777" w:rsidR="00A432AF" w:rsidRPr="00A432AF" w:rsidRDefault="00A432AF" w:rsidP="00A432AF">
      <w:pPr>
        <w:keepNext/>
        <w:keepLines/>
        <w:spacing w:before="200" w:after="0" w:line="240" w:lineRule="auto"/>
        <w:outlineLvl w:val="2"/>
        <w:rPr>
          <w:rFonts w:eastAsia="Times New Roman" w:cstheme="minorHAnsi"/>
          <w:bCs/>
          <w:lang w:val="en-US" w:eastAsia="x-none"/>
        </w:rPr>
      </w:pPr>
      <w:r w:rsidRPr="00A432AF">
        <w:rPr>
          <w:rFonts w:eastAsia="Times New Roman" w:cstheme="minorHAnsi"/>
          <w:b/>
          <w:bCs/>
          <w:lang w:val="en-US" w:eastAsia="x-none"/>
        </w:rPr>
        <w:t>Course:</w:t>
      </w:r>
      <w:r w:rsidRPr="00A432AF">
        <w:rPr>
          <w:rFonts w:eastAsia="Times New Roman" w:cstheme="minorHAnsi"/>
          <w:b/>
          <w:bCs/>
          <w:lang w:val="en-US" w:eastAsia="x-none"/>
        </w:rPr>
        <w:tab/>
      </w:r>
      <w:r w:rsidRPr="00A432AF">
        <w:rPr>
          <w:rFonts w:eastAsia="Times New Roman" w:cstheme="minorHAnsi"/>
          <w:b/>
          <w:bCs/>
          <w:lang w:val="en-US" w:eastAsia="x-none"/>
        </w:rPr>
        <w:tab/>
      </w:r>
      <w:r w:rsidRPr="00A432AF">
        <w:rPr>
          <w:rFonts w:eastAsia="Times New Roman" w:cstheme="minorHAnsi"/>
          <w:b/>
          <w:bCs/>
          <w:lang w:val="en-US" w:eastAsia="x-none"/>
        </w:rPr>
        <w:tab/>
      </w:r>
      <w:r w:rsidRPr="00A432AF">
        <w:rPr>
          <w:rFonts w:eastAsia="Times New Roman" w:cstheme="minorHAnsi"/>
          <w:bCs/>
          <w:lang w:val="en-US" w:eastAsia="x-none"/>
        </w:rPr>
        <w:t>MA Education</w:t>
      </w:r>
    </w:p>
    <w:p w14:paraId="1DE7338D"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p>
    <w:p w14:paraId="49B15A20"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r w:rsidRPr="00A432AF">
        <w:rPr>
          <w:rFonts w:eastAsia="Times New Roman" w:cstheme="minorHAnsi"/>
          <w:b/>
          <w:bCs/>
          <w:lang w:val="en-US" w:eastAsia="x-none"/>
        </w:rPr>
        <w:t>Module:</w:t>
      </w:r>
      <w:r w:rsidRPr="00A432AF">
        <w:rPr>
          <w:rFonts w:eastAsia="Times New Roman" w:cstheme="minorHAnsi"/>
          <w:b/>
          <w:bCs/>
          <w:lang w:val="en-US" w:eastAsia="x-none"/>
        </w:rPr>
        <w:tab/>
      </w:r>
      <w:r w:rsidRPr="00A432AF">
        <w:rPr>
          <w:rFonts w:eastAsia="Times New Roman" w:cstheme="minorHAnsi"/>
          <w:b/>
          <w:bCs/>
          <w:lang w:val="en-US" w:eastAsia="x-none"/>
        </w:rPr>
        <w:tab/>
      </w:r>
      <w:r w:rsidRPr="00A432AF">
        <w:rPr>
          <w:rFonts w:eastAsia="Times New Roman" w:cstheme="minorHAnsi"/>
          <w:bCs/>
          <w:lang w:val="en-US" w:eastAsia="x-none"/>
        </w:rPr>
        <w:t>Mentoring and Coaching (M7X01470)</w:t>
      </w:r>
    </w:p>
    <w:p w14:paraId="33DB566B" w14:textId="77777777" w:rsidR="00A432AF" w:rsidRPr="00A432AF" w:rsidRDefault="00A432AF" w:rsidP="00A432AF">
      <w:pPr>
        <w:keepNext/>
        <w:keepLines/>
        <w:spacing w:before="200" w:after="0" w:line="240" w:lineRule="auto"/>
        <w:outlineLvl w:val="2"/>
        <w:rPr>
          <w:rFonts w:eastAsia="Times New Roman" w:cstheme="minorHAnsi"/>
          <w:b/>
          <w:bCs/>
          <w:lang w:val="en-US" w:eastAsia="x-none"/>
        </w:rPr>
      </w:pPr>
    </w:p>
    <w:p w14:paraId="008F03B8" w14:textId="77777777" w:rsidR="00A432AF" w:rsidRPr="00A432AF" w:rsidRDefault="00A432AF" w:rsidP="00A432AF">
      <w:pPr>
        <w:keepNext/>
        <w:keepLines/>
        <w:spacing w:before="200" w:after="0" w:line="240" w:lineRule="auto"/>
        <w:ind w:left="2160" w:hanging="2160"/>
        <w:outlineLvl w:val="2"/>
        <w:rPr>
          <w:rFonts w:eastAsia="Times New Roman" w:cstheme="minorHAnsi"/>
          <w:bCs/>
          <w:lang w:val="en-US" w:eastAsia="x-none"/>
        </w:rPr>
      </w:pPr>
      <w:r w:rsidRPr="00A432AF">
        <w:rPr>
          <w:rFonts w:eastAsia="Times New Roman" w:cstheme="minorHAnsi"/>
          <w:b/>
          <w:bCs/>
          <w:lang w:val="en-US" w:eastAsia="x-none"/>
        </w:rPr>
        <w:t>Assignment Title:</w:t>
      </w:r>
      <w:r w:rsidRPr="00A432AF">
        <w:rPr>
          <w:rFonts w:eastAsia="Times New Roman" w:cstheme="minorHAnsi"/>
          <w:b/>
          <w:bCs/>
          <w:lang w:val="en-US" w:eastAsia="x-none"/>
        </w:rPr>
        <w:tab/>
      </w:r>
      <w:r w:rsidRPr="00A432AF">
        <w:rPr>
          <w:rFonts w:eastAsia="Times New Roman" w:cstheme="minorHAnsi"/>
          <w:bCs/>
          <w:lang w:val="en-US" w:eastAsia="x-none"/>
        </w:rPr>
        <w:t>Critically review the policy and practice of mentoring and or coaching in your own setting to demonstrate understanding of the qualities the effective mentor and or coach is expected to demonstrate. Reflect on your experience of mentoring and or coaching systems in professional contexts.</w:t>
      </w:r>
    </w:p>
    <w:p w14:paraId="098E49D7" w14:textId="77777777" w:rsidR="00A432AF" w:rsidRPr="00A432AF" w:rsidRDefault="00A432AF" w:rsidP="00A432AF">
      <w:pPr>
        <w:keepNext/>
        <w:keepLines/>
        <w:spacing w:before="200" w:after="0" w:line="240" w:lineRule="auto"/>
        <w:ind w:left="2160" w:hanging="2160"/>
        <w:outlineLvl w:val="2"/>
        <w:rPr>
          <w:rFonts w:eastAsia="Times New Roman" w:cstheme="minorHAnsi"/>
          <w:b/>
          <w:bCs/>
          <w:lang w:val="en-US" w:eastAsia="x-none"/>
        </w:rPr>
      </w:pPr>
    </w:p>
    <w:p w14:paraId="32B38617" w14:textId="77777777" w:rsidR="00A432AF" w:rsidRPr="00A432AF" w:rsidRDefault="00A432AF" w:rsidP="00A432AF">
      <w:pPr>
        <w:keepNext/>
        <w:keepLines/>
        <w:spacing w:before="200" w:after="0" w:line="240" w:lineRule="auto"/>
        <w:ind w:left="2160" w:hanging="2160"/>
        <w:outlineLvl w:val="2"/>
        <w:rPr>
          <w:rFonts w:eastAsia="Times New Roman" w:cstheme="minorHAnsi"/>
          <w:bCs/>
          <w:lang w:val="en-US" w:eastAsia="x-none"/>
        </w:rPr>
      </w:pPr>
      <w:r w:rsidRPr="00A432AF">
        <w:rPr>
          <w:rFonts w:eastAsia="Times New Roman" w:cstheme="minorHAnsi"/>
          <w:b/>
          <w:bCs/>
          <w:lang w:val="en-US" w:eastAsia="x-none"/>
        </w:rPr>
        <w:t>Module Lead:</w:t>
      </w:r>
      <w:r w:rsidRPr="00A432AF">
        <w:rPr>
          <w:rFonts w:eastAsia="Times New Roman" w:cstheme="minorHAnsi"/>
          <w:b/>
          <w:bCs/>
          <w:lang w:val="en-US" w:eastAsia="x-none"/>
        </w:rPr>
        <w:tab/>
      </w:r>
      <w:r w:rsidRPr="00A432AF">
        <w:rPr>
          <w:rFonts w:eastAsia="Times New Roman" w:cstheme="minorHAnsi"/>
          <w:bCs/>
          <w:lang w:val="en-US" w:eastAsia="x-none"/>
        </w:rPr>
        <w:t>Dr Jill Morgan</w:t>
      </w:r>
    </w:p>
    <w:p w14:paraId="2C2BDC30" w14:textId="77777777" w:rsidR="00A432AF" w:rsidRPr="00A432AF" w:rsidRDefault="00A432AF" w:rsidP="00A432AF">
      <w:pPr>
        <w:keepNext/>
        <w:keepLines/>
        <w:spacing w:before="200" w:after="0" w:line="240" w:lineRule="auto"/>
        <w:ind w:left="2160" w:hanging="2160"/>
        <w:outlineLvl w:val="2"/>
        <w:rPr>
          <w:rFonts w:eastAsia="Times New Roman" w:cstheme="minorHAnsi"/>
          <w:bCs/>
          <w:lang w:val="en-US" w:eastAsia="x-none"/>
        </w:rPr>
      </w:pPr>
    </w:p>
    <w:p w14:paraId="29AAE5A2" w14:textId="77777777" w:rsidR="00A432AF" w:rsidRPr="00A432AF" w:rsidRDefault="00A432AF" w:rsidP="00A432AF">
      <w:pPr>
        <w:keepNext/>
        <w:keepLines/>
        <w:spacing w:before="200" w:after="0" w:line="240" w:lineRule="auto"/>
        <w:ind w:left="2160" w:hanging="2160"/>
        <w:outlineLvl w:val="2"/>
        <w:rPr>
          <w:rFonts w:eastAsia="Times New Roman" w:cstheme="minorHAnsi"/>
          <w:bCs/>
          <w:lang w:val="en-US" w:eastAsia="x-none"/>
        </w:rPr>
      </w:pPr>
      <w:r w:rsidRPr="00A432AF">
        <w:rPr>
          <w:rFonts w:eastAsia="Times New Roman" w:cstheme="minorHAnsi"/>
          <w:b/>
          <w:bCs/>
          <w:lang w:val="en-US" w:eastAsia="x-none"/>
        </w:rPr>
        <w:t>Deadline:</w:t>
      </w:r>
      <w:r w:rsidRPr="00A432AF">
        <w:rPr>
          <w:rFonts w:eastAsia="Times New Roman" w:cstheme="minorHAnsi"/>
          <w:b/>
          <w:bCs/>
          <w:lang w:val="en-US" w:eastAsia="x-none"/>
        </w:rPr>
        <w:tab/>
      </w:r>
      <w:r w:rsidRPr="00A432AF">
        <w:rPr>
          <w:rFonts w:eastAsia="Times New Roman" w:cstheme="minorHAnsi"/>
          <w:bCs/>
          <w:lang w:val="en-US" w:eastAsia="x-none"/>
        </w:rPr>
        <w:t>Friday 7</w:t>
      </w:r>
      <w:r w:rsidRPr="00A432AF">
        <w:rPr>
          <w:rFonts w:eastAsia="Times New Roman" w:cstheme="minorHAnsi"/>
          <w:bCs/>
          <w:vertAlign w:val="superscript"/>
          <w:lang w:val="en-US" w:eastAsia="x-none"/>
        </w:rPr>
        <w:t>th</w:t>
      </w:r>
      <w:r w:rsidRPr="00A432AF">
        <w:rPr>
          <w:rFonts w:eastAsia="Times New Roman" w:cstheme="minorHAnsi"/>
          <w:bCs/>
          <w:lang w:val="en-US" w:eastAsia="x-none"/>
        </w:rPr>
        <w:t xml:space="preserve"> September 2018</w:t>
      </w:r>
    </w:p>
    <w:p w14:paraId="1C383EEC" w14:textId="77777777" w:rsidR="00A432AF" w:rsidRPr="00A432AF" w:rsidRDefault="00A432AF" w:rsidP="00A432AF">
      <w:pPr>
        <w:spacing w:after="0" w:line="240" w:lineRule="auto"/>
        <w:ind w:left="2160" w:hanging="2160"/>
        <w:jc w:val="right"/>
        <w:rPr>
          <w:rFonts w:eastAsia="Times New Roman" w:cstheme="minorHAnsi"/>
          <w:color w:val="000000"/>
          <w:lang w:val="en-US"/>
        </w:rPr>
      </w:pPr>
    </w:p>
    <w:p w14:paraId="34D2B55F" w14:textId="77777777" w:rsidR="00A432AF" w:rsidRPr="00A432AF" w:rsidRDefault="00A432AF" w:rsidP="00A432AF">
      <w:pPr>
        <w:spacing w:after="0" w:line="240" w:lineRule="auto"/>
        <w:rPr>
          <w:rFonts w:eastAsia="Times New Roman" w:cstheme="minorHAnsi"/>
          <w:b/>
          <w:bCs/>
          <w:color w:val="000000"/>
          <w:lang w:val="en-US"/>
        </w:rPr>
      </w:pPr>
    </w:p>
    <w:p w14:paraId="1284C03D" w14:textId="77777777" w:rsidR="00A432AF" w:rsidRPr="00A432AF" w:rsidRDefault="00A432AF" w:rsidP="00A432AF">
      <w:pPr>
        <w:spacing w:after="0" w:line="240" w:lineRule="auto"/>
        <w:rPr>
          <w:rFonts w:eastAsia="Times New Roman" w:cstheme="minorHAnsi"/>
          <w:b/>
          <w:bCs/>
          <w:color w:val="000000"/>
          <w:lang w:val="en-US"/>
        </w:rPr>
      </w:pPr>
    </w:p>
    <w:p w14:paraId="09CFA145" w14:textId="77777777" w:rsidR="00A432AF" w:rsidRPr="00A432AF" w:rsidRDefault="00A432AF" w:rsidP="00A432AF">
      <w:pPr>
        <w:spacing w:after="0" w:line="240" w:lineRule="auto"/>
        <w:rPr>
          <w:rFonts w:eastAsia="Times New Roman" w:cstheme="minorHAnsi"/>
          <w:b/>
          <w:bCs/>
          <w:color w:val="000000"/>
          <w:lang w:val="en-US"/>
        </w:rPr>
      </w:pPr>
    </w:p>
    <w:p w14:paraId="7D6A7944" w14:textId="77777777" w:rsidR="00A432AF" w:rsidRPr="00A432AF" w:rsidRDefault="00A432AF" w:rsidP="00A432AF">
      <w:pPr>
        <w:spacing w:after="0" w:line="240" w:lineRule="auto"/>
        <w:rPr>
          <w:rFonts w:eastAsia="Times New Roman" w:cstheme="minorHAnsi"/>
          <w:b/>
          <w:bCs/>
          <w:color w:val="000000"/>
          <w:lang w:val="en-US"/>
        </w:rPr>
      </w:pPr>
    </w:p>
    <w:p w14:paraId="78BB19CD" w14:textId="77777777" w:rsidR="00A432AF" w:rsidRPr="00A432AF" w:rsidRDefault="00A432AF" w:rsidP="00A432AF">
      <w:pPr>
        <w:spacing w:after="0" w:line="240" w:lineRule="auto"/>
        <w:rPr>
          <w:rFonts w:eastAsia="Times New Roman" w:cstheme="minorHAnsi"/>
          <w:b/>
          <w:bCs/>
          <w:color w:val="000000"/>
          <w:lang w:val="en-US"/>
        </w:rPr>
      </w:pPr>
    </w:p>
    <w:p w14:paraId="3CD9CBE1" w14:textId="77777777" w:rsidR="00A432AF" w:rsidRPr="00A432AF" w:rsidRDefault="00A432AF" w:rsidP="00A432AF">
      <w:pPr>
        <w:spacing w:after="0" w:line="240" w:lineRule="auto"/>
        <w:rPr>
          <w:rFonts w:eastAsia="Times New Roman" w:cstheme="minorHAnsi"/>
          <w:b/>
          <w:bCs/>
          <w:color w:val="000000"/>
          <w:lang w:val="en-US"/>
        </w:rPr>
      </w:pPr>
    </w:p>
    <w:p w14:paraId="0A6F3AB4" w14:textId="77777777" w:rsidR="00A432AF" w:rsidRPr="00A432AF" w:rsidRDefault="00A432AF" w:rsidP="00A432AF">
      <w:pPr>
        <w:spacing w:after="0" w:line="240" w:lineRule="auto"/>
        <w:rPr>
          <w:rFonts w:eastAsia="Times New Roman" w:cstheme="minorHAnsi"/>
          <w:b/>
          <w:bCs/>
          <w:color w:val="000000"/>
          <w:lang w:val="en-US"/>
        </w:rPr>
      </w:pPr>
    </w:p>
    <w:p w14:paraId="682BB533" w14:textId="77777777" w:rsidR="00A432AF" w:rsidRPr="00A432AF" w:rsidRDefault="00A432AF" w:rsidP="00A432AF">
      <w:pPr>
        <w:spacing w:after="0" w:line="240" w:lineRule="auto"/>
        <w:rPr>
          <w:rFonts w:eastAsia="Times New Roman" w:cstheme="minorHAnsi"/>
          <w:b/>
          <w:bCs/>
          <w:color w:val="000000"/>
          <w:lang w:val="en-US"/>
        </w:rPr>
      </w:pPr>
    </w:p>
    <w:p w14:paraId="6FD34D00" w14:textId="77777777" w:rsidR="00A432AF" w:rsidRPr="00A432AF" w:rsidRDefault="00A432AF" w:rsidP="00A432AF">
      <w:pPr>
        <w:spacing w:after="0" w:line="240" w:lineRule="auto"/>
        <w:rPr>
          <w:rFonts w:eastAsia="Times New Roman" w:cstheme="minorHAnsi"/>
          <w:b/>
          <w:bCs/>
          <w:color w:val="000000"/>
          <w:lang w:val="en-US"/>
        </w:rPr>
      </w:pPr>
    </w:p>
    <w:p w14:paraId="183DF349" w14:textId="77777777" w:rsidR="00A432AF" w:rsidRPr="00A432AF" w:rsidRDefault="00A432AF" w:rsidP="00A432AF">
      <w:pPr>
        <w:spacing w:after="0" w:line="240" w:lineRule="auto"/>
        <w:rPr>
          <w:rFonts w:eastAsia="Times New Roman" w:cstheme="minorHAnsi"/>
          <w:b/>
          <w:bCs/>
          <w:color w:val="000000"/>
          <w:lang w:val="en-US"/>
        </w:rPr>
      </w:pPr>
    </w:p>
    <w:p w14:paraId="1BAAFBC8" w14:textId="77777777" w:rsidR="00A432AF" w:rsidRPr="00A432AF" w:rsidRDefault="00A432AF" w:rsidP="00A432AF">
      <w:pPr>
        <w:spacing w:after="0" w:line="240" w:lineRule="auto"/>
        <w:rPr>
          <w:rFonts w:eastAsia="Times New Roman" w:cstheme="minorHAnsi"/>
          <w:b/>
          <w:bCs/>
          <w:color w:val="000000"/>
          <w:lang w:val="en-US"/>
        </w:rPr>
      </w:pPr>
    </w:p>
    <w:p w14:paraId="0989ED58" w14:textId="77777777" w:rsidR="00A432AF" w:rsidRPr="00A432AF" w:rsidRDefault="00A432AF" w:rsidP="00A432AF">
      <w:pPr>
        <w:spacing w:after="0" w:line="240" w:lineRule="auto"/>
        <w:rPr>
          <w:rFonts w:eastAsia="Times New Roman" w:cstheme="minorHAnsi"/>
          <w:b/>
          <w:bCs/>
          <w:color w:val="000000"/>
          <w:lang w:val="en-US"/>
        </w:rPr>
      </w:pPr>
    </w:p>
    <w:p w14:paraId="0B62F99A" w14:textId="77777777" w:rsidR="00A432AF" w:rsidRPr="00A432AF" w:rsidRDefault="00A432AF" w:rsidP="00A432AF">
      <w:pPr>
        <w:spacing w:after="0" w:line="240" w:lineRule="auto"/>
        <w:rPr>
          <w:rFonts w:eastAsia="Times New Roman" w:cstheme="minorHAnsi"/>
          <w:b/>
          <w:bCs/>
          <w:color w:val="000000"/>
          <w:lang w:val="en-US"/>
        </w:rPr>
      </w:pPr>
    </w:p>
    <w:p w14:paraId="33165D40" w14:textId="77777777" w:rsidR="00A432AF" w:rsidRDefault="00A432AF" w:rsidP="00A432AF">
      <w:pPr>
        <w:spacing w:after="0" w:line="240" w:lineRule="auto"/>
        <w:rPr>
          <w:rFonts w:eastAsia="Times New Roman" w:cstheme="minorHAnsi"/>
          <w:color w:val="000000"/>
          <w:lang w:val="en-US"/>
        </w:rPr>
      </w:pPr>
    </w:p>
    <w:p w14:paraId="6F0E37FF" w14:textId="351649B4"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lastRenderedPageBreak/>
        <w:t xml:space="preserve">This paper will address the problems defining both mentoring and coaching and what makes them different. It will compare the roles of a mentor and coach, what different responsibilities/qualities they have and the importance of reflection in the mentoring and coaching process. A critical incident will be used to assess the skills and qualities of effective mentoring and how it influenced the perspective of the researcher for future practise. There will be a critical analysis of what constitutes clear and coherent feedback in mentoring in the participants current setting regarding mentoring and coaching policies. Due to the absence of a mentoring and coaching policy in the current setting, the importance of policies and procedures for mentor and mentees will be discussed, highlighting the need for such a policy. Ethical issues that are associated with mentoring and coaching will also be discussed, looking closely at the European Mentoring and Coaching Council Global Code of Ethics (2016). </w:t>
      </w:r>
    </w:p>
    <w:p w14:paraId="0F87348A" w14:textId="77777777" w:rsidR="00A432AF" w:rsidRPr="00A432AF" w:rsidRDefault="00A432AF" w:rsidP="00A432AF">
      <w:pPr>
        <w:spacing w:after="0" w:line="240" w:lineRule="auto"/>
        <w:rPr>
          <w:rFonts w:eastAsia="Times New Roman" w:cstheme="minorHAnsi"/>
          <w:color w:val="000000"/>
          <w:lang w:val="en-US"/>
        </w:rPr>
      </w:pPr>
    </w:p>
    <w:p w14:paraId="50F75232"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Brockbank and McGill (2006) state that mentoring or coaching has one clear purpose, the learning and development of an individual and a process that involves change. Lancer et al (2016) argue that one of the problems practitioners face is confusion of definitions because what one group describes as coaching, another would perceive as mentoring. Garvey et al (2018) argue that there is a lively debate among academics and practitioners alike as to the meaning of the terms mentoring and coaching fuelled by variations in the application of mentoring and coaching, the wide range of contexts in which mentoring and coaching activities take place and the commercial, ethical, and practical considerations. Defining and comparing both terms is made even more difficult by the vast literature available providing such a wide range of views and thoughts. Jacobi (1991) cited in Tammy et al (2017) identified 15 different definitions of mentoring in the educational, psychological and management literature with other scholars making similar observations, noting that these varying definitions create problems in drawing conclusions across research studies. Bachkirova et al (2017) highlight similar problems when defining coaching stating that nearly every text published on coaching begins with an attempt to define the concept and its practice. Bachkirova et al (2017) also argue that this is not surprising considering its diverse origins and multidisciplinary nature. </w:t>
      </w:r>
    </w:p>
    <w:p w14:paraId="3B192D9E" w14:textId="77777777" w:rsidR="00A432AF" w:rsidRPr="00A432AF" w:rsidRDefault="00A432AF" w:rsidP="00A432AF">
      <w:pPr>
        <w:spacing w:after="0" w:line="240" w:lineRule="auto"/>
        <w:rPr>
          <w:rFonts w:eastAsia="Times New Roman" w:cstheme="minorHAnsi"/>
          <w:color w:val="000000"/>
          <w:lang w:val="en-US"/>
        </w:rPr>
      </w:pPr>
    </w:p>
    <w:p w14:paraId="4FF7DDFD"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Due to the difficulty in defining both terms, Hawkins (2013) highlighted that the Chartered Institute of Personnel and Development (CPID) veered away from trying to find a definition in 2004 and instead looked at differences between mentoring and coaching by comparing and contrasting the focus and types of activities that characterize them. One area that had a prime focus was the difference between the relationships that a mentor or coach has with their coachees or mentees. Hawkins (2013) stated that mentoring has an ongoing relationship that can last for a period of time and that coaching relationships generally have a set duration. Crawford et al (2010) defines the mentoring process as a caring and supportive interpersonal relationship between someone experienced and less knowledgeable. </w:t>
      </w:r>
    </w:p>
    <w:p w14:paraId="730C19B5" w14:textId="77777777" w:rsidR="00A432AF" w:rsidRPr="00A432AF" w:rsidRDefault="00A432AF" w:rsidP="00A432AF">
      <w:pPr>
        <w:spacing w:after="0" w:line="240" w:lineRule="auto"/>
        <w:rPr>
          <w:rFonts w:eastAsia="Times New Roman" w:cstheme="minorHAnsi"/>
          <w:color w:val="000000"/>
          <w:lang w:val="en-US"/>
        </w:rPr>
      </w:pPr>
    </w:p>
    <w:p w14:paraId="32433D0D"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Another debate surrounding the differences between mentoring and coaching is the timescale of the processes. Burley and Pomphrey (2011) state that the mentoring process has a clear ethos of a learning journey and is conducted on a holistic basis over a long-time scale.  Riddle et al (2015) argue that mentoring opposed to coaching is much broader and more expansive where the focus is less on short term goals and usually more on the broad career development and success of an individual. Douglas et al (2000) expressed that some writers view coaching as a short-term activity designed to improve specific managerial competencies or solve specific problems. The Organisation for Economic and Development (OECD), (2015) argue that coaching is typically a short-term relationship that aims to develop the skills of an individual, developing short term goals and guiding the coachee towards them. Allen et al (2006) cited in Levin et al (2013) argued that for mentoring, there must be a strong commitment to a long-term relationship. Levin et al (2013: 6) argues that “this is not the case in a coaching or precepting relationship, where the commitment is more short term than long term and usually proceeds over a defined period of time”. </w:t>
      </w:r>
    </w:p>
    <w:p w14:paraId="5889DEC8" w14:textId="77777777" w:rsidR="00A432AF" w:rsidRPr="00A432AF" w:rsidRDefault="00A432AF" w:rsidP="00A432AF">
      <w:pPr>
        <w:spacing w:after="0" w:line="240" w:lineRule="auto"/>
        <w:rPr>
          <w:rFonts w:eastAsia="Times New Roman" w:cstheme="minorHAnsi"/>
          <w:color w:val="000000"/>
          <w:lang w:val="en-US"/>
        </w:rPr>
      </w:pPr>
    </w:p>
    <w:p w14:paraId="3C348E4D"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With regards to experience, it has been argued that a mentor is usually more experienced and qualified than a mentee. Clutterbuck et al (2013) argues that when conducting formal training programmes, the mentee is usually less experienced than the mentor, and this is often, although not always, reflected in the mentor being older than the mentee. When contrasting and coaching and mentoring, Nieuwerburgh (2012) argues that the level sector of knowledge and experience for coaches is more generalist with limited knowledge, whereas mentors have typically more sector knowledge and knowledge of the organisation. Experience is however, important for both parties, particularly surrounding the development of targets. Lancer et al (2016) states that in both developmental coaching and developmental mentoring, the coach uses their experience to craft powerful questions.  For mentees or coachees to progress with developmental targets, although it is not necessary, it would be useful for the mentor or coach to have undergone similar experiences to best help or deal with the situation. </w:t>
      </w:r>
    </w:p>
    <w:p w14:paraId="4743EC2D" w14:textId="77777777" w:rsidR="00A432AF" w:rsidRPr="00A432AF" w:rsidRDefault="00A432AF" w:rsidP="00A432AF">
      <w:pPr>
        <w:spacing w:before="240" w:after="0" w:line="240" w:lineRule="auto"/>
        <w:rPr>
          <w:rFonts w:eastAsia="Times New Roman" w:cstheme="minorHAnsi"/>
          <w:color w:val="000000"/>
          <w:lang w:val="en-US"/>
        </w:rPr>
      </w:pPr>
      <w:r w:rsidRPr="00A432AF">
        <w:rPr>
          <w:rFonts w:eastAsia="Times New Roman" w:cstheme="minorHAnsi"/>
          <w:color w:val="000000"/>
          <w:lang w:val="en-US"/>
        </w:rPr>
        <w:t xml:space="preserve">Holding (2012: 8) states that “learning is central to mentoring but ideally it is collaborative, side by side learning, in which the mentor </w:t>
      </w:r>
      <w:r w:rsidRPr="00A432AF">
        <w:rPr>
          <w:rFonts w:eastAsia="Times New Roman" w:cstheme="minorHAnsi"/>
          <w:color w:val="000000"/>
          <w:lang w:val="en-US"/>
        </w:rPr>
        <w:softHyphen/>
        <w:t xml:space="preserve">has more experience than the mentee. The mentor can offer information, suggestions, advice, and experience but the mentee is free to accept or reject any of these. It differs from the role of a qualified school or college teacher, workplace instructor or coach”. These latter roles involve an element of direction and of assessment of the work student, trainee, or athlete. It is important when an individual is being coached to set up an agreement and discuss various issues such as objectives to increase the likelihood of the relationship being a success. Although it is non-statutory, the presence of an agreement or contract between a mentor and mentee can make the progress more measurable and efficient. Kline (2014) believes that the relationship between the student and mentor must be built around the completion of an approved and agreed upon project or activity that is articulated and signed via a written contract. </w:t>
      </w:r>
    </w:p>
    <w:p w14:paraId="13C849C6" w14:textId="77777777" w:rsidR="00A432AF" w:rsidRPr="00A432AF" w:rsidRDefault="00A432AF" w:rsidP="00A432AF">
      <w:pPr>
        <w:spacing w:after="0" w:line="240" w:lineRule="auto"/>
        <w:rPr>
          <w:rFonts w:eastAsia="Times New Roman" w:cstheme="minorHAnsi"/>
          <w:color w:val="000000"/>
          <w:lang w:val="en-US"/>
        </w:rPr>
      </w:pPr>
    </w:p>
    <w:p w14:paraId="05C2F917"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Even when contrasting and comparing between mentoring and coaching, it still proves difficult to provide clear definitions for both terms. Whittaker and Cartwright (1997) argue that even if we try to distinguish between coaching and mentoring and describe them both at length, not everyone will be satisfied. One key area that can possibly help distinguish between the two is the emotional connection that an understudy makes by working closely with a mentor as opposed to a coach. Cox et al (2014) identified what is known as the ‘emotional bond’ as a key difference between mentoring and coaching, believing that coaching doesn’t require the type of emotional bond usually associated with mentoring. </w:t>
      </w:r>
    </w:p>
    <w:p w14:paraId="23DA97C3" w14:textId="77777777" w:rsidR="00A432AF" w:rsidRPr="00A432AF" w:rsidRDefault="00A432AF" w:rsidP="00A432AF">
      <w:pPr>
        <w:spacing w:after="0" w:line="240" w:lineRule="auto"/>
        <w:rPr>
          <w:rFonts w:eastAsia="Times New Roman" w:cstheme="minorHAnsi"/>
          <w:color w:val="000000"/>
          <w:lang w:val="en-US"/>
        </w:rPr>
      </w:pPr>
    </w:p>
    <w:p w14:paraId="13FCD45B"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Zachary (2011) argues that mentoring, at its fullest, is a self-directed learning relationship, driven by the learning needs of the mentee. It is more process orientated than service driven and may focus on broader intangible issues as learning goals. Zachary (2011) further argues that coaching focuses more on boosting performance and skill enhancement to achieve personal goals whereas mentoring relationships are voluntary and enhanced by individual preparation. Kouzes and Posner (2017) argue that one of the first things you need to do as a coach is to establish a coaching agreement and discuss specific parameters such as what is being offered, time commitment, responsibilities, expectations of each other, timeliness for meetings, schedules, objectives, among other things.</w:t>
      </w:r>
    </w:p>
    <w:p w14:paraId="656B6998" w14:textId="77777777" w:rsidR="00A432AF" w:rsidRPr="00A432AF" w:rsidRDefault="00A432AF" w:rsidP="00A432AF">
      <w:pPr>
        <w:spacing w:after="0" w:line="240" w:lineRule="auto"/>
        <w:rPr>
          <w:rFonts w:eastAsia="Times New Roman" w:cstheme="minorHAnsi"/>
          <w:color w:val="000000"/>
          <w:lang w:val="en-US"/>
        </w:rPr>
      </w:pPr>
    </w:p>
    <w:p w14:paraId="64BED172"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An important aspect in both mentoring and coaching is the ability to reflect on the performance for both mentor/mentee and coach/coachee. Moon (2013) argues that we reflect in order to learn something, or we learn as a result of reflecting. Barker (2003: 72) argues that “one of the more popular methods of learning is Kolb’s learning cycle”. The cycle demonstrates that learning does not end at any particular point, as it continues into another turn of the cycle. It illustrates the importance of reflection and ways in which problems can be identified in the learning process”. Kolb (2014) argues that the learning cycle combines spontaneity, feeling, and deep individual insight with </w:t>
      </w:r>
      <w:r w:rsidRPr="00A432AF">
        <w:rPr>
          <w:rFonts w:eastAsia="Times New Roman" w:cstheme="minorHAnsi"/>
          <w:color w:val="000000"/>
          <w:lang w:val="en-US"/>
        </w:rPr>
        <w:lastRenderedPageBreak/>
        <w:t xml:space="preserve">the possibility of rational thought and reflection, maintaining the humanistic belief that in every individual’s capacity to grow and learn which is so important for lifelong learning. </w:t>
      </w:r>
    </w:p>
    <w:p w14:paraId="0775EB78" w14:textId="77777777" w:rsidR="00A432AF" w:rsidRPr="00A432AF" w:rsidRDefault="00A432AF" w:rsidP="00A432AF">
      <w:pPr>
        <w:spacing w:after="0" w:line="240" w:lineRule="auto"/>
        <w:rPr>
          <w:rFonts w:eastAsia="Times New Roman" w:cstheme="minorHAnsi"/>
          <w:color w:val="000000"/>
          <w:lang w:val="en-US"/>
        </w:rPr>
      </w:pPr>
    </w:p>
    <w:p w14:paraId="51D70108"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There are many ways that can help people think critically. </w:t>
      </w:r>
      <w:r w:rsidRPr="00A432AF">
        <w:rPr>
          <w:rFonts w:eastAsia="Times New Roman" w:cstheme="minorHAnsi"/>
          <w:lang w:val="en-US"/>
        </w:rPr>
        <w:t xml:space="preserve">Hillier (2005) </w:t>
      </w:r>
      <w:r w:rsidRPr="00A432AF">
        <w:rPr>
          <w:rFonts w:eastAsia="Times New Roman" w:cstheme="minorHAnsi"/>
          <w:color w:val="000000"/>
          <w:lang w:val="en-US"/>
        </w:rPr>
        <w:t xml:space="preserve">argues that Brookfield’s lenses can help us look at a situation from our own viewpoint and from theoretical literature. Ingleby et al (2010: 125) argue that “using Brookfield’s four lenses is a useful and practical framework that can be used by tutors in the lifelong learning sector to evaluate information and produce an action plan for change based upon that information”. Rubenfeld and Scheffer (2014) argue that each lens provides the educator with another point of view from which he or she can make comparisons and see patterns that confirm or discount what one or more of the other lenses reflect. What is important is that reflection does allow people to broaden their knowledge and learn from different experiences. Both Kolb’s Cycle of Learning and Brookfield’s four lenses could prove useful for both mentor and mentees in providing opportunities for reflection. Robinson et al (2013: 8) argue that “both these models of reflection will encourage you to see your experiences from a variety of viewpoints, helping transform your practice and scaffold your skills in the art of reflection. Like all skills, reflection needs practice, therefore, the more you engage in the process of reflection the more proficient and accomplished you will become”. </w:t>
      </w:r>
    </w:p>
    <w:p w14:paraId="404F70B7" w14:textId="77777777" w:rsidR="00A432AF" w:rsidRPr="00A432AF" w:rsidRDefault="00A432AF" w:rsidP="00A432AF">
      <w:pPr>
        <w:spacing w:after="0" w:line="240" w:lineRule="auto"/>
        <w:rPr>
          <w:rFonts w:eastAsia="Times New Roman" w:cstheme="minorHAnsi"/>
          <w:b/>
          <w:color w:val="000000"/>
          <w:lang w:val="en-US"/>
        </w:rPr>
      </w:pPr>
    </w:p>
    <w:p w14:paraId="42A3EA08"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The historical moment that influenced my perspective was during my second professional teaching placement where I had a verbal agreement with my mentor to attend a very important medical procedure for a close relative. The agreed date was noted and both parties were aware of this situation with the understanding that it would be honored. On the day of the procedure, I had been writing reports for a year eight class but was asked to stay and write other reports and was expected to complete these reports before leaving. The time arrived when I needed to leave and was told by the mentor that ‘priorities’ were important. As a hard-working mentee, who did not take any leave throughout this professional placement, I felt let down that this agreement had not been followed through. Because of me having to leave when all reports had been finished, I did end up missing the medical procedure which upset me greatly. </w:t>
      </w:r>
    </w:p>
    <w:p w14:paraId="25560EAC" w14:textId="77777777" w:rsidR="00A432AF" w:rsidRPr="00A432AF" w:rsidRDefault="00A432AF" w:rsidP="00A432AF">
      <w:pPr>
        <w:spacing w:after="0" w:line="240" w:lineRule="auto"/>
        <w:rPr>
          <w:rFonts w:eastAsia="Times New Roman" w:cstheme="minorHAnsi"/>
          <w:color w:val="000000"/>
          <w:lang w:val="en-US"/>
        </w:rPr>
      </w:pPr>
    </w:p>
    <w:p w14:paraId="717DA72F"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During such a critical incident, it does require an individual to reflect on the situation and reevaluate the qualities of an effective mentor and the need for a contractual agreement in the process. Colaprete</w:t>
      </w:r>
      <w:r w:rsidRPr="00A432AF">
        <w:rPr>
          <w:rFonts w:eastAsia="Times New Roman" w:cstheme="minorHAnsi"/>
          <w:color w:val="000000"/>
          <w:lang w:val="en-US"/>
        </w:rPr>
        <w:softHyphen/>
        <w:t xml:space="preserve"> (2009) stated that expectations must be clarified and agreed upon by both parties before an effective mentoring relationship can be cemented and that, successful experienced mentors often emphasize the need to formalize expectations through a written agreement. The mentee feels that if a contractual agreement had been in place, the mentor would have had no choice but to honor the agreement helping to eliminate any possible issues in the relationship moving forward. Allen et al (2011) argue that opening a dialogue regarding these kinds of issues at the beginning of the relationship can help avoid misunderstandings and reduce the role of uncertainty. Bayley et al (2018) argue that a clear contract which defines boundaries and expectations of both mentor and mentee is essential from the outset. </w:t>
      </w:r>
    </w:p>
    <w:p w14:paraId="7C83B9F2" w14:textId="77777777" w:rsidR="00A432AF" w:rsidRPr="00A432AF" w:rsidRDefault="00A432AF" w:rsidP="00A432AF">
      <w:pPr>
        <w:spacing w:after="0" w:line="240" w:lineRule="auto"/>
        <w:rPr>
          <w:rFonts w:eastAsia="Times New Roman" w:cstheme="minorHAnsi"/>
          <w:color w:val="000000"/>
          <w:lang w:val="en-US"/>
        </w:rPr>
      </w:pPr>
    </w:p>
    <w:p w14:paraId="64816D20"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Due to the nature of this circumstance and absence of a mentoring contract, it left me to think that should my life outside teaching have any impact on the process of mentoring during my professional placement and if it should affect the decision a mentor chooses to make. Fibkins (2011) argues that a mentor should address any issue that affects the performance of a teacher, and that life problems affect us all such as poor health among other setbacks. The mentee feels that a lack of emotional support at such a critical time did not have a positive impact on the relationship moving forward but could easily have been avoided. Duffy and Forgan (2005) argue that the mentor-mentee match is one of the critical elements of a successful relationship because mentors provide more than just a system information related to education issues and instruction, they also provide emotional support. </w:t>
      </w:r>
    </w:p>
    <w:p w14:paraId="54445A56" w14:textId="77777777" w:rsidR="00A432AF" w:rsidRPr="00A432AF" w:rsidRDefault="00A432AF" w:rsidP="00A432AF">
      <w:pPr>
        <w:spacing w:after="0" w:line="240" w:lineRule="auto"/>
        <w:rPr>
          <w:rFonts w:eastAsia="Times New Roman" w:cstheme="minorHAnsi"/>
          <w:color w:val="000000"/>
          <w:lang w:val="en-US"/>
        </w:rPr>
      </w:pPr>
    </w:p>
    <w:p w14:paraId="5D4A7CCB"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lastRenderedPageBreak/>
        <w:t xml:space="preserve">Duffy and Forgan (2005) further argue that providing emotional support helps reduce the isolation many new teachers experience during their first year of teaching, stating that mentors offer this type of support by listening without judging and being sympathetic. The author feels that some mentors need to understand that some student teachers needs differ to those of others and are not always related to teaching standards. Bartell (2005) states that mentors should understand that some new teachers are more receptive to help than others and their needs differ. Valcik and Benavides (2012: 140) argue that “the relationship dynamic must be somewhere between a friendship and a teacher-student relationship. The mentee must feel that he can speak to his mentor about any subject and the mentor will be open minded and respond in an honest fashion”. Once this critical incident had happened, I must be honest and admit that I did find it difficult to be open about any personal issues with my mentor because of the problem that had been created previously. </w:t>
      </w:r>
      <w:r w:rsidRPr="00A432AF">
        <w:rPr>
          <w:rFonts w:eastAsia="Times New Roman" w:cstheme="minorHAnsi"/>
          <w:color w:val="000000"/>
          <w:lang w:val="en-US"/>
        </w:rPr>
        <w:softHyphen/>
        <w:t xml:space="preserve">At this moment, there was a great deal of trust that had been lost in the relationship between mentor and mentee. After this incident, it was difficult to have faith in the mentor moving forward and it would be difficult to rebuild the relationship. Cranwell-Ward et al (2004: 210) argue that once trust is lost, it is very difficult to rebuild. Shaw (2010) argues that the aftermath following a difference of view on a decision must be handled carefully. If there have been heated or emotive exchanges, it may take a while to restore the relationship. </w:t>
      </w:r>
    </w:p>
    <w:p w14:paraId="0DA252A3" w14:textId="77777777" w:rsidR="00A432AF" w:rsidRPr="00A432AF" w:rsidRDefault="00A432AF" w:rsidP="00A432AF">
      <w:pPr>
        <w:spacing w:after="0" w:line="240" w:lineRule="auto"/>
        <w:rPr>
          <w:rFonts w:eastAsia="Times New Roman" w:cstheme="minorHAnsi"/>
          <w:color w:val="000000"/>
          <w:lang w:val="en-US"/>
        </w:rPr>
      </w:pPr>
    </w:p>
    <w:p w14:paraId="2748F75B"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Due to the absence of a contractual agreement, it was often found that on some occasions, there would be two to three weeks without a meeting between the mentor and mentee. Ragins and Kram (2008) argue that one of the problems that occur in a mentor, mentee relationship is minimal engagement. Another factor that may have led to the mentor making a controversial decision may be the lack of time available to them to perform their teaching role effectively. Portner (2001) argued that if you were to ask a group of mentors what they consider the biggest barrier to mentoring, nine out of ten will throw up their hands in frustration and mumble something like ‘I never have enough time’ or ‘There aren’t enough hours in a day’. Besides time being an issue, the author does believe that if there was a contractual agreement in place with agreed times for meetings, it should not be an issue. The major factors here that led to this being such a critical incident was that an agreement that had been made with good intentions, had been dishonored, ultimately having a negative impact on the relationship.</w:t>
      </w:r>
    </w:p>
    <w:p w14:paraId="3546241E" w14:textId="77777777" w:rsidR="00A432AF" w:rsidRPr="00A432AF" w:rsidRDefault="00A432AF" w:rsidP="00A432AF">
      <w:pPr>
        <w:spacing w:after="0" w:line="240" w:lineRule="auto"/>
        <w:rPr>
          <w:rFonts w:eastAsia="Times New Roman" w:cstheme="minorHAnsi"/>
          <w:color w:val="000000"/>
          <w:lang w:val="en-US"/>
        </w:rPr>
      </w:pPr>
    </w:p>
    <w:p w14:paraId="5EE4665E"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How can I learn from this critical incident? The first thing that the I would do is sit down with a potential mentee and mutually agree on a contract that fits both parties. Jones (2012) argues that if you are going to establish a professional mentoring relationship with a learner, the first thing you will need to do is develop a mentoring plan which involves:</w:t>
      </w:r>
    </w:p>
    <w:p w14:paraId="7B380B52" w14:textId="77777777" w:rsidR="00A432AF" w:rsidRPr="00A432AF" w:rsidRDefault="00A432AF" w:rsidP="00A432AF">
      <w:pPr>
        <w:spacing w:after="0" w:line="240" w:lineRule="auto"/>
        <w:rPr>
          <w:rFonts w:eastAsia="Times New Roman" w:cstheme="minorHAnsi"/>
          <w:color w:val="000000"/>
          <w:lang w:val="en-US"/>
        </w:rPr>
      </w:pPr>
    </w:p>
    <w:p w14:paraId="30174D90" w14:textId="77777777" w:rsidR="00A432AF" w:rsidRPr="00A432AF" w:rsidRDefault="00A432AF" w:rsidP="00A432AF">
      <w:pPr>
        <w:numPr>
          <w:ilvl w:val="0"/>
          <w:numId w:val="1"/>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Identifying the scope and boundaries of the relationship.</w:t>
      </w:r>
    </w:p>
    <w:p w14:paraId="0907620F" w14:textId="77777777" w:rsidR="00A432AF" w:rsidRPr="00A432AF" w:rsidRDefault="00A432AF" w:rsidP="00A432AF">
      <w:pPr>
        <w:numPr>
          <w:ilvl w:val="0"/>
          <w:numId w:val="1"/>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Establishing ground rules and negotiation expectations.</w:t>
      </w:r>
    </w:p>
    <w:p w14:paraId="7B499DA1" w14:textId="77777777" w:rsidR="00A432AF" w:rsidRPr="00A432AF" w:rsidRDefault="00A432AF" w:rsidP="00A432AF">
      <w:pPr>
        <w:numPr>
          <w:ilvl w:val="0"/>
          <w:numId w:val="1"/>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 xml:space="preserve">Maintaining confidentiality within the relationship. </w:t>
      </w:r>
    </w:p>
    <w:p w14:paraId="523134EE" w14:textId="77777777" w:rsidR="00A432AF" w:rsidRPr="00A432AF" w:rsidRDefault="00A432AF" w:rsidP="00A432AF">
      <w:pPr>
        <w:spacing w:after="0" w:line="240" w:lineRule="auto"/>
        <w:rPr>
          <w:rFonts w:eastAsia="Times New Roman" w:cstheme="minorHAnsi"/>
          <w:color w:val="000000"/>
          <w:lang w:val="en-US"/>
        </w:rPr>
      </w:pPr>
    </w:p>
    <w:p w14:paraId="44C869A6"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This process highlighted above will be followed closely by myself to ensure a process with minimal risks or problems as possible. Besides the absence of a contractual agreement, a major factor that affected my relationship with the mentor was the lack of emotional support. Juan (2012) argues that mentors should provide emotional support for students and researchers who have less confidence. Therefore, I recognise how important it is to emotionally support students that may be struggling, not just professionally, but also personally. Due to the nature of a verbal agreement being dishonored during the critical incident, I believe that a more formal agreement would be best to cover both parties. Dent and Brent (2015) argue that a more informal type of agreement is typically used when the relationship is less formal and possibly based around a specific issue rather than an ongoing relationship. You would be more likely to use an informal agreement when you are coaching a direct report. </w:t>
      </w:r>
    </w:p>
    <w:p w14:paraId="5789E151" w14:textId="77777777" w:rsidR="00A432AF" w:rsidRPr="00A432AF" w:rsidRDefault="00A432AF" w:rsidP="00A432AF">
      <w:pPr>
        <w:spacing w:after="0" w:line="240" w:lineRule="auto"/>
        <w:rPr>
          <w:rFonts w:eastAsia="Times New Roman" w:cstheme="minorHAnsi"/>
          <w:color w:val="000000"/>
          <w:lang w:val="en-US"/>
        </w:rPr>
      </w:pPr>
    </w:p>
    <w:p w14:paraId="5F95BC5C"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Robinson (2015) highlighted integrity, compassion, and contemplation as top qualities for mentors. Corpening (2010) argues that integrity means being a person of your word and is someone that can be trusted. This is an area I felt was missing in the relationship with the mentor because of the lack of trust that followed once the mentor had changed their mind about the verbal agreement in place for me to attend the medical procedure with a family member. Therefore, the critical incident has highlighted the importance of a mentor acting with integrity at all times. I feel that if I am able to build a relationship based around mutual respect with prospective mentees, it will help encourage the best possible outcomes in the future. Kochan (2002) argues that an essential element of reciprocity in mentoring relationships involves mutual respect. I believe that the critical incident has influenced my perspective and would never have been an issue if the mentor had shown integrity in the mentoring process. </w:t>
      </w:r>
    </w:p>
    <w:p w14:paraId="0E6810C2" w14:textId="77777777" w:rsidR="00A432AF" w:rsidRPr="00A432AF" w:rsidRDefault="00A432AF" w:rsidP="00A432AF">
      <w:pPr>
        <w:spacing w:after="0" w:line="240" w:lineRule="auto"/>
        <w:rPr>
          <w:rFonts w:eastAsia="Times New Roman" w:cstheme="minorHAnsi"/>
          <w:color w:val="000000"/>
          <w:lang w:val="en-US"/>
        </w:rPr>
      </w:pPr>
    </w:p>
    <w:p w14:paraId="49579534"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In the author’s current setting, there is no formal mentoring or coaching policy in place for current staff or newly qualified teachers (NQT). The absence of a mentoring or coaching policy could cause problems for the school should they assign a current member of staff to the role of a mentor raising questions such as will the mentor be informed of what is expected of them? Will they understand what is expected of them? Will they be familiar with the ethical process of mentoring? McBride (2003) emphasizes that the mentoring of beginner teachers can only be fruitful when it is embedded in a school’s staff policies. </w:t>
      </w:r>
    </w:p>
    <w:p w14:paraId="4003C49B" w14:textId="77777777" w:rsidR="00A432AF" w:rsidRPr="00A432AF" w:rsidRDefault="00A432AF" w:rsidP="00A432AF">
      <w:pPr>
        <w:spacing w:after="0" w:line="240" w:lineRule="auto"/>
        <w:rPr>
          <w:rFonts w:eastAsia="Times New Roman" w:cstheme="minorHAnsi"/>
          <w:color w:val="000000"/>
          <w:lang w:val="en-US"/>
        </w:rPr>
      </w:pPr>
    </w:p>
    <w:p w14:paraId="6B9A4A8B"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As an NQT in my current setting, I was assigned a school mentor to guide me through my NQT year aiming to achieve all the necessary teaching strands presented by the Education Workforce Council (EWC). The induction mentor that was assigned had no previous experience as a mentor and was unclear about the process throughout the academic year. Although, the induction mentor was an experienced and valued member of staff at the school, she fully understood the end goal of our relationship, but did not understand the processes of how to get there. The absence of a mentoring or coaching policy here proved to be a crucial moment where both parties were now unsure of how to arrange things moving forward. </w:t>
      </w:r>
    </w:p>
    <w:p w14:paraId="192AA757" w14:textId="77777777" w:rsidR="00A432AF" w:rsidRPr="00A432AF" w:rsidRDefault="00A432AF" w:rsidP="00A432AF">
      <w:pPr>
        <w:spacing w:after="0" w:line="240" w:lineRule="auto"/>
        <w:rPr>
          <w:rFonts w:eastAsia="Times New Roman" w:cstheme="minorHAnsi"/>
          <w:color w:val="000000"/>
          <w:lang w:val="en-US"/>
        </w:rPr>
      </w:pPr>
    </w:p>
    <w:p w14:paraId="14627D5D"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Common problems in the current setting are that there is a lack of opportunity for clear and coherent feedback in the mentoring process. To get an understanding of the contents of an effective coaching and mentoring policy, it was beneficial to identify and assess several policies currently in practice with other educational institutions. Aberystwyth University (2015) specified in their mentoring and coaching policy that ‘Coaching and mentoring are very effective development methods to assist individuals to reflect, identify and achieve their goals and support the transfer of learning into the workplace. Bangor University (2015) also highlight the effectiveness of a mentoring and coaching policy arguing that ‘mentoring and coaching are very effective development methods to assist individuals to reflect, identify and achieve their goals and support the transfer of learning into the workplace’. Interestingly, although both institutions promote the ability of their mentoring and coaching policies to reflect, they are very much indeed, identical. Both Aberystwyth (2015) and Bangor (2015) further go on to state that mentoring and coaching is important for ‘providing an opportunity for employees to reflect on and plan their career development’. </w:t>
      </w:r>
    </w:p>
    <w:p w14:paraId="21701A93" w14:textId="77777777" w:rsidR="00A432AF" w:rsidRPr="00A432AF" w:rsidRDefault="00A432AF" w:rsidP="00A432AF">
      <w:pPr>
        <w:spacing w:after="0" w:line="240" w:lineRule="auto"/>
        <w:rPr>
          <w:rFonts w:eastAsia="Times New Roman" w:cstheme="minorHAnsi"/>
          <w:color w:val="000000"/>
          <w:lang w:val="en-US"/>
        </w:rPr>
      </w:pPr>
    </w:p>
    <w:p w14:paraId="64B83F4F"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With regards to reflection and feedback in the mentoring process, the University of Bedfordshire (2010) state in their mentoring policy that the mentee must reflect upon knowledge, </w:t>
      </w:r>
      <w:proofErr w:type="gramStart"/>
      <w:r w:rsidRPr="00A432AF">
        <w:rPr>
          <w:rFonts w:eastAsia="Times New Roman" w:cstheme="minorHAnsi"/>
          <w:color w:val="000000"/>
          <w:lang w:val="en-US"/>
        </w:rPr>
        <w:t>skills</w:t>
      </w:r>
      <w:proofErr w:type="gramEnd"/>
      <w:r w:rsidRPr="00A432AF">
        <w:rPr>
          <w:rFonts w:eastAsia="Times New Roman" w:cstheme="minorHAnsi"/>
          <w:color w:val="000000"/>
          <w:lang w:val="en-US"/>
        </w:rPr>
        <w:t xml:space="preserve"> and behaviors. To provide opportunities to reflect for both mentor and mentees, mentoring and coaching schemes must provide situations in which both parties are able to report on the process, such as scheduled meetings. A central component of this reflection is fusion between mentor and mentee. The Association of Teachers and Lecturers (ATL) state in their ‘Guide to Mentoring’ (2012: 9) that “the mentor and the mentee have to work together to defragment the mentee’s experience, </w:t>
      </w:r>
      <w:r w:rsidRPr="00A432AF">
        <w:rPr>
          <w:rFonts w:eastAsia="Times New Roman" w:cstheme="minorHAnsi"/>
          <w:color w:val="000000"/>
          <w:lang w:val="en-US"/>
        </w:rPr>
        <w:lastRenderedPageBreak/>
        <w:t xml:space="preserve">to help the mentee resolve apparent contradictions”. The University of Reading (2016) argue in their mentoring policy for the school of archaeology, geography, and environmental science that an aim of the process is to provide constructive feedback in planning of personal research, teaching and learning and other roles. </w:t>
      </w:r>
    </w:p>
    <w:p w14:paraId="0B61A599" w14:textId="77777777" w:rsidR="00A432AF" w:rsidRPr="00A432AF" w:rsidRDefault="00A432AF" w:rsidP="00A432AF">
      <w:pPr>
        <w:spacing w:after="0" w:line="240" w:lineRule="auto"/>
        <w:rPr>
          <w:rFonts w:eastAsia="Times New Roman" w:cstheme="minorHAnsi"/>
          <w:color w:val="000000"/>
          <w:lang w:val="en-US"/>
        </w:rPr>
      </w:pPr>
    </w:p>
    <w:p w14:paraId="3C1AA7A3"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The question is how do we reflect as practitioners? All mentoring and coaching policies above have highlighted the importance of feedback and reflection in the mentoring and coaching process but do not inform the mentor and mentee of how to do so. The Australian Aid (2016: 17) argue that “It is the coaches’ guide to help the coachee clarify what they want to achieve, raise their awareness on where they are now and the options they have for moving forward and explain what to do next while applying the key principles of awareness, responsibility and independent thinking”. In their coaching guidebook, they promote the use of the GROW model for coaching and mentoring. Martin (2006) argues that the GROW Model, developed by Graham Alexander and racing champion Sir John Whitmore, is the best-known coaching model in the UK and the one that is most widely used in coaching assignments in the industry. It is an acronym that stands for Goal, Reality, Opportunity and Will. Welsh Government (2015: 11) state that “the GROW model can support coaches in diagnosing the skill and will of a coachee and can help to frame coaching conversations so that those being coached can more easily set themselves goals within the context of their current situation”. </w:t>
      </w:r>
    </w:p>
    <w:p w14:paraId="659DF5E0" w14:textId="77777777" w:rsidR="00A432AF" w:rsidRPr="00A432AF" w:rsidRDefault="00A432AF" w:rsidP="00A432AF">
      <w:pPr>
        <w:spacing w:after="0" w:line="240" w:lineRule="auto"/>
        <w:rPr>
          <w:rFonts w:eastAsia="Times New Roman" w:cstheme="minorHAnsi"/>
          <w:color w:val="000000"/>
          <w:lang w:val="en-US"/>
        </w:rPr>
      </w:pPr>
    </w:p>
    <w:p w14:paraId="77EE6E29"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The University of New South Wales (2018) argue that the GROW model will help a mentor prepare for a session and will provide a useful structure to the discussion. If such a structure was present in the </w:t>
      </w:r>
      <w:proofErr w:type="gramStart"/>
      <w:r w:rsidRPr="00A432AF">
        <w:rPr>
          <w:rFonts w:eastAsia="Times New Roman" w:cstheme="minorHAnsi"/>
          <w:color w:val="000000"/>
          <w:lang w:val="en-US"/>
        </w:rPr>
        <w:t>researchers</w:t>
      </w:r>
      <w:proofErr w:type="gramEnd"/>
      <w:r w:rsidRPr="00A432AF">
        <w:rPr>
          <w:rFonts w:eastAsia="Times New Roman" w:cstheme="minorHAnsi"/>
          <w:color w:val="000000"/>
          <w:lang w:val="en-US"/>
        </w:rPr>
        <w:t xml:space="preserve"> current setting, it may be able to provide opportunities for the mentor and mentee to apply the key principles of awareness, responsibility, and independent thinking. It will allow both parties to discuss goals, asking questions such as how do you hope to achieve this goal? What do you want to achieve out of this session or relationship? When discussing reality, the coachee or mentee can be given the opportunity to tell their story with the use of self-assessment. It may allow the mentor or coach to ask questions such as what has stopped you from achieving this goal previously? What is happening regarding this goal at the moment? Using the options stage of the GROW model, the mentee can empower choice and begin to brainstorm ideas. The mentee is able to ask questions such as who can support me in achieving this goal? What has worked for me in the past? Finally, the wrap up stage of the GROW model will allow the mentee to identify specific steps they need to take and highlight any potential obstacles that they could encounter. This stage will allow mentees to ask questions such as what potential obstacles might I meet? What steps do I need to take to achieve this? This stage will also allow the mentor to provide support where they can offer their guidance to help the mentee moving forward. </w:t>
      </w:r>
    </w:p>
    <w:p w14:paraId="1105084B" w14:textId="77777777" w:rsidR="00A432AF" w:rsidRPr="00A432AF" w:rsidRDefault="00A432AF" w:rsidP="00A432AF">
      <w:pPr>
        <w:spacing w:after="0" w:line="240" w:lineRule="auto"/>
        <w:rPr>
          <w:rFonts w:eastAsia="Times New Roman" w:cstheme="minorHAnsi"/>
          <w:color w:val="000000"/>
          <w:lang w:val="en-US"/>
        </w:rPr>
      </w:pPr>
    </w:p>
    <w:p w14:paraId="091BE038"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If such a model was present in the researcher’s current setting, it would provide more structured opportunities for both mentor and mentee to sit and discuss areas of improvement for the mentee, devising action plans to move forward. The absence of a mentoring and coaching policy at present, does create a number of problems for both the mentor and mentee. Relationships between mentors and mentees could be inconsistent and lacking structure moving forward because both mentoring and coaching policies for schools in Wales are currently non-statutory. The Department for Education (DFE) produced a ‘Statutory Policies for Schools’ document (2014) that gave advice on the policies and documents that governing bodies and proprietors of schools are required to have by law, where both mentoring and coaching were absent. If these policies were to be made statutory by the DFE, then both schools and mentors would need to address mentees needs more effectively. </w:t>
      </w:r>
    </w:p>
    <w:p w14:paraId="0D7575F3" w14:textId="77777777" w:rsidR="00A432AF" w:rsidRPr="00A432AF" w:rsidRDefault="00A432AF" w:rsidP="00A432AF">
      <w:pPr>
        <w:spacing w:after="0" w:line="240" w:lineRule="auto"/>
        <w:rPr>
          <w:rFonts w:eastAsia="Times New Roman" w:cstheme="minorHAnsi"/>
          <w:color w:val="000000"/>
          <w:lang w:val="en-US"/>
        </w:rPr>
      </w:pPr>
    </w:p>
    <w:p w14:paraId="6E3AA831"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Has mentioned previously, one of the most difficult issues surrounding mentoring and coaching is defining the two. What is apparent in the University of Bedfordshire (2010), Aberystwyth University (2015), Bangor University (2015), and the University of Reading (2016) mentoring and coaching policies is a clear attempt to define both mentoring and coaching with an effort to differentiate </w:t>
      </w:r>
      <w:r w:rsidRPr="00A432AF">
        <w:rPr>
          <w:rFonts w:eastAsia="Times New Roman" w:cstheme="minorHAnsi"/>
          <w:color w:val="000000"/>
          <w:lang w:val="en-US"/>
        </w:rPr>
        <w:lastRenderedPageBreak/>
        <w:t xml:space="preserve">between the two. In the researcher’s current setting due to the absence of a mentoring and coaching policy, there may still be misconception or understanding about the actual role of a mentor or coach. The presence of a mentoring and coaching policy would address questions for the </w:t>
      </w:r>
      <w:proofErr w:type="gramStart"/>
      <w:r w:rsidRPr="00A432AF">
        <w:rPr>
          <w:rFonts w:eastAsia="Times New Roman" w:cstheme="minorHAnsi"/>
          <w:color w:val="000000"/>
          <w:lang w:val="en-US"/>
        </w:rPr>
        <w:t>school b</w:t>
      </w:r>
      <w:bookmarkStart w:id="1" w:name="_GoBack"/>
      <w:bookmarkEnd w:id="1"/>
      <w:r w:rsidRPr="00A432AF">
        <w:rPr>
          <w:rFonts w:eastAsia="Times New Roman" w:cstheme="minorHAnsi"/>
          <w:color w:val="000000"/>
          <w:lang w:val="en-US"/>
        </w:rPr>
        <w:t>ased</w:t>
      </w:r>
      <w:proofErr w:type="gramEnd"/>
      <w:r w:rsidRPr="00A432AF">
        <w:rPr>
          <w:rFonts w:eastAsia="Times New Roman" w:cstheme="minorHAnsi"/>
          <w:color w:val="000000"/>
          <w:lang w:val="en-US"/>
        </w:rPr>
        <w:t xml:space="preserve"> mentor such as:</w:t>
      </w:r>
    </w:p>
    <w:p w14:paraId="5B53537D" w14:textId="77777777" w:rsidR="00A432AF" w:rsidRPr="00A432AF" w:rsidRDefault="00A432AF" w:rsidP="00A432AF">
      <w:pPr>
        <w:spacing w:after="0" w:line="240" w:lineRule="auto"/>
        <w:rPr>
          <w:rFonts w:eastAsia="Times New Roman" w:cstheme="minorHAnsi"/>
          <w:color w:val="000000"/>
          <w:lang w:val="en-US"/>
        </w:rPr>
      </w:pPr>
    </w:p>
    <w:p w14:paraId="26B6CDA2" w14:textId="77777777" w:rsidR="00A432AF" w:rsidRPr="00A432AF" w:rsidRDefault="00A432AF" w:rsidP="00A432AF">
      <w:pPr>
        <w:numPr>
          <w:ilvl w:val="0"/>
          <w:numId w:val="2"/>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What is mentoring? What is coaching? What are the differences between them?</w:t>
      </w:r>
    </w:p>
    <w:p w14:paraId="4DFB96EB" w14:textId="77777777" w:rsidR="00A432AF" w:rsidRPr="00A432AF" w:rsidRDefault="00A432AF" w:rsidP="00A432AF">
      <w:pPr>
        <w:numPr>
          <w:ilvl w:val="0"/>
          <w:numId w:val="2"/>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What are the responsibilities of the mentor?</w:t>
      </w:r>
    </w:p>
    <w:p w14:paraId="47D991C2" w14:textId="77777777" w:rsidR="00A432AF" w:rsidRPr="00A432AF" w:rsidRDefault="00A432AF" w:rsidP="00A432AF">
      <w:pPr>
        <w:numPr>
          <w:ilvl w:val="0"/>
          <w:numId w:val="2"/>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What are the responsibilities of the mentee?</w:t>
      </w:r>
    </w:p>
    <w:p w14:paraId="00B997E5" w14:textId="77777777" w:rsidR="00A432AF" w:rsidRPr="00A432AF" w:rsidRDefault="00A432AF" w:rsidP="00A432AF">
      <w:pPr>
        <w:numPr>
          <w:ilvl w:val="0"/>
          <w:numId w:val="2"/>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How should the mentor give feedback?</w:t>
      </w:r>
    </w:p>
    <w:p w14:paraId="6B04EC8D" w14:textId="77777777" w:rsidR="00A432AF" w:rsidRPr="00A432AF" w:rsidRDefault="00A432AF" w:rsidP="00A432AF">
      <w:pPr>
        <w:numPr>
          <w:ilvl w:val="0"/>
          <w:numId w:val="2"/>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When and how often should the mentor meet with the mentee?</w:t>
      </w:r>
    </w:p>
    <w:p w14:paraId="36F3DE8D" w14:textId="77777777" w:rsidR="00A432AF" w:rsidRPr="00A432AF" w:rsidRDefault="00A432AF" w:rsidP="00A432AF">
      <w:pPr>
        <w:numPr>
          <w:ilvl w:val="0"/>
          <w:numId w:val="2"/>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What are the best forms of communication?</w:t>
      </w:r>
    </w:p>
    <w:p w14:paraId="44AD99DE" w14:textId="77777777" w:rsidR="00A432AF" w:rsidRPr="00A432AF" w:rsidRDefault="00A432AF" w:rsidP="00A432AF">
      <w:pPr>
        <w:numPr>
          <w:ilvl w:val="0"/>
          <w:numId w:val="2"/>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How can the mentor set targets effectively?</w:t>
      </w:r>
    </w:p>
    <w:p w14:paraId="52F4C0E6" w14:textId="77777777" w:rsidR="00A432AF" w:rsidRPr="00A432AF" w:rsidRDefault="00A432AF" w:rsidP="00A432AF">
      <w:pPr>
        <w:numPr>
          <w:ilvl w:val="0"/>
          <w:numId w:val="2"/>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 xml:space="preserve">How should the mentor deal with under performance? </w:t>
      </w:r>
    </w:p>
    <w:p w14:paraId="12991CF0" w14:textId="77777777" w:rsidR="00A432AF" w:rsidRPr="00A432AF" w:rsidRDefault="00A432AF" w:rsidP="00A432AF">
      <w:pPr>
        <w:spacing w:after="0" w:line="240" w:lineRule="auto"/>
        <w:rPr>
          <w:rFonts w:eastAsia="Times New Roman" w:cstheme="minorHAnsi"/>
          <w:color w:val="000000"/>
          <w:lang w:val="en-US"/>
        </w:rPr>
      </w:pPr>
    </w:p>
    <w:p w14:paraId="16F7CD73"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Another framework that could be useful in the researcher’s current setting is the ‘CEDAR’ framework. The National College for Teaching and Leadership (NCTL), (2013) argue that the CEDAR model provides a framework for excellent coaching and mentoring practice. The NCTL (2014: 1) also state that “the mentoring or coaching relationship is based on equality and on openness, truth, and respect”. The first stage of the CEDAR framework is known as ‘contracting’. During this stage, both mentor and mentee will discuss well informed objectives and outcomes. Has discussed concerning the previously mentioned critical incident, creating a contract could also be beneficial in the </w:t>
      </w:r>
      <w:proofErr w:type="gramStart"/>
      <w:r w:rsidRPr="00A432AF">
        <w:rPr>
          <w:rFonts w:eastAsia="Times New Roman" w:cstheme="minorHAnsi"/>
          <w:color w:val="000000"/>
          <w:lang w:val="en-US"/>
        </w:rPr>
        <w:t>researchers</w:t>
      </w:r>
      <w:proofErr w:type="gramEnd"/>
      <w:r w:rsidRPr="00A432AF">
        <w:rPr>
          <w:rFonts w:eastAsia="Times New Roman" w:cstheme="minorHAnsi"/>
          <w:color w:val="000000"/>
          <w:lang w:val="en-US"/>
        </w:rPr>
        <w:t xml:space="preserve"> current setting to cover both parties. The senior leadership team in the current setting will benefit greatly by exploring current policies in place and using both the CEDAR framework and GROW models to inform then moving forward. </w:t>
      </w:r>
    </w:p>
    <w:p w14:paraId="3B917956" w14:textId="77777777" w:rsidR="00A432AF" w:rsidRPr="00A432AF" w:rsidRDefault="00A432AF" w:rsidP="00A432AF">
      <w:pPr>
        <w:spacing w:after="0" w:line="240" w:lineRule="auto"/>
        <w:rPr>
          <w:rFonts w:eastAsia="Times New Roman" w:cstheme="minorHAnsi"/>
          <w:color w:val="000000"/>
          <w:lang w:val="en-US"/>
        </w:rPr>
      </w:pPr>
    </w:p>
    <w:p w14:paraId="56E8B9CC" w14:textId="77777777" w:rsidR="00A432AF" w:rsidRPr="00A432AF" w:rsidRDefault="00A432AF" w:rsidP="00A432AF">
      <w:pPr>
        <w:spacing w:after="0" w:line="240" w:lineRule="auto"/>
        <w:rPr>
          <w:rFonts w:eastAsia="Times New Roman" w:cstheme="minorHAnsi"/>
          <w:color w:val="000000"/>
          <w:lang w:val="en-US"/>
        </w:rPr>
      </w:pPr>
    </w:p>
    <w:p w14:paraId="392CB3FB"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Resnik (2005) argues that although the relationship between mentor and mentee usually benefits both parties, some ethical problems can arise. Johnson (2016: 122) argues that “as a mentor, you are automatically an exemplar of ethics, professionalism, interpersonal skill, and competency, and it is a primary function of a mentor to model, nurture, and even evaluate professionalism in mentees”. Holding (2012: 64) argues that “since mentoring involves a personal relationship of mutual trust where mentees often reveal private information, it is important that mentors also follow a strict code of ethics”. Lunsford (2016) argues that it is important to state what is ethically acceptable in a mentoring relationship, maintaining that ethical and legal considerations are especially important when organisations support and encourage formal mentoring efforts which otherwise might not have formed. The European Mentoring and Coaching Council (EMCC), (2016: 1) state that their “code of ethics sets the expectation of best practice in coaching and mentoring and promotes the development of coaching and mentoring excellence”. The Global Code of Ethics provided by the EMCC is broken down into four parts:</w:t>
      </w:r>
    </w:p>
    <w:p w14:paraId="03017B1B" w14:textId="77777777" w:rsidR="00A432AF" w:rsidRPr="00A432AF" w:rsidRDefault="00A432AF" w:rsidP="00A432AF">
      <w:pPr>
        <w:spacing w:after="0" w:line="240" w:lineRule="auto"/>
        <w:rPr>
          <w:rFonts w:eastAsia="Times New Roman" w:cstheme="minorHAnsi"/>
          <w:color w:val="000000"/>
          <w:lang w:val="en-US"/>
        </w:rPr>
      </w:pPr>
    </w:p>
    <w:p w14:paraId="6ADC62E5" w14:textId="77777777" w:rsidR="00A432AF" w:rsidRPr="00A432AF" w:rsidRDefault="00A432AF" w:rsidP="00A432AF">
      <w:pPr>
        <w:numPr>
          <w:ilvl w:val="0"/>
          <w:numId w:val="3"/>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Terminology</w:t>
      </w:r>
    </w:p>
    <w:p w14:paraId="23CACBDA" w14:textId="77777777" w:rsidR="00A432AF" w:rsidRPr="00A432AF" w:rsidRDefault="00A432AF" w:rsidP="00A432AF">
      <w:pPr>
        <w:numPr>
          <w:ilvl w:val="0"/>
          <w:numId w:val="3"/>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Working with Clients</w:t>
      </w:r>
    </w:p>
    <w:p w14:paraId="35FB40E3" w14:textId="77777777" w:rsidR="00A432AF" w:rsidRPr="00A432AF" w:rsidRDefault="00A432AF" w:rsidP="00A432AF">
      <w:pPr>
        <w:numPr>
          <w:ilvl w:val="0"/>
          <w:numId w:val="3"/>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Professional Conduct</w:t>
      </w:r>
    </w:p>
    <w:p w14:paraId="02F52461" w14:textId="77777777" w:rsidR="00A432AF" w:rsidRPr="00A432AF" w:rsidRDefault="00A432AF" w:rsidP="00A432AF">
      <w:pPr>
        <w:numPr>
          <w:ilvl w:val="0"/>
          <w:numId w:val="3"/>
        </w:numPr>
        <w:spacing w:after="0" w:line="240" w:lineRule="auto"/>
        <w:contextualSpacing/>
        <w:rPr>
          <w:rFonts w:eastAsia="Times New Roman" w:cstheme="minorHAnsi"/>
          <w:color w:val="000000"/>
          <w:lang w:val="en-US"/>
        </w:rPr>
      </w:pPr>
      <w:r w:rsidRPr="00A432AF">
        <w:rPr>
          <w:rFonts w:eastAsia="Times New Roman" w:cstheme="minorHAnsi"/>
          <w:color w:val="000000"/>
          <w:lang w:val="en-US"/>
        </w:rPr>
        <w:t>Excellent Practice</w:t>
      </w:r>
      <w:r w:rsidRPr="00A432AF">
        <w:rPr>
          <w:rFonts w:eastAsia="Times New Roman" w:cstheme="minorHAnsi"/>
          <w:color w:val="000000"/>
          <w:lang w:val="en-US"/>
        </w:rPr>
        <w:softHyphen/>
      </w:r>
      <w:r w:rsidRPr="00A432AF">
        <w:rPr>
          <w:rFonts w:eastAsia="Times New Roman" w:cstheme="minorHAnsi"/>
          <w:color w:val="000000"/>
          <w:lang w:val="en-US"/>
        </w:rPr>
        <w:softHyphen/>
      </w:r>
    </w:p>
    <w:p w14:paraId="11813D89" w14:textId="77777777" w:rsidR="00A432AF" w:rsidRPr="00A432AF" w:rsidRDefault="00A432AF" w:rsidP="00A432AF">
      <w:pPr>
        <w:spacing w:after="0" w:line="240" w:lineRule="auto"/>
        <w:rPr>
          <w:rFonts w:eastAsia="Times New Roman" w:cstheme="minorHAnsi"/>
          <w:color w:val="000000"/>
          <w:lang w:val="en-US"/>
        </w:rPr>
      </w:pPr>
    </w:p>
    <w:p w14:paraId="26226F44" w14:textId="77777777" w:rsidR="00A432AF" w:rsidRPr="00A432AF" w:rsidRDefault="00A432AF" w:rsidP="00A432AF">
      <w:pPr>
        <w:spacing w:after="0" w:line="240" w:lineRule="auto"/>
        <w:rPr>
          <w:rFonts w:eastAsia="Times New Roman" w:cstheme="minorHAnsi"/>
          <w:color w:val="000000"/>
          <w:lang w:val="en-US"/>
        </w:rPr>
      </w:pPr>
    </w:p>
    <w:p w14:paraId="12133A8E"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In section one of the Global Code of Ethics, the EMCC (2016) state that each body will define exactly which of its members and other stakeholders are expected to abide by this code and for proper understanding of this code of ethics, members should be aware of their respective professional body’s definitions and terminology for the precise meanings of key words used in this code. Section two, working with clients covers several key areas including contracting, integrity, confidentiality, </w:t>
      </w:r>
      <w:r w:rsidRPr="00A432AF">
        <w:rPr>
          <w:rFonts w:eastAsia="Times New Roman" w:cstheme="minorHAnsi"/>
          <w:color w:val="000000"/>
          <w:lang w:val="en-US"/>
        </w:rPr>
        <w:lastRenderedPageBreak/>
        <w:t xml:space="preserve">inappropriate interactions, conflict of interest and terminating professional relationships and ongoing relationships. Section three addresses professional conduct, covering areas such as recognizing equality and diversity and breaches of professional conduct, whereas section four concerns excellent practice, addressing areas such as on-going supervision and continuing professional development and reflection. </w:t>
      </w:r>
    </w:p>
    <w:p w14:paraId="06BA0B91" w14:textId="77777777" w:rsidR="00A432AF" w:rsidRPr="00A432AF" w:rsidRDefault="00A432AF" w:rsidP="00A432AF">
      <w:pPr>
        <w:spacing w:after="0" w:line="240" w:lineRule="auto"/>
        <w:rPr>
          <w:rFonts w:eastAsia="Times New Roman" w:cstheme="minorHAnsi"/>
          <w:color w:val="000000"/>
          <w:lang w:val="en-US"/>
        </w:rPr>
      </w:pPr>
    </w:p>
    <w:p w14:paraId="2A5A7313"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The EMCC (2016) argue that before they start working with a client, members will explain, and make explicit, their commitment to abide by this code, also making their clients and sponsors aware of their respective bodies. Clutterbuck et al (2017) argue that a contract provides an important mechanism for clarifying expectations that each party has for the other and the obligations of each. </w:t>
      </w:r>
    </w:p>
    <w:p w14:paraId="6AFD589F"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Regarding integrity, the EMCC (2016) argue that when talking with a party, members will accurately and honestly represent the potential value they provide as a coach or mentor. Nichols-Casebolt (2012) argues that mentoring in research integrity is about teaching, modelling, and requiring in adherence to ethical design and conduct. Weiss and Kolberg (2003) argue that leaders who demonstrate integrity handle sensitive issues fairly, without compromising their values or those of the organisation. Eckenwiler and Cohn (2007) argue that not surprisingly, confidentiality is an issue in mentoring because of the need for open and frank discussions. The EMCC (2016) argue that when working with a client, members will maintain the strictest level of confidentiality with all client and sponsor information unless release of information is required by law. Members will store and dispose of any records regarding clients in a manner that promoted confidentiality. Allen et al (2011) argue that mentoring works best when the protégé can feel comfortable with the mentor and be able to divulge information that may be sensitive. Cranwell-Ward et al (2004) argue that confidentiality is critical for a successful mentoring relationship and must be discussed at the start of the relationship and should be included in the mentoring contract. </w:t>
      </w:r>
    </w:p>
    <w:p w14:paraId="143DB8DC" w14:textId="77777777" w:rsidR="00A432AF" w:rsidRPr="00A432AF" w:rsidRDefault="00A432AF" w:rsidP="00A432AF">
      <w:pPr>
        <w:tabs>
          <w:tab w:val="left" w:pos="1358"/>
        </w:tabs>
        <w:spacing w:after="0" w:line="240" w:lineRule="auto"/>
        <w:rPr>
          <w:rFonts w:eastAsia="Times New Roman" w:cstheme="minorHAnsi"/>
          <w:color w:val="000000"/>
          <w:lang w:val="en-US"/>
        </w:rPr>
      </w:pPr>
      <w:r w:rsidRPr="00A432AF">
        <w:rPr>
          <w:rFonts w:eastAsia="Times New Roman" w:cstheme="minorHAnsi"/>
          <w:color w:val="000000"/>
          <w:lang w:val="en-US"/>
        </w:rPr>
        <w:tab/>
      </w:r>
    </w:p>
    <w:p w14:paraId="1EE99562"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Conflict is part of any working relationship across many professional contexts. Denmark and Podsen (2016: 64) argue that as a coach or mentor, you want to show the way when it comes to effectively working through a problem because it helps to build stronger relationships. The EMCC (2016) argue that to avoid any conflict of interest, members will disclose any conflict openly with the client and agree to withdrawn from the relationship if a conflict arises which cannot be managed effectively. In any ethical relationship it is important to recognize both equality and diversity. Regarding section three of the Global Code of Ethics, titled ‘Professional Conduct’, two important areas covered are recognizing equality and diversity and breaches of professional conduct. The EMCC (2016) argue that members will avoid knowingly discriminating on any grounds and will constantly seek to enhance their own awareness of possible areas of discrimination, accepting that any breach that is upheld may result in sanctions including loss of accredited status or body membership. Kleinig and Smith (2001) argue that an ethical principle that workers share is the right to fair treatment in the workplace and organisations cannot and should not discriminate against people on the basis of their sex, race, ethnicity, economic background, or religion. Section four, titled ‘Excellent Practice’, addresses areas such as on-going supervision and continuing professional development and reflection. The EMCC (2016) argue that to support their learning and on-going professional development, members will engage in regular reflective practice, systematically evaluating the quality of their work through feedback from clients and other relevant parties. </w:t>
      </w:r>
    </w:p>
    <w:p w14:paraId="021492B1" w14:textId="77777777" w:rsidR="00A432AF" w:rsidRPr="00A432AF" w:rsidRDefault="00A432AF" w:rsidP="00A432AF">
      <w:pPr>
        <w:spacing w:after="0" w:line="240" w:lineRule="auto"/>
        <w:rPr>
          <w:rFonts w:eastAsia="Times New Roman" w:cstheme="minorHAnsi"/>
          <w:color w:val="000000"/>
          <w:lang w:val="en-US"/>
        </w:rPr>
      </w:pPr>
    </w:p>
    <w:p w14:paraId="6A4C4BB7" w14:textId="77777777" w:rsidR="00A432AF" w:rsidRPr="00A432AF" w:rsidRDefault="00A432AF" w:rsidP="00A432AF">
      <w:pPr>
        <w:spacing w:after="0" w:line="240" w:lineRule="auto"/>
        <w:rPr>
          <w:rFonts w:eastAsia="Times New Roman" w:cstheme="minorHAnsi"/>
          <w:color w:val="000000"/>
          <w:lang w:val="en-US"/>
        </w:rPr>
      </w:pPr>
    </w:p>
    <w:p w14:paraId="0C01AD43" w14:textId="77777777" w:rsidR="00A432AF" w:rsidRPr="00A432AF" w:rsidRDefault="00A432AF" w:rsidP="00A432AF">
      <w:pPr>
        <w:spacing w:after="0" w:line="240" w:lineRule="auto"/>
        <w:rPr>
          <w:rFonts w:eastAsia="Times New Roman" w:cstheme="minorHAnsi"/>
          <w:color w:val="000000"/>
          <w:lang w:val="en-US"/>
        </w:rPr>
      </w:pPr>
      <w:r w:rsidRPr="00A432AF">
        <w:rPr>
          <w:rFonts w:eastAsia="Times New Roman" w:cstheme="minorHAnsi"/>
          <w:color w:val="000000"/>
          <w:lang w:val="en-US"/>
        </w:rPr>
        <w:t xml:space="preserve">In conclusion, the author feels that even though mentors and coaches have particular skills and qualities that help them in the mentoring and coaching relationship, both integrity and respect are key ingredients in a successful working relationship. The critical incident shows that if a mentor was to display integrity, there would not have been a negative impact on the relationship between mentor and mentee. The creation of a mentoring or coaching contract is essential and may help prevent such issues as those experienced by the mentee. In the mentee’s current setting, the </w:t>
      </w:r>
      <w:r w:rsidRPr="00A432AF">
        <w:rPr>
          <w:rFonts w:eastAsia="Times New Roman" w:cstheme="minorHAnsi"/>
          <w:color w:val="000000"/>
          <w:lang w:val="en-US"/>
        </w:rPr>
        <w:lastRenderedPageBreak/>
        <w:t xml:space="preserve">presence of a mentoring policy would provide a lot more stability and consistency in the relationship whilst informing the mentor how to perform the role effectively. The absence of such as policy at present is creating a number of problems such as lack of meetings, observations, and clarity in the process. The lack of clearness in defining both mentoring and coaching does provide problems in the workplace for creating policies that are fit for purpose. If such a policy was made statutory by the Department for Education however, the issues surrounding implementing mentoring and coaching policies may change.  </w:t>
      </w:r>
    </w:p>
    <w:p w14:paraId="37609E89" w14:textId="77777777" w:rsidR="00A432AF" w:rsidRPr="00A432AF" w:rsidRDefault="00A432AF" w:rsidP="00A432AF">
      <w:pPr>
        <w:spacing w:after="0" w:line="240" w:lineRule="auto"/>
        <w:rPr>
          <w:rFonts w:eastAsia="Times New Roman" w:cstheme="minorHAnsi"/>
          <w:color w:val="000000"/>
          <w:lang w:val="en-US"/>
        </w:rPr>
      </w:pPr>
    </w:p>
    <w:p w14:paraId="10AEB448" w14:textId="77777777" w:rsidR="00A432AF" w:rsidRPr="00A432AF" w:rsidRDefault="00A432AF" w:rsidP="00A432AF">
      <w:pPr>
        <w:spacing w:after="0" w:line="240" w:lineRule="auto"/>
        <w:rPr>
          <w:rFonts w:eastAsia="Times New Roman" w:cstheme="minorHAnsi"/>
          <w:color w:val="000000"/>
          <w:lang w:val="en-US"/>
        </w:rPr>
      </w:pPr>
    </w:p>
    <w:p w14:paraId="1946DEB6" w14:textId="77777777" w:rsidR="00A432AF" w:rsidRPr="00A432AF" w:rsidRDefault="00A432AF" w:rsidP="00A432AF">
      <w:pPr>
        <w:spacing w:after="0" w:line="240" w:lineRule="auto"/>
        <w:rPr>
          <w:rFonts w:eastAsia="Times New Roman" w:cstheme="minorHAnsi"/>
          <w:color w:val="000000"/>
          <w:u w:val="single"/>
          <w:lang w:val="en-US"/>
        </w:rPr>
      </w:pPr>
    </w:p>
    <w:p w14:paraId="4EDABA91" w14:textId="77777777" w:rsidR="00A432AF" w:rsidRPr="00A432AF" w:rsidRDefault="00A432AF" w:rsidP="00A432AF">
      <w:pPr>
        <w:spacing w:after="0" w:line="240" w:lineRule="auto"/>
        <w:rPr>
          <w:rFonts w:eastAsia="Times New Roman" w:cstheme="minorHAnsi"/>
          <w:color w:val="000000"/>
          <w:u w:val="single"/>
          <w:lang w:val="en-US"/>
        </w:rPr>
      </w:pPr>
    </w:p>
    <w:p w14:paraId="38342D56" w14:textId="77777777" w:rsidR="00A432AF" w:rsidRPr="00A432AF" w:rsidRDefault="00A432AF" w:rsidP="00A432AF">
      <w:pPr>
        <w:spacing w:after="0" w:line="240" w:lineRule="auto"/>
        <w:rPr>
          <w:rFonts w:eastAsia="Times New Roman" w:cstheme="minorHAnsi"/>
          <w:color w:val="000000"/>
          <w:u w:val="single"/>
          <w:lang w:val="en-US"/>
        </w:rPr>
      </w:pPr>
    </w:p>
    <w:p w14:paraId="44BBFBDB" w14:textId="77777777" w:rsidR="00A432AF" w:rsidRPr="00A432AF" w:rsidRDefault="00A432AF" w:rsidP="00A432AF">
      <w:pPr>
        <w:spacing w:after="0" w:line="240" w:lineRule="auto"/>
        <w:rPr>
          <w:rFonts w:eastAsia="Times New Roman" w:cstheme="minorHAnsi"/>
          <w:color w:val="000000"/>
          <w:u w:val="single"/>
          <w:lang w:val="en-US"/>
        </w:rPr>
      </w:pPr>
    </w:p>
    <w:p w14:paraId="7AB9E290" w14:textId="77777777" w:rsidR="00A432AF" w:rsidRPr="00A432AF" w:rsidRDefault="00A432AF" w:rsidP="00A432AF">
      <w:pPr>
        <w:spacing w:after="0" w:line="240" w:lineRule="auto"/>
        <w:rPr>
          <w:rFonts w:eastAsia="Times New Roman" w:cstheme="minorHAnsi"/>
          <w:color w:val="000000"/>
          <w:u w:val="single"/>
          <w:lang w:val="en-US"/>
        </w:rPr>
      </w:pPr>
    </w:p>
    <w:p w14:paraId="48359EA1" w14:textId="77777777" w:rsidR="00A432AF" w:rsidRPr="00A432AF" w:rsidRDefault="00A432AF" w:rsidP="00A432AF">
      <w:pPr>
        <w:spacing w:after="0" w:line="240" w:lineRule="auto"/>
        <w:rPr>
          <w:rFonts w:eastAsia="Times New Roman" w:cstheme="minorHAnsi"/>
          <w:color w:val="000000"/>
          <w:u w:val="single"/>
          <w:lang w:val="en-US"/>
        </w:rPr>
      </w:pPr>
    </w:p>
    <w:p w14:paraId="4C136B1E" w14:textId="77777777" w:rsidR="00A432AF" w:rsidRPr="00A432AF" w:rsidRDefault="00A432AF" w:rsidP="00A432AF">
      <w:pPr>
        <w:spacing w:after="0" w:line="240" w:lineRule="auto"/>
        <w:rPr>
          <w:rFonts w:eastAsia="Times New Roman" w:cstheme="minorHAnsi"/>
          <w:color w:val="000000"/>
          <w:u w:val="single"/>
          <w:lang w:val="en-US"/>
        </w:rPr>
      </w:pPr>
    </w:p>
    <w:p w14:paraId="20013591" w14:textId="77777777" w:rsidR="00A432AF" w:rsidRPr="00A432AF" w:rsidRDefault="00A432AF" w:rsidP="00A432AF">
      <w:pPr>
        <w:spacing w:after="0" w:line="240" w:lineRule="auto"/>
        <w:rPr>
          <w:rFonts w:eastAsia="Times New Roman" w:cstheme="minorHAnsi"/>
          <w:color w:val="000000"/>
          <w:u w:val="single"/>
          <w:lang w:val="en-US"/>
        </w:rPr>
      </w:pPr>
    </w:p>
    <w:p w14:paraId="6970C315" w14:textId="77777777" w:rsidR="00A432AF" w:rsidRPr="00A432AF" w:rsidRDefault="00A432AF" w:rsidP="00A432AF">
      <w:pPr>
        <w:spacing w:after="0" w:line="240" w:lineRule="auto"/>
        <w:rPr>
          <w:rFonts w:eastAsia="Times New Roman" w:cstheme="minorHAnsi"/>
          <w:color w:val="000000"/>
          <w:u w:val="single"/>
          <w:lang w:val="en-US"/>
        </w:rPr>
      </w:pPr>
    </w:p>
    <w:p w14:paraId="25F8DA71" w14:textId="77777777" w:rsidR="00A432AF" w:rsidRPr="00A432AF" w:rsidRDefault="00A432AF" w:rsidP="00A432AF">
      <w:pPr>
        <w:spacing w:after="0" w:line="240" w:lineRule="auto"/>
        <w:rPr>
          <w:rFonts w:eastAsia="Times New Roman" w:cstheme="minorHAnsi"/>
          <w:color w:val="000000"/>
          <w:u w:val="single"/>
          <w:lang w:val="en-US"/>
        </w:rPr>
      </w:pPr>
    </w:p>
    <w:p w14:paraId="56E0E469" w14:textId="77777777" w:rsidR="00A432AF" w:rsidRPr="00A432AF" w:rsidRDefault="00A432AF" w:rsidP="00A432AF">
      <w:pPr>
        <w:spacing w:after="0" w:line="240" w:lineRule="auto"/>
        <w:rPr>
          <w:rFonts w:eastAsia="Times New Roman" w:cstheme="minorHAnsi"/>
          <w:color w:val="000000"/>
          <w:u w:val="single"/>
          <w:lang w:val="en-US"/>
        </w:rPr>
      </w:pPr>
    </w:p>
    <w:p w14:paraId="0CA7754D" w14:textId="77777777" w:rsidR="00A432AF" w:rsidRPr="00A432AF" w:rsidRDefault="00A432AF" w:rsidP="00A432AF">
      <w:pPr>
        <w:spacing w:after="0" w:line="240" w:lineRule="auto"/>
        <w:rPr>
          <w:rFonts w:eastAsia="Times New Roman" w:cstheme="minorHAnsi"/>
          <w:color w:val="000000"/>
          <w:u w:val="single"/>
          <w:lang w:val="en-US"/>
        </w:rPr>
      </w:pPr>
    </w:p>
    <w:p w14:paraId="0F4BC6B2" w14:textId="77777777" w:rsidR="00A432AF" w:rsidRPr="00A432AF" w:rsidRDefault="00A432AF" w:rsidP="00A432AF">
      <w:pPr>
        <w:spacing w:after="0" w:line="240" w:lineRule="auto"/>
        <w:rPr>
          <w:rFonts w:eastAsia="Times New Roman" w:cstheme="minorHAnsi"/>
          <w:color w:val="000000"/>
          <w:u w:val="single"/>
          <w:lang w:val="en-US"/>
        </w:rPr>
      </w:pPr>
    </w:p>
    <w:p w14:paraId="69124539" w14:textId="77777777" w:rsidR="00A432AF" w:rsidRPr="00A432AF" w:rsidRDefault="00A432AF" w:rsidP="00A432AF">
      <w:pPr>
        <w:spacing w:after="0" w:line="240" w:lineRule="auto"/>
        <w:rPr>
          <w:rFonts w:eastAsia="Times New Roman" w:cstheme="minorHAnsi"/>
          <w:color w:val="000000"/>
          <w:u w:val="single"/>
          <w:lang w:val="en-US"/>
        </w:rPr>
      </w:pPr>
    </w:p>
    <w:p w14:paraId="7CF67C23" w14:textId="77777777" w:rsidR="00A432AF" w:rsidRPr="00A432AF" w:rsidRDefault="00A432AF" w:rsidP="00A432AF">
      <w:pPr>
        <w:spacing w:after="0" w:line="240" w:lineRule="auto"/>
        <w:rPr>
          <w:rFonts w:eastAsia="Times New Roman" w:cstheme="minorHAnsi"/>
          <w:color w:val="000000"/>
          <w:u w:val="single"/>
          <w:lang w:val="en-US"/>
        </w:rPr>
      </w:pPr>
    </w:p>
    <w:p w14:paraId="17054227" w14:textId="77777777" w:rsidR="00A432AF" w:rsidRPr="00A432AF" w:rsidRDefault="00A432AF" w:rsidP="00A432AF">
      <w:pPr>
        <w:spacing w:after="0" w:line="240" w:lineRule="auto"/>
        <w:rPr>
          <w:rFonts w:eastAsia="Times New Roman" w:cstheme="minorHAnsi"/>
          <w:color w:val="000000"/>
          <w:u w:val="single"/>
          <w:lang w:val="en-US"/>
        </w:rPr>
      </w:pPr>
    </w:p>
    <w:p w14:paraId="3FC79A53" w14:textId="77777777" w:rsidR="00A432AF" w:rsidRPr="00A432AF" w:rsidRDefault="00A432AF" w:rsidP="00A432AF">
      <w:pPr>
        <w:spacing w:after="0" w:line="240" w:lineRule="auto"/>
        <w:rPr>
          <w:rFonts w:eastAsia="Times New Roman" w:cstheme="minorHAnsi"/>
          <w:color w:val="000000"/>
          <w:u w:val="single"/>
          <w:lang w:val="en-US"/>
        </w:rPr>
      </w:pPr>
    </w:p>
    <w:p w14:paraId="677838EB" w14:textId="77777777" w:rsidR="00A432AF" w:rsidRPr="00A432AF" w:rsidRDefault="00A432AF" w:rsidP="00A432AF">
      <w:pPr>
        <w:spacing w:after="0" w:line="240" w:lineRule="auto"/>
        <w:rPr>
          <w:rFonts w:eastAsia="Times New Roman" w:cstheme="minorHAnsi"/>
          <w:color w:val="000000"/>
          <w:u w:val="single"/>
          <w:lang w:val="en-US"/>
        </w:rPr>
      </w:pPr>
    </w:p>
    <w:p w14:paraId="0A2C7640" w14:textId="77777777" w:rsidR="00A432AF" w:rsidRPr="00A432AF" w:rsidRDefault="00A432AF" w:rsidP="00A432AF">
      <w:pPr>
        <w:spacing w:after="0" w:line="240" w:lineRule="auto"/>
        <w:rPr>
          <w:rFonts w:eastAsia="Times New Roman" w:cstheme="minorHAnsi"/>
          <w:color w:val="000000"/>
          <w:u w:val="single"/>
          <w:lang w:val="en-US"/>
        </w:rPr>
      </w:pPr>
    </w:p>
    <w:p w14:paraId="66C137C9" w14:textId="77777777" w:rsidR="00A432AF" w:rsidRPr="00A432AF" w:rsidRDefault="00A432AF" w:rsidP="00A432AF">
      <w:pPr>
        <w:spacing w:after="0" w:line="240" w:lineRule="auto"/>
        <w:rPr>
          <w:rFonts w:eastAsia="Times New Roman" w:cstheme="minorHAnsi"/>
          <w:color w:val="000000"/>
          <w:u w:val="single"/>
          <w:lang w:val="en-US"/>
        </w:rPr>
      </w:pPr>
    </w:p>
    <w:p w14:paraId="1D85FF40" w14:textId="77777777" w:rsidR="00A432AF" w:rsidRPr="00A432AF" w:rsidRDefault="00A432AF" w:rsidP="00A432AF">
      <w:pPr>
        <w:spacing w:after="0" w:line="240" w:lineRule="auto"/>
        <w:rPr>
          <w:rFonts w:eastAsia="Times New Roman" w:cstheme="minorHAnsi"/>
          <w:color w:val="000000"/>
          <w:u w:val="single"/>
          <w:lang w:val="en-US"/>
        </w:rPr>
      </w:pPr>
    </w:p>
    <w:p w14:paraId="389DFCF0" w14:textId="77777777" w:rsidR="00A432AF" w:rsidRPr="00A432AF" w:rsidRDefault="00A432AF" w:rsidP="00A432AF">
      <w:pPr>
        <w:spacing w:after="0" w:line="240" w:lineRule="auto"/>
        <w:rPr>
          <w:rFonts w:eastAsia="Times New Roman" w:cstheme="minorHAnsi"/>
          <w:color w:val="000000"/>
          <w:u w:val="single"/>
          <w:lang w:val="en-US"/>
        </w:rPr>
      </w:pPr>
    </w:p>
    <w:p w14:paraId="1FFD4FFE" w14:textId="77777777" w:rsidR="00A432AF" w:rsidRPr="00A432AF" w:rsidRDefault="00A432AF" w:rsidP="00A432AF">
      <w:pPr>
        <w:spacing w:after="0" w:line="240" w:lineRule="auto"/>
        <w:rPr>
          <w:rFonts w:eastAsia="Times New Roman" w:cstheme="minorHAnsi"/>
          <w:color w:val="000000"/>
          <w:u w:val="single"/>
          <w:lang w:val="en-US"/>
        </w:rPr>
      </w:pPr>
    </w:p>
    <w:p w14:paraId="53F27DB7" w14:textId="77777777" w:rsidR="00A432AF" w:rsidRPr="00A432AF" w:rsidRDefault="00A432AF" w:rsidP="00A432AF">
      <w:pPr>
        <w:spacing w:after="0" w:line="240" w:lineRule="auto"/>
        <w:rPr>
          <w:rFonts w:eastAsia="Times New Roman" w:cstheme="minorHAnsi"/>
          <w:color w:val="000000"/>
          <w:u w:val="single"/>
          <w:lang w:val="en-US"/>
        </w:rPr>
      </w:pPr>
    </w:p>
    <w:p w14:paraId="18CDC966" w14:textId="77777777" w:rsidR="00A432AF" w:rsidRPr="00A432AF" w:rsidRDefault="00A432AF" w:rsidP="00A432AF">
      <w:pPr>
        <w:spacing w:after="0" w:line="240" w:lineRule="auto"/>
        <w:rPr>
          <w:rFonts w:eastAsia="Times New Roman" w:cstheme="minorHAnsi"/>
          <w:color w:val="000000"/>
          <w:u w:val="single"/>
          <w:lang w:val="en-US"/>
        </w:rPr>
      </w:pPr>
    </w:p>
    <w:p w14:paraId="29B40175" w14:textId="77777777" w:rsidR="00A432AF" w:rsidRPr="00A432AF" w:rsidRDefault="00A432AF" w:rsidP="00A432AF">
      <w:pPr>
        <w:spacing w:after="0" w:line="240" w:lineRule="auto"/>
        <w:rPr>
          <w:rFonts w:eastAsia="Times New Roman" w:cstheme="minorHAnsi"/>
          <w:color w:val="000000"/>
          <w:u w:val="single"/>
          <w:lang w:val="en-US"/>
        </w:rPr>
      </w:pPr>
    </w:p>
    <w:p w14:paraId="79A8B034" w14:textId="77777777" w:rsidR="00A432AF" w:rsidRPr="00A432AF" w:rsidRDefault="00A432AF" w:rsidP="00A432AF">
      <w:pPr>
        <w:spacing w:after="0" w:line="240" w:lineRule="auto"/>
        <w:rPr>
          <w:rFonts w:eastAsia="Times New Roman" w:cstheme="minorHAnsi"/>
          <w:color w:val="000000"/>
          <w:u w:val="single"/>
          <w:lang w:val="en-US"/>
        </w:rPr>
      </w:pPr>
    </w:p>
    <w:p w14:paraId="577CBEC3" w14:textId="77777777" w:rsidR="00A432AF" w:rsidRPr="00A432AF" w:rsidRDefault="00A432AF" w:rsidP="00A432AF">
      <w:pPr>
        <w:spacing w:after="0" w:line="240" w:lineRule="auto"/>
        <w:rPr>
          <w:rFonts w:eastAsia="Times New Roman" w:cstheme="minorHAnsi"/>
          <w:color w:val="000000"/>
          <w:u w:val="single"/>
          <w:lang w:val="en-US"/>
        </w:rPr>
      </w:pPr>
    </w:p>
    <w:p w14:paraId="67AF330D" w14:textId="77777777" w:rsidR="00A432AF" w:rsidRPr="00A432AF" w:rsidRDefault="00A432AF" w:rsidP="00A432AF">
      <w:pPr>
        <w:spacing w:after="0" w:line="240" w:lineRule="auto"/>
        <w:rPr>
          <w:rFonts w:eastAsia="Times New Roman" w:cstheme="minorHAnsi"/>
          <w:color w:val="000000"/>
          <w:u w:val="single"/>
          <w:lang w:val="en-US"/>
        </w:rPr>
      </w:pPr>
    </w:p>
    <w:p w14:paraId="47466F5C" w14:textId="77777777" w:rsidR="00A432AF" w:rsidRPr="00A432AF" w:rsidRDefault="00A432AF" w:rsidP="00A432AF">
      <w:pPr>
        <w:spacing w:after="0" w:line="240" w:lineRule="auto"/>
        <w:rPr>
          <w:rFonts w:eastAsia="Times New Roman" w:cstheme="minorHAnsi"/>
          <w:color w:val="000000"/>
          <w:u w:val="single"/>
          <w:lang w:val="en-US"/>
        </w:rPr>
      </w:pPr>
    </w:p>
    <w:p w14:paraId="742AFD00" w14:textId="77777777" w:rsidR="00A432AF" w:rsidRPr="00A432AF" w:rsidRDefault="00A432AF" w:rsidP="00A432AF">
      <w:pPr>
        <w:spacing w:after="0" w:line="240" w:lineRule="auto"/>
        <w:rPr>
          <w:rFonts w:eastAsia="Times New Roman" w:cstheme="minorHAnsi"/>
          <w:color w:val="000000"/>
          <w:u w:val="single"/>
          <w:lang w:val="en-US"/>
        </w:rPr>
      </w:pPr>
    </w:p>
    <w:p w14:paraId="3038EE60" w14:textId="77777777" w:rsidR="00A432AF" w:rsidRPr="00A432AF" w:rsidRDefault="00A432AF" w:rsidP="00A432AF">
      <w:pPr>
        <w:spacing w:after="0" w:line="240" w:lineRule="auto"/>
        <w:rPr>
          <w:rFonts w:eastAsia="Times New Roman" w:cstheme="minorHAnsi"/>
          <w:color w:val="000000"/>
          <w:u w:val="single"/>
          <w:lang w:val="en-US"/>
        </w:rPr>
      </w:pPr>
    </w:p>
    <w:p w14:paraId="131D98A4" w14:textId="77777777" w:rsidR="00A432AF" w:rsidRPr="00A432AF" w:rsidRDefault="00A432AF" w:rsidP="00A432AF">
      <w:pPr>
        <w:spacing w:after="0" w:line="240" w:lineRule="auto"/>
        <w:rPr>
          <w:rFonts w:eastAsia="Times New Roman" w:cstheme="minorHAnsi"/>
          <w:color w:val="000000"/>
          <w:u w:val="single"/>
          <w:lang w:val="en-US"/>
        </w:rPr>
      </w:pPr>
    </w:p>
    <w:p w14:paraId="71759528" w14:textId="77777777" w:rsidR="00A432AF" w:rsidRPr="00A432AF" w:rsidRDefault="00A432AF" w:rsidP="00A432AF">
      <w:pPr>
        <w:spacing w:after="0" w:line="240" w:lineRule="auto"/>
        <w:rPr>
          <w:rFonts w:eastAsia="Times New Roman" w:cstheme="minorHAnsi"/>
          <w:color w:val="000000"/>
          <w:u w:val="single"/>
          <w:lang w:val="en-US"/>
        </w:rPr>
      </w:pPr>
    </w:p>
    <w:p w14:paraId="46E8079B" w14:textId="77777777" w:rsidR="00A432AF" w:rsidRPr="00A432AF" w:rsidRDefault="00A432AF" w:rsidP="00A432AF">
      <w:pPr>
        <w:spacing w:after="0" w:line="240" w:lineRule="auto"/>
        <w:rPr>
          <w:rFonts w:eastAsia="Times New Roman" w:cstheme="minorHAnsi"/>
          <w:color w:val="000000"/>
          <w:u w:val="single"/>
          <w:lang w:val="en-US"/>
        </w:rPr>
      </w:pPr>
    </w:p>
    <w:p w14:paraId="4E78AAB0" w14:textId="77777777" w:rsidR="00A432AF" w:rsidRPr="00A432AF" w:rsidRDefault="00A432AF" w:rsidP="00A432AF">
      <w:pPr>
        <w:spacing w:after="0" w:line="240" w:lineRule="auto"/>
        <w:rPr>
          <w:rFonts w:eastAsia="Times New Roman" w:cstheme="minorHAnsi"/>
          <w:color w:val="000000"/>
          <w:u w:val="single"/>
          <w:lang w:val="en-US"/>
        </w:rPr>
      </w:pPr>
    </w:p>
    <w:p w14:paraId="0638F290" w14:textId="77777777" w:rsidR="00A432AF" w:rsidRPr="00A432AF" w:rsidRDefault="00A432AF" w:rsidP="00A432AF">
      <w:pPr>
        <w:spacing w:after="0" w:line="240" w:lineRule="auto"/>
        <w:rPr>
          <w:rFonts w:eastAsia="Times New Roman" w:cstheme="minorHAnsi"/>
          <w:color w:val="000000"/>
          <w:u w:val="single"/>
          <w:lang w:val="en-US"/>
        </w:rPr>
      </w:pPr>
    </w:p>
    <w:p w14:paraId="51BE42DF" w14:textId="77777777" w:rsidR="00A432AF" w:rsidRPr="00A432AF" w:rsidRDefault="00A432AF" w:rsidP="00A432AF">
      <w:pPr>
        <w:spacing w:after="0" w:line="240" w:lineRule="auto"/>
        <w:rPr>
          <w:rFonts w:eastAsia="Times New Roman" w:cstheme="minorHAnsi"/>
          <w:color w:val="000000"/>
          <w:u w:val="single"/>
          <w:lang w:val="en-US"/>
        </w:rPr>
      </w:pPr>
    </w:p>
    <w:p w14:paraId="0B184692" w14:textId="77777777" w:rsidR="00A432AF" w:rsidRPr="00A432AF" w:rsidRDefault="00A432AF" w:rsidP="00A432AF">
      <w:pPr>
        <w:spacing w:after="0" w:line="240" w:lineRule="auto"/>
        <w:rPr>
          <w:rFonts w:eastAsia="Times New Roman" w:cstheme="minorHAnsi"/>
          <w:color w:val="000000"/>
          <w:u w:val="single"/>
          <w:lang w:val="en-US"/>
        </w:rPr>
      </w:pPr>
    </w:p>
    <w:p w14:paraId="3D58158C" w14:textId="77777777" w:rsidR="00A432AF" w:rsidRPr="00A432AF" w:rsidRDefault="00A432AF" w:rsidP="00A432AF">
      <w:pPr>
        <w:spacing w:after="0" w:line="240" w:lineRule="auto"/>
        <w:rPr>
          <w:rFonts w:eastAsia="Times New Roman" w:cstheme="minorHAnsi"/>
          <w:color w:val="000000"/>
          <w:u w:val="single"/>
          <w:lang w:val="en-US"/>
        </w:rPr>
      </w:pPr>
    </w:p>
    <w:p w14:paraId="773F72C6" w14:textId="77777777" w:rsidR="00A432AF" w:rsidRPr="00A432AF" w:rsidRDefault="00A432AF" w:rsidP="00A432AF">
      <w:pPr>
        <w:spacing w:after="0" w:line="240" w:lineRule="auto"/>
        <w:rPr>
          <w:rFonts w:eastAsia="Times New Roman" w:cstheme="minorHAnsi"/>
          <w:color w:val="000000"/>
          <w:u w:val="single"/>
          <w:lang w:val="en-US"/>
        </w:rPr>
      </w:pPr>
    </w:p>
    <w:p w14:paraId="58230ABE" w14:textId="77777777" w:rsidR="00A432AF" w:rsidRPr="00A432AF" w:rsidRDefault="00A432AF" w:rsidP="00A432AF">
      <w:pPr>
        <w:spacing w:after="0" w:line="240" w:lineRule="auto"/>
        <w:rPr>
          <w:rFonts w:eastAsia="Times New Roman" w:cstheme="minorHAnsi"/>
          <w:color w:val="000000"/>
          <w:u w:val="single"/>
          <w:lang w:val="en-US"/>
        </w:rPr>
      </w:pPr>
    </w:p>
    <w:p w14:paraId="35AC7BCD" w14:textId="77777777" w:rsidR="00A432AF" w:rsidRDefault="00A432AF" w:rsidP="00A432AF">
      <w:pPr>
        <w:spacing w:after="0" w:line="240" w:lineRule="auto"/>
        <w:rPr>
          <w:rFonts w:eastAsia="Times New Roman" w:cstheme="minorHAnsi"/>
          <w:color w:val="000000"/>
          <w:u w:val="single"/>
          <w:lang w:val="en-US"/>
        </w:rPr>
      </w:pPr>
    </w:p>
    <w:p w14:paraId="535FFBC1" w14:textId="79AE7ADD" w:rsidR="00A432AF" w:rsidRPr="00A432AF" w:rsidRDefault="00A432AF" w:rsidP="00A432AF">
      <w:pPr>
        <w:spacing w:after="0" w:line="240" w:lineRule="auto"/>
        <w:rPr>
          <w:rFonts w:eastAsia="Times New Roman" w:cstheme="minorHAnsi"/>
          <w:color w:val="000000"/>
          <w:u w:val="single"/>
          <w:lang w:val="en-US"/>
        </w:rPr>
      </w:pPr>
      <w:r w:rsidRPr="00A432AF">
        <w:rPr>
          <w:rFonts w:eastAsia="Times New Roman" w:cstheme="minorHAnsi"/>
          <w:color w:val="000000"/>
          <w:u w:val="single"/>
          <w:lang w:val="en-US"/>
        </w:rPr>
        <w:t>Reference List</w:t>
      </w:r>
    </w:p>
    <w:p w14:paraId="244A0810" w14:textId="77777777" w:rsidR="00A432AF" w:rsidRPr="00A432AF" w:rsidRDefault="00A432AF" w:rsidP="00A432AF">
      <w:pPr>
        <w:spacing w:after="0" w:line="240" w:lineRule="auto"/>
        <w:rPr>
          <w:rFonts w:eastAsia="Times New Roman" w:cstheme="minorHAnsi"/>
          <w:color w:val="000000"/>
          <w:lang w:val="en-US"/>
        </w:rPr>
      </w:pPr>
    </w:p>
    <w:p w14:paraId="47240556" w14:textId="77777777" w:rsidR="00A432AF" w:rsidRPr="00A432AF" w:rsidRDefault="00A432AF" w:rsidP="00A432AF">
      <w:pPr>
        <w:spacing w:after="0" w:line="240" w:lineRule="auto"/>
        <w:rPr>
          <w:rFonts w:eastAsia="Times New Roman" w:cstheme="minorHAnsi"/>
          <w:b/>
          <w:color w:val="000000"/>
          <w:lang w:val="en-US"/>
        </w:rPr>
      </w:pPr>
    </w:p>
    <w:p w14:paraId="4BED7E92"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Australian Aid. (2016) PAHRODF. PAHRODF. Available at: https://www.pahrodf.org.ph/ [Accessed August 5, 2018].</w:t>
      </w:r>
    </w:p>
    <w:p w14:paraId="711D8812" w14:textId="77777777" w:rsidR="00A432AF" w:rsidRPr="00A432AF" w:rsidRDefault="00A432AF" w:rsidP="00A432AF">
      <w:pPr>
        <w:spacing w:after="0" w:line="240" w:lineRule="auto"/>
        <w:rPr>
          <w:rFonts w:eastAsia="Times New Roman" w:cstheme="minorHAnsi"/>
          <w:lang w:val="en-US"/>
        </w:rPr>
      </w:pPr>
    </w:p>
    <w:p w14:paraId="14F9FCFF"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 xml:space="preserve">Aberystwyth University. (2015) Aberystwyth Mentoring and Coaching Policy. </w:t>
      </w:r>
    </w:p>
    <w:p w14:paraId="556B9030" w14:textId="77777777" w:rsidR="00A432AF" w:rsidRPr="00A432AF" w:rsidRDefault="00A432AF" w:rsidP="00A432AF">
      <w:pPr>
        <w:spacing w:after="0" w:line="240" w:lineRule="auto"/>
        <w:rPr>
          <w:rFonts w:eastAsia="Times New Roman" w:cstheme="minorHAnsi"/>
          <w:lang w:val="en-US"/>
        </w:rPr>
      </w:pPr>
    </w:p>
    <w:p w14:paraId="1A875B34"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Allen, T. &amp; Eby, L. (2010) The Blackwell handbook of mentoring: a multiple perspectives approach, Chichester: Wiley-Blackwell.</w:t>
      </w:r>
    </w:p>
    <w:p w14:paraId="55C2A498" w14:textId="77777777" w:rsidR="00A432AF" w:rsidRPr="00A432AF" w:rsidRDefault="00A432AF" w:rsidP="00A432AF">
      <w:pPr>
        <w:spacing w:after="0" w:line="240" w:lineRule="auto"/>
        <w:rPr>
          <w:rFonts w:eastAsia="Times New Roman" w:cstheme="minorHAnsi"/>
          <w:lang w:val="en-US"/>
        </w:rPr>
      </w:pPr>
    </w:p>
    <w:p w14:paraId="273138BB"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 xml:space="preserve">Allen, T., Finkelstein, L., and Poteet, M. (2009) Designing Workplace Mentoring Programs: An Evidence-Based Approach. Wiley. </w:t>
      </w:r>
    </w:p>
    <w:p w14:paraId="265A2BC9" w14:textId="77777777" w:rsidR="00A432AF" w:rsidRPr="00A432AF" w:rsidRDefault="00A432AF" w:rsidP="00A432AF">
      <w:pPr>
        <w:spacing w:after="0" w:line="240" w:lineRule="auto"/>
        <w:rPr>
          <w:rFonts w:eastAsia="Times New Roman" w:cstheme="minorHAnsi"/>
          <w:lang w:val="en-US"/>
        </w:rPr>
      </w:pPr>
    </w:p>
    <w:p w14:paraId="6C4E8D4B"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The missing entrepreneurs. (2015) Policies for inclusive entrepreneurship in Europe, Paris: OECD.</w:t>
      </w:r>
    </w:p>
    <w:p w14:paraId="1C8F56D5" w14:textId="77777777" w:rsidR="00A432AF" w:rsidRPr="00A432AF" w:rsidRDefault="00A432AF" w:rsidP="00A432AF">
      <w:pPr>
        <w:spacing w:after="0" w:line="240" w:lineRule="auto"/>
        <w:rPr>
          <w:rFonts w:eastAsia="Times New Roman" w:cstheme="minorHAnsi"/>
          <w:lang w:val="en-US"/>
        </w:rPr>
      </w:pPr>
    </w:p>
    <w:p w14:paraId="4202E21A"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Guide to mentoring. (2017). ATL - The Education Union. Available at: https://www.atl.org.uk/advice-and-resources/publications/guide-mentoring [Accessed August 5, 2018].</w:t>
      </w:r>
    </w:p>
    <w:p w14:paraId="03A8C62E" w14:textId="77777777" w:rsidR="00A432AF" w:rsidRPr="00A432AF" w:rsidRDefault="00A432AF" w:rsidP="00A432AF">
      <w:pPr>
        <w:spacing w:after="0" w:line="240" w:lineRule="auto"/>
        <w:rPr>
          <w:rFonts w:eastAsia="Times New Roman" w:cstheme="minorHAnsi"/>
          <w:lang w:val="en-US"/>
        </w:rPr>
      </w:pPr>
    </w:p>
    <w:p w14:paraId="7CC7982B"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Bachkirova, T., Spence, G. &amp; Drake, D. (2017) The SAGE handbook of coaching, Los Angeles: SAGE reference.</w:t>
      </w:r>
    </w:p>
    <w:p w14:paraId="10259213" w14:textId="77777777" w:rsidR="00A432AF" w:rsidRPr="00A432AF" w:rsidRDefault="00A432AF" w:rsidP="00A432AF">
      <w:pPr>
        <w:spacing w:after="0" w:line="240" w:lineRule="auto"/>
        <w:rPr>
          <w:rFonts w:eastAsia="Times New Roman" w:cstheme="minorHAnsi"/>
          <w:lang w:val="en-US"/>
        </w:rPr>
      </w:pPr>
    </w:p>
    <w:p w14:paraId="0C619E79"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 xml:space="preserve">Bangor University (2015). Bangor Mentoring and Coaching Policy. </w:t>
      </w:r>
    </w:p>
    <w:p w14:paraId="18094AF2" w14:textId="77777777" w:rsidR="00A432AF" w:rsidRPr="00A432AF" w:rsidRDefault="00A432AF" w:rsidP="00A432AF">
      <w:pPr>
        <w:spacing w:after="0" w:line="240" w:lineRule="auto"/>
        <w:rPr>
          <w:rFonts w:eastAsia="Times New Roman" w:cstheme="minorHAnsi"/>
          <w:lang w:val="en-US"/>
        </w:rPr>
      </w:pPr>
    </w:p>
    <w:p w14:paraId="378CE83A"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Barker, R. (2003) BTEC national sports studies, London: Heinemann.</w:t>
      </w:r>
    </w:p>
    <w:p w14:paraId="33B5C965" w14:textId="77777777" w:rsidR="00A432AF" w:rsidRPr="00A432AF" w:rsidRDefault="00A432AF" w:rsidP="00A432AF">
      <w:pPr>
        <w:spacing w:after="0" w:line="240" w:lineRule="auto"/>
        <w:rPr>
          <w:rFonts w:eastAsia="Times New Roman" w:cstheme="minorHAnsi"/>
          <w:lang w:val="en-US"/>
        </w:rPr>
      </w:pPr>
    </w:p>
    <w:p w14:paraId="5FFBF6BD"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Bartell, C.A. (2005) Cultivating high-quality teaching through induction and mentoring, Thousand Oaks, CA: Corwin Press.</w:t>
      </w:r>
    </w:p>
    <w:p w14:paraId="6035A2B3" w14:textId="77777777" w:rsidR="00A432AF" w:rsidRPr="00A432AF" w:rsidRDefault="00A432AF" w:rsidP="00A432AF">
      <w:pPr>
        <w:spacing w:after="0" w:line="240" w:lineRule="auto"/>
        <w:rPr>
          <w:rFonts w:eastAsia="Times New Roman" w:cstheme="minorHAnsi"/>
          <w:lang w:val="en-US"/>
        </w:rPr>
      </w:pPr>
    </w:p>
    <w:p w14:paraId="04AF9867"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Bayley, H., Chambers, R. &amp; Donovan, C. (2004) The good mentoring toolkit for healthcare, Oxford: Radcliffe Publishing.</w:t>
      </w:r>
    </w:p>
    <w:p w14:paraId="5F76660E" w14:textId="77777777" w:rsidR="00A432AF" w:rsidRPr="00A432AF" w:rsidRDefault="00A432AF" w:rsidP="00A432AF">
      <w:pPr>
        <w:spacing w:after="0" w:line="240" w:lineRule="auto"/>
        <w:rPr>
          <w:rFonts w:eastAsia="Times New Roman" w:cstheme="minorHAnsi"/>
          <w:lang w:val="en-US"/>
        </w:rPr>
      </w:pPr>
    </w:p>
    <w:p w14:paraId="5C362198"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 xml:space="preserve">Brent, M. &amp; Dent, F.E. (2015) The leaders guide to coaching and mentoring: how to use soft skills to get hard results, Harlow, England: Pearson FT Pub. International. </w:t>
      </w:r>
    </w:p>
    <w:p w14:paraId="23B39D63" w14:textId="77777777" w:rsidR="00A432AF" w:rsidRPr="00A432AF" w:rsidRDefault="00A432AF" w:rsidP="00A432AF">
      <w:pPr>
        <w:spacing w:after="0" w:line="240" w:lineRule="auto"/>
        <w:rPr>
          <w:rFonts w:eastAsia="Times New Roman" w:cstheme="minorHAnsi"/>
          <w:lang w:val="en-US"/>
        </w:rPr>
      </w:pPr>
    </w:p>
    <w:p w14:paraId="3CA99849"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Brockbank, A. &amp; McGill, I. (2006) Facilitating reflective learning through mentoring and coaching, London: Kogan Page.</w:t>
      </w:r>
    </w:p>
    <w:p w14:paraId="514400A2" w14:textId="77777777" w:rsidR="00A432AF" w:rsidRPr="00A432AF" w:rsidRDefault="00A432AF" w:rsidP="00A432AF">
      <w:pPr>
        <w:spacing w:after="0" w:line="240" w:lineRule="auto"/>
        <w:rPr>
          <w:rFonts w:eastAsia="Times New Roman" w:cstheme="minorHAnsi"/>
          <w:lang w:val="en-US"/>
        </w:rPr>
      </w:pPr>
    </w:p>
    <w:p w14:paraId="38D93812"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Burley, S. &amp; Pomphrey, C. (2011) Mentoring and coaching in schools: collaborative professional learning inquiry for teachers, London: Routledge.</w:t>
      </w:r>
    </w:p>
    <w:p w14:paraId="0048CFA1" w14:textId="77777777" w:rsidR="00A432AF" w:rsidRPr="00A432AF" w:rsidRDefault="00A432AF" w:rsidP="00A432AF">
      <w:pPr>
        <w:spacing w:after="0" w:line="240" w:lineRule="auto"/>
        <w:rPr>
          <w:rFonts w:eastAsia="Times New Roman" w:cstheme="minorHAnsi"/>
          <w:lang w:val="en-US"/>
        </w:rPr>
      </w:pPr>
    </w:p>
    <w:p w14:paraId="0451F2BD"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Clutterbuck, D., Poulsen, K.A. &amp; Kochan, F.K. (2013) Developing successful diversity mentoring programmes: an international casebook, Kbh: Nota.</w:t>
      </w:r>
    </w:p>
    <w:p w14:paraId="56D9E652" w14:textId="77777777" w:rsidR="00A432AF" w:rsidRPr="00A432AF" w:rsidRDefault="00A432AF" w:rsidP="00A432AF">
      <w:pPr>
        <w:spacing w:after="0" w:line="240" w:lineRule="auto"/>
        <w:rPr>
          <w:rFonts w:eastAsia="Times New Roman" w:cstheme="minorHAnsi"/>
          <w:lang w:val="en-US"/>
        </w:rPr>
      </w:pPr>
    </w:p>
    <w:p w14:paraId="0065BFB4"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Clutterbuck, D.A. et al. (2017) The SAGE Handbook of Mentoring, London: SAGE Publications.</w:t>
      </w:r>
    </w:p>
    <w:p w14:paraId="5A781CE7" w14:textId="77777777" w:rsidR="00A432AF" w:rsidRPr="00A432AF" w:rsidRDefault="00A432AF" w:rsidP="00A432AF">
      <w:pPr>
        <w:spacing w:after="0" w:line="240" w:lineRule="auto"/>
        <w:rPr>
          <w:rFonts w:eastAsia="Times New Roman" w:cstheme="minorHAnsi"/>
          <w:lang w:val="en-US"/>
        </w:rPr>
      </w:pPr>
    </w:p>
    <w:p w14:paraId="4CF9B2D2"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Colaprete, F.A. (2009) Mentoring in the Criminal Justice Professions: Conveyance of the Craft, Charles C. Thomas.</w:t>
      </w:r>
    </w:p>
    <w:p w14:paraId="224DEF8B" w14:textId="77777777" w:rsidR="00A432AF" w:rsidRPr="00A432AF" w:rsidRDefault="00A432AF" w:rsidP="00A432AF">
      <w:pPr>
        <w:spacing w:after="0" w:line="240" w:lineRule="auto"/>
        <w:rPr>
          <w:rFonts w:eastAsia="Times New Roman" w:cstheme="minorHAnsi"/>
          <w:lang w:val="en-US"/>
        </w:rPr>
      </w:pPr>
    </w:p>
    <w:p w14:paraId="22EB6564"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Corpening, T. (2010) The eye of the mentor: hip to the game, Raleigh, NC: Shadowshaper.</w:t>
      </w:r>
    </w:p>
    <w:p w14:paraId="3B9D6227" w14:textId="77777777" w:rsidR="00A432AF" w:rsidRPr="00A432AF" w:rsidRDefault="00A432AF" w:rsidP="00A432AF">
      <w:pPr>
        <w:spacing w:after="0" w:line="240" w:lineRule="auto"/>
        <w:rPr>
          <w:rFonts w:eastAsia="Times New Roman" w:cstheme="minorHAnsi"/>
          <w:lang w:val="en-US"/>
        </w:rPr>
      </w:pPr>
    </w:p>
    <w:p w14:paraId="1FCB4E2F"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Cox, E., Bachkirova, T. &amp; Clutterbuck, D. (2014) The complete handbook of coaching, London: Sage Publications.</w:t>
      </w:r>
    </w:p>
    <w:p w14:paraId="558316A6" w14:textId="77777777" w:rsidR="00A432AF" w:rsidRPr="00A432AF" w:rsidRDefault="00A432AF" w:rsidP="00A432AF">
      <w:pPr>
        <w:spacing w:after="0" w:line="240" w:lineRule="auto"/>
        <w:rPr>
          <w:rFonts w:eastAsia="Times New Roman" w:cstheme="minorHAnsi"/>
          <w:lang w:val="en-US"/>
        </w:rPr>
      </w:pPr>
    </w:p>
    <w:p w14:paraId="2108B347"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Cranwell-Ward, J., Bossons, P. &amp; Gover, S. (2004) Mentoring: a Henley approach to best practice, Basingstoke: Palgrave Macmillan.</w:t>
      </w:r>
    </w:p>
    <w:p w14:paraId="65D25D84" w14:textId="77777777" w:rsidR="00A432AF" w:rsidRPr="00A432AF" w:rsidRDefault="00A432AF" w:rsidP="00A432AF">
      <w:pPr>
        <w:spacing w:after="0" w:line="240" w:lineRule="auto"/>
        <w:rPr>
          <w:rFonts w:eastAsia="Times New Roman" w:cstheme="minorHAnsi"/>
          <w:lang w:val="en-US"/>
        </w:rPr>
      </w:pPr>
    </w:p>
    <w:p w14:paraId="525A9008"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Crawford, C.J. (2010) Managers guide to mentoring, New York, NY: McGraw-Hill.</w:t>
      </w:r>
    </w:p>
    <w:p w14:paraId="77545F24" w14:textId="77777777" w:rsidR="00A432AF" w:rsidRPr="00A432AF" w:rsidRDefault="00A432AF" w:rsidP="00A432AF">
      <w:pPr>
        <w:spacing w:after="0" w:line="240" w:lineRule="auto"/>
        <w:rPr>
          <w:rFonts w:eastAsia="Times New Roman" w:cstheme="minorHAnsi"/>
          <w:lang w:val="en-US"/>
        </w:rPr>
      </w:pPr>
    </w:p>
    <w:p w14:paraId="7AD2D8EB"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 xml:space="preserve">Douglas, C.A. &amp; Morley, W.H. (2000) Executive coaching: an annotated bibliography, Greensboro, NC: Center for Creative Leadership. </w:t>
      </w:r>
    </w:p>
    <w:p w14:paraId="05D89E7E" w14:textId="77777777" w:rsidR="00A432AF" w:rsidRPr="00A432AF" w:rsidRDefault="00A432AF" w:rsidP="00A432AF">
      <w:pPr>
        <w:spacing w:after="0" w:line="240" w:lineRule="auto"/>
        <w:rPr>
          <w:rFonts w:eastAsia="Times New Roman" w:cstheme="minorHAnsi"/>
          <w:lang w:val="en-US"/>
        </w:rPr>
      </w:pPr>
    </w:p>
    <w:p w14:paraId="624509A2"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Duffy, M.L. &amp; Forgan, J.W. (2005) Mentoring new special education teachers: a guide for mentors and program developers, Thousand Oaks, CA: Corwin Press.</w:t>
      </w:r>
    </w:p>
    <w:p w14:paraId="0D8F7F18" w14:textId="77777777" w:rsidR="00A432AF" w:rsidRPr="00A432AF" w:rsidRDefault="00A432AF" w:rsidP="00A432AF">
      <w:pPr>
        <w:spacing w:after="0" w:line="240" w:lineRule="auto"/>
        <w:rPr>
          <w:rFonts w:eastAsia="Times New Roman" w:cstheme="minorHAnsi"/>
          <w:lang w:val="en-US"/>
        </w:rPr>
      </w:pPr>
    </w:p>
    <w:p w14:paraId="550B7D21"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Eckenwiler, L.A. &amp; Cohn, F.G. (2007) The ethics of bioethics: mapping the moral landscape, Baltimore, MD: Johns Hopkins University Press.</w:t>
      </w:r>
    </w:p>
    <w:p w14:paraId="34CC4AC8" w14:textId="77777777" w:rsidR="00A432AF" w:rsidRPr="00A432AF" w:rsidRDefault="00A432AF" w:rsidP="00A432AF">
      <w:pPr>
        <w:spacing w:after="0" w:line="240" w:lineRule="auto"/>
        <w:rPr>
          <w:rFonts w:eastAsia="Times New Roman" w:cstheme="minorHAnsi"/>
          <w:lang w:val="en-US"/>
        </w:rPr>
      </w:pPr>
    </w:p>
    <w:p w14:paraId="1C5DB4CC"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Fibkins, W.L. (2011) An administrator guide to better teacher mentoring, Lanham, MD: Rowman &amp; Littlefield Education.</w:t>
      </w:r>
    </w:p>
    <w:p w14:paraId="51EDBD4A" w14:textId="77777777" w:rsidR="00A432AF" w:rsidRPr="00A432AF" w:rsidRDefault="00A432AF" w:rsidP="00A432AF">
      <w:pPr>
        <w:spacing w:after="0" w:line="240" w:lineRule="auto"/>
        <w:rPr>
          <w:rFonts w:eastAsia="Times New Roman" w:cstheme="minorHAnsi"/>
          <w:lang w:val="en-US"/>
        </w:rPr>
      </w:pPr>
    </w:p>
    <w:p w14:paraId="2883AF27"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Garvey, B., Stokes, P. &amp; Megginson, D. (2018) Coaching and mentoring: theory and practice, London: SAGE.</w:t>
      </w:r>
    </w:p>
    <w:p w14:paraId="5EE33AE4" w14:textId="77777777" w:rsidR="00A432AF" w:rsidRPr="00A432AF" w:rsidRDefault="00A432AF" w:rsidP="00A432AF">
      <w:pPr>
        <w:spacing w:after="0" w:line="240" w:lineRule="auto"/>
        <w:rPr>
          <w:rFonts w:eastAsia="Times New Roman" w:cstheme="minorHAnsi"/>
          <w:lang w:val="en-US"/>
        </w:rPr>
      </w:pPr>
    </w:p>
    <w:p w14:paraId="4E5720DB"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Hawkins, P. (2013) Coaching, mentoring and organizational consultancy electronic resource, Milton Keynes: Open University Press.</w:t>
      </w:r>
    </w:p>
    <w:p w14:paraId="7F945E33" w14:textId="77777777" w:rsidR="00A432AF" w:rsidRPr="00A432AF" w:rsidRDefault="00A432AF" w:rsidP="00A432AF">
      <w:pPr>
        <w:spacing w:after="0" w:line="240" w:lineRule="auto"/>
        <w:rPr>
          <w:rFonts w:eastAsia="Times New Roman" w:cstheme="minorHAnsi"/>
          <w:lang w:val="en-US"/>
        </w:rPr>
      </w:pPr>
    </w:p>
    <w:p w14:paraId="79EED943"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Hillier, Y. (2005). Reflective teaching in further and adult education. London: Continuum.</w:t>
      </w:r>
    </w:p>
    <w:p w14:paraId="5B11E097" w14:textId="77777777" w:rsidR="00A432AF" w:rsidRPr="00A432AF" w:rsidRDefault="00A432AF" w:rsidP="00A432AF">
      <w:pPr>
        <w:spacing w:after="0" w:line="240" w:lineRule="auto"/>
        <w:rPr>
          <w:rFonts w:eastAsia="Times New Roman" w:cstheme="minorHAnsi"/>
          <w:lang w:val="en-US"/>
        </w:rPr>
      </w:pPr>
    </w:p>
    <w:p w14:paraId="57E1E76E"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Holding, G. (2012) Introducing mentoring: a guide for mentors and organisers of mentoring schemes, Place of publication not identified: Balboa Press.</w:t>
      </w:r>
    </w:p>
    <w:p w14:paraId="10785A5B" w14:textId="77777777" w:rsidR="00A432AF" w:rsidRPr="00A432AF" w:rsidRDefault="00A432AF" w:rsidP="00A432AF">
      <w:pPr>
        <w:spacing w:after="0" w:line="240" w:lineRule="auto"/>
        <w:rPr>
          <w:rFonts w:eastAsia="Times New Roman" w:cstheme="minorHAnsi"/>
          <w:lang w:val="en-US"/>
        </w:rPr>
      </w:pPr>
    </w:p>
    <w:p w14:paraId="742EFE0B"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Ingleby, E., Joyce, D. &amp; Powell, S. (2010) Learning to teach in the lifelong learning sector, New York, NY: Continuum International Pub. Group.</w:t>
      </w:r>
    </w:p>
    <w:p w14:paraId="49D4D38C" w14:textId="77777777" w:rsidR="00A432AF" w:rsidRPr="00A432AF" w:rsidRDefault="00A432AF" w:rsidP="00A432AF">
      <w:pPr>
        <w:spacing w:after="0" w:line="240" w:lineRule="auto"/>
        <w:rPr>
          <w:rFonts w:eastAsia="Times New Roman" w:cstheme="minorHAnsi"/>
          <w:lang w:val="en-US"/>
        </w:rPr>
      </w:pPr>
    </w:p>
    <w:p w14:paraId="04C47CE7"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Johnson, W.B. (2016) On being a mentor: a guide for higher education faculty, New York: Routledge.</w:t>
      </w:r>
    </w:p>
    <w:p w14:paraId="00F851A2" w14:textId="77777777" w:rsidR="00A432AF" w:rsidRPr="00A432AF" w:rsidRDefault="00A432AF" w:rsidP="00A432AF">
      <w:pPr>
        <w:spacing w:after="0" w:line="240" w:lineRule="auto"/>
        <w:rPr>
          <w:rFonts w:eastAsia="Times New Roman" w:cstheme="minorHAnsi"/>
          <w:lang w:val="en-US"/>
        </w:rPr>
      </w:pPr>
    </w:p>
    <w:p w14:paraId="516071AB"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Jones, A. (2012) Workplace Mentoring, IP (Interactive Publications).</w:t>
      </w:r>
    </w:p>
    <w:p w14:paraId="7BF58157" w14:textId="77777777" w:rsidR="00A432AF" w:rsidRPr="00A432AF" w:rsidRDefault="00A432AF" w:rsidP="00A432AF">
      <w:pPr>
        <w:spacing w:after="0" w:line="240" w:lineRule="auto"/>
        <w:rPr>
          <w:rFonts w:eastAsia="Times New Roman" w:cstheme="minorHAnsi"/>
          <w:lang w:val="en-US"/>
        </w:rPr>
      </w:pPr>
    </w:p>
    <w:p w14:paraId="146FD235"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Juan, A, A. (2012) Collaborative and distributed E-research: innovations in technologies, strategies and applications, Hershey, PA: Information Science Reference.</w:t>
      </w:r>
    </w:p>
    <w:p w14:paraId="20DFE870" w14:textId="77777777" w:rsidR="00A432AF" w:rsidRPr="00A432AF" w:rsidRDefault="00A432AF" w:rsidP="00A432AF">
      <w:pPr>
        <w:spacing w:after="0" w:line="240" w:lineRule="auto"/>
        <w:rPr>
          <w:rFonts w:eastAsia="Times New Roman" w:cstheme="minorHAnsi"/>
          <w:lang w:val="en-US"/>
        </w:rPr>
      </w:pPr>
    </w:p>
    <w:p w14:paraId="48E4D878"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Kline, K.A. &amp; P. &amp; S.J.E. (2014) Reflection in action: a guidebook for student affairs professionals and teaching faculty, Sterling, VA: Stylus.</w:t>
      </w:r>
    </w:p>
    <w:p w14:paraId="0E514DE3" w14:textId="77777777" w:rsidR="00A432AF" w:rsidRPr="00A432AF" w:rsidRDefault="00A432AF" w:rsidP="00A432AF">
      <w:pPr>
        <w:spacing w:after="0" w:line="240" w:lineRule="auto"/>
        <w:rPr>
          <w:rFonts w:eastAsia="Times New Roman" w:cstheme="minorHAnsi"/>
          <w:lang w:val="en-US"/>
        </w:rPr>
      </w:pPr>
    </w:p>
    <w:p w14:paraId="6025AC38"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Kleinig, J. &amp; Smith, M.L. (2001) Discretion, Community, and Correctional Ethics, Rowman &amp; Littlefield Publishers.</w:t>
      </w:r>
    </w:p>
    <w:p w14:paraId="204CC75F" w14:textId="77777777" w:rsidR="00A432AF" w:rsidRPr="00A432AF" w:rsidRDefault="00A432AF" w:rsidP="00A432AF">
      <w:pPr>
        <w:spacing w:after="0" w:line="240" w:lineRule="auto"/>
        <w:rPr>
          <w:rFonts w:eastAsia="Times New Roman" w:cstheme="minorHAnsi"/>
          <w:lang w:val="en-US"/>
        </w:rPr>
      </w:pPr>
    </w:p>
    <w:p w14:paraId="3C8957FC"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Kochan, F.K. (2002) The organizational and human dimensions of successful mentoring programs across diverse settings, Greenwich, CT: Information Age Pub.</w:t>
      </w:r>
    </w:p>
    <w:p w14:paraId="7C013B88" w14:textId="77777777" w:rsidR="00A432AF" w:rsidRPr="00A432AF" w:rsidRDefault="00A432AF" w:rsidP="00A432AF">
      <w:pPr>
        <w:spacing w:after="0" w:line="240" w:lineRule="auto"/>
        <w:rPr>
          <w:rFonts w:eastAsia="Times New Roman" w:cstheme="minorHAnsi"/>
          <w:lang w:val="en-US"/>
        </w:rPr>
      </w:pPr>
    </w:p>
    <w:p w14:paraId="5655BA34"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lastRenderedPageBreak/>
        <w:t>Kolb, D.A. (2014) Experiential learning experience as the source of learning and development, Upper Saddle River, NJ: Pearson Education Inc.</w:t>
      </w:r>
    </w:p>
    <w:p w14:paraId="31D54903" w14:textId="77777777" w:rsidR="00A432AF" w:rsidRPr="00A432AF" w:rsidRDefault="00A432AF" w:rsidP="00A432AF">
      <w:pPr>
        <w:spacing w:after="0" w:line="240" w:lineRule="auto"/>
        <w:rPr>
          <w:rFonts w:eastAsia="Times New Roman" w:cstheme="minorHAnsi"/>
          <w:lang w:val="en-US"/>
        </w:rPr>
      </w:pPr>
    </w:p>
    <w:p w14:paraId="5E5ED60C"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Kouzes, J.M., Posner, B.Z. &amp; Biech, E. (2017) A coaches guide to developing exemplary leaders: making the most of the leadership challenge and the leadership practices inventory (LPI), San Francisco, CA: The Leadership Challenge, A Wiley Brand.</w:t>
      </w:r>
    </w:p>
    <w:p w14:paraId="77468204" w14:textId="77777777" w:rsidR="00A432AF" w:rsidRPr="00A432AF" w:rsidRDefault="00A432AF" w:rsidP="00A432AF">
      <w:pPr>
        <w:spacing w:after="0" w:line="240" w:lineRule="auto"/>
        <w:rPr>
          <w:rFonts w:eastAsia="Times New Roman" w:cstheme="minorHAnsi"/>
          <w:lang w:val="en-US"/>
        </w:rPr>
      </w:pPr>
    </w:p>
    <w:p w14:paraId="66F6D6BA"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Lancer, N., Clutterbuck, D. &amp; Megginson, D. (2016) Techniques for coaching and mentoring, London: Routledge.</w:t>
      </w:r>
    </w:p>
    <w:p w14:paraId="26988067" w14:textId="77777777" w:rsidR="00A432AF" w:rsidRPr="00A432AF" w:rsidRDefault="00A432AF" w:rsidP="00A432AF">
      <w:pPr>
        <w:spacing w:after="0" w:line="240" w:lineRule="auto"/>
        <w:rPr>
          <w:rFonts w:eastAsia="Times New Roman" w:cstheme="minorHAnsi"/>
          <w:lang w:val="en-US"/>
        </w:rPr>
      </w:pPr>
    </w:p>
    <w:p w14:paraId="4382B94C"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Levin, R.F. &amp; Feldman, H.R. (2013) Teaching evidence-based practice in nursing, New York: Springer.</w:t>
      </w:r>
    </w:p>
    <w:p w14:paraId="090B7633" w14:textId="77777777" w:rsidR="00A432AF" w:rsidRPr="00A432AF" w:rsidRDefault="00A432AF" w:rsidP="00A432AF">
      <w:pPr>
        <w:spacing w:after="0" w:line="240" w:lineRule="auto"/>
        <w:rPr>
          <w:rFonts w:eastAsia="Times New Roman" w:cstheme="minorHAnsi"/>
          <w:lang w:val="en-US"/>
        </w:rPr>
      </w:pPr>
    </w:p>
    <w:p w14:paraId="17C230FC"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Lunsford, L.G. (2016) A handbook for managing mentoring programs: starting, supporting, and sustaining effective mentoring, London: Routledge.</w:t>
      </w:r>
    </w:p>
    <w:p w14:paraId="0FDDFEB4" w14:textId="77777777" w:rsidR="00A432AF" w:rsidRPr="00A432AF" w:rsidRDefault="00A432AF" w:rsidP="00A432AF">
      <w:pPr>
        <w:spacing w:after="0" w:line="240" w:lineRule="auto"/>
        <w:rPr>
          <w:rFonts w:eastAsia="Times New Roman" w:cstheme="minorHAnsi"/>
          <w:lang w:val="en-US"/>
        </w:rPr>
      </w:pPr>
    </w:p>
    <w:p w14:paraId="5280F9FC"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Martin, D.M. (2010) The A-Z of facilities and property management, London: Thorogood.</w:t>
      </w:r>
    </w:p>
    <w:p w14:paraId="39031409" w14:textId="77777777" w:rsidR="00A432AF" w:rsidRPr="00A432AF" w:rsidRDefault="00A432AF" w:rsidP="00A432AF">
      <w:pPr>
        <w:spacing w:after="0" w:line="240" w:lineRule="auto"/>
        <w:rPr>
          <w:rFonts w:eastAsia="Times New Roman" w:cstheme="minorHAnsi"/>
          <w:lang w:val="en-US"/>
        </w:rPr>
      </w:pPr>
    </w:p>
    <w:p w14:paraId="46246ECB"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McBride, R. (2003) Teacher education policy: some issues arising from research and practice, London: Falmer Press.</w:t>
      </w:r>
    </w:p>
    <w:p w14:paraId="7EBB2D32" w14:textId="77777777" w:rsidR="00A432AF" w:rsidRPr="00A432AF" w:rsidRDefault="00A432AF" w:rsidP="00A432AF">
      <w:pPr>
        <w:spacing w:after="0" w:line="240" w:lineRule="auto"/>
        <w:rPr>
          <w:rFonts w:eastAsia="Times New Roman" w:cstheme="minorHAnsi"/>
          <w:lang w:val="en-US"/>
        </w:rPr>
      </w:pPr>
    </w:p>
    <w:p w14:paraId="6DC1D3FE"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 xml:space="preserve">Moon, J.A. (2013) A handbook of reflective and experiential learning: theory and practice, London: Routledge Falmer. </w:t>
      </w:r>
    </w:p>
    <w:p w14:paraId="3FEEA8CA" w14:textId="77777777" w:rsidR="00A432AF" w:rsidRPr="00A432AF" w:rsidRDefault="00A432AF" w:rsidP="00A432AF">
      <w:pPr>
        <w:spacing w:after="0" w:line="240" w:lineRule="auto"/>
        <w:rPr>
          <w:rFonts w:eastAsia="Times New Roman" w:cstheme="minorHAnsi"/>
          <w:lang w:val="en-US"/>
        </w:rPr>
      </w:pPr>
    </w:p>
    <w:p w14:paraId="41CE2E6A"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 xml:space="preserve">National College for Teaching and Leadership. (2013) The CEDAR Framework. </w:t>
      </w:r>
    </w:p>
    <w:p w14:paraId="1DD77AF7" w14:textId="77777777" w:rsidR="00A432AF" w:rsidRPr="00A432AF" w:rsidRDefault="00A432AF" w:rsidP="00A432AF">
      <w:pPr>
        <w:spacing w:after="0" w:line="240" w:lineRule="auto"/>
        <w:rPr>
          <w:rFonts w:eastAsia="Times New Roman" w:cstheme="minorHAnsi"/>
          <w:lang w:val="en-US"/>
        </w:rPr>
      </w:pPr>
    </w:p>
    <w:p w14:paraId="6E952321"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Nichols-Casebolt, A. (2012) Research Integrity and Responsible Conduct of Research, New York: Oxford University Press.</w:t>
      </w:r>
    </w:p>
    <w:p w14:paraId="6A719B2D" w14:textId="77777777" w:rsidR="00A432AF" w:rsidRPr="00A432AF" w:rsidRDefault="00A432AF" w:rsidP="00A432AF">
      <w:pPr>
        <w:spacing w:before="240" w:after="0" w:line="240" w:lineRule="auto"/>
        <w:rPr>
          <w:rFonts w:eastAsia="Times New Roman" w:cstheme="minorHAnsi"/>
          <w:lang w:val="en-US"/>
        </w:rPr>
      </w:pPr>
      <w:r w:rsidRPr="00A432AF">
        <w:rPr>
          <w:rFonts w:eastAsia="Times New Roman" w:cstheme="minorHAnsi"/>
          <w:lang w:val="en-US"/>
        </w:rPr>
        <w:t xml:space="preserve">Nieuwerburgh, C.van. (2012) Coaching in education: getting better results for students, educators and parents, London: Karnac Books. Holding, G. (2012) Introducing Mentoring. Balboa Press. </w:t>
      </w:r>
    </w:p>
    <w:p w14:paraId="235B06A9" w14:textId="77777777" w:rsidR="00A432AF" w:rsidRPr="00A432AF" w:rsidRDefault="00A432AF" w:rsidP="00A432AF">
      <w:pPr>
        <w:spacing w:before="240" w:after="0" w:line="240" w:lineRule="auto"/>
        <w:rPr>
          <w:rFonts w:eastAsia="Times New Roman" w:cstheme="minorHAnsi"/>
          <w:lang w:val="en-US"/>
        </w:rPr>
      </w:pPr>
      <w:r w:rsidRPr="00A432AF">
        <w:rPr>
          <w:rFonts w:eastAsia="Times New Roman" w:cstheme="minorHAnsi"/>
          <w:lang w:val="en-US"/>
        </w:rPr>
        <w:t>Podsen, I. &amp; Denmark, V.M. (2016) Coaching &amp; mentoring first-year and student teachers, Abingdon, Oxon: Routledge.</w:t>
      </w:r>
    </w:p>
    <w:p w14:paraId="761B37CA" w14:textId="77777777" w:rsidR="00A432AF" w:rsidRPr="00A432AF" w:rsidRDefault="00A432AF" w:rsidP="00A432AF">
      <w:pPr>
        <w:spacing w:after="0" w:line="240" w:lineRule="auto"/>
        <w:rPr>
          <w:rFonts w:eastAsia="Times New Roman" w:cstheme="minorHAnsi"/>
          <w:lang w:val="en-US"/>
        </w:rPr>
      </w:pPr>
    </w:p>
    <w:p w14:paraId="0D383BA5"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Portner, H. (2001) Training mentors is not enough, Thousand Oaks, CA: Corwin Press.</w:t>
      </w:r>
    </w:p>
    <w:p w14:paraId="4154D4C6" w14:textId="77777777" w:rsidR="00A432AF" w:rsidRPr="00A432AF" w:rsidRDefault="00A432AF" w:rsidP="00A432AF">
      <w:pPr>
        <w:spacing w:after="0" w:line="240" w:lineRule="auto"/>
        <w:rPr>
          <w:rFonts w:eastAsia="Times New Roman" w:cstheme="minorHAnsi"/>
          <w:lang w:val="en-US"/>
        </w:rPr>
      </w:pPr>
    </w:p>
    <w:p w14:paraId="6E7393BB"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Ragins, B.R. &amp; Kram, K.E. (2008) The handbook of mentoring at work: theory, research, and practice, Thousand Oaks: SAGE Publications.</w:t>
      </w:r>
    </w:p>
    <w:p w14:paraId="62F76B09" w14:textId="77777777" w:rsidR="00A432AF" w:rsidRPr="00A432AF" w:rsidRDefault="00A432AF" w:rsidP="00A432AF">
      <w:pPr>
        <w:spacing w:after="0" w:line="240" w:lineRule="auto"/>
        <w:rPr>
          <w:rFonts w:eastAsia="Times New Roman" w:cstheme="minorHAnsi"/>
          <w:lang w:val="en-US"/>
        </w:rPr>
      </w:pPr>
    </w:p>
    <w:p w14:paraId="48D22D15"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Resnik, D.B., (2005) The ethics of science: an introduction, London: Routledge.</w:t>
      </w:r>
    </w:p>
    <w:p w14:paraId="42185F49" w14:textId="77777777" w:rsidR="00A432AF" w:rsidRPr="00A432AF" w:rsidRDefault="00A432AF" w:rsidP="00A432AF">
      <w:pPr>
        <w:spacing w:after="0" w:line="240" w:lineRule="auto"/>
        <w:rPr>
          <w:rFonts w:eastAsia="Times New Roman" w:cstheme="minorHAnsi"/>
          <w:lang w:val="en-US"/>
        </w:rPr>
      </w:pPr>
    </w:p>
    <w:p w14:paraId="3C0C597F"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Riddle, D.D.J., Hoole, E.R. &amp; Gullette, E.C.D. (2015) The Center for creative leadership handbook of coaching in organizations, San Francisco, CA: Jossey-Bass, A Wiley Brand.</w:t>
      </w:r>
    </w:p>
    <w:p w14:paraId="40D23F25" w14:textId="77777777" w:rsidR="00A432AF" w:rsidRPr="00A432AF" w:rsidRDefault="00A432AF" w:rsidP="00A432AF">
      <w:pPr>
        <w:spacing w:after="0" w:line="240" w:lineRule="auto"/>
        <w:rPr>
          <w:rFonts w:eastAsia="Times New Roman" w:cstheme="minorHAnsi"/>
          <w:lang w:val="en-US"/>
        </w:rPr>
      </w:pPr>
    </w:p>
    <w:p w14:paraId="5CCD3865"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Robinson, C., Bingle, B. &amp; Howard, C. (2013) Primary school placements: a critical guide to outstanding teaching, Northwich: Critical Publishing.</w:t>
      </w:r>
    </w:p>
    <w:p w14:paraId="47F95F3F" w14:textId="77777777" w:rsidR="00A432AF" w:rsidRPr="00A432AF" w:rsidRDefault="00A432AF" w:rsidP="00A432AF">
      <w:pPr>
        <w:spacing w:after="0" w:line="240" w:lineRule="auto"/>
        <w:rPr>
          <w:rFonts w:eastAsia="Times New Roman" w:cstheme="minorHAnsi"/>
          <w:lang w:val="en-US"/>
        </w:rPr>
      </w:pPr>
    </w:p>
    <w:p w14:paraId="44C7C496"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Robinson, D. (2015) Soul mentoring: discover the ancient art of caring for others, Eugene, OR: Cascade Books.</w:t>
      </w:r>
    </w:p>
    <w:p w14:paraId="3ECD7A05" w14:textId="77777777" w:rsidR="00A432AF" w:rsidRPr="00A432AF" w:rsidRDefault="00A432AF" w:rsidP="00A432AF">
      <w:pPr>
        <w:spacing w:after="0" w:line="240" w:lineRule="auto"/>
        <w:rPr>
          <w:rFonts w:eastAsia="Times New Roman" w:cstheme="minorHAnsi"/>
          <w:lang w:val="en-US"/>
        </w:rPr>
      </w:pPr>
    </w:p>
    <w:p w14:paraId="6BCEEF40"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Rubenfeld, M.G. &amp; Scheffer, B.K. (2014) Critical thinking tactics for nurses: tracking, assessing, and cultivating thinking to improve competency-based strategies, Sudbury, MA: Jones and Bartlett.</w:t>
      </w:r>
    </w:p>
    <w:p w14:paraId="7CBD577E" w14:textId="77777777" w:rsidR="00A432AF" w:rsidRPr="00A432AF" w:rsidRDefault="00A432AF" w:rsidP="00A432AF">
      <w:pPr>
        <w:spacing w:after="0" w:line="240" w:lineRule="auto"/>
        <w:rPr>
          <w:rFonts w:eastAsia="Times New Roman" w:cstheme="minorHAnsi"/>
          <w:lang w:val="en-US"/>
        </w:rPr>
      </w:pPr>
    </w:p>
    <w:p w14:paraId="06D276B0"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Shaw, P. (2011). Making Difficult Decisions. Hoboken: John Wiley &amp; Sons.</w:t>
      </w:r>
    </w:p>
    <w:p w14:paraId="531FDF6E"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 xml:space="preserve">The Department for Education. (2014) Statutory policies for schools. Advice on the policies and documents that governing bodies and proprietors of schools are required to have by law. </w:t>
      </w:r>
    </w:p>
    <w:p w14:paraId="08CB6039" w14:textId="77777777" w:rsidR="00A432AF" w:rsidRPr="00A432AF" w:rsidRDefault="00A432AF" w:rsidP="00A432AF">
      <w:pPr>
        <w:spacing w:after="0" w:line="240" w:lineRule="auto"/>
        <w:rPr>
          <w:rFonts w:eastAsia="Times New Roman" w:cstheme="minorHAnsi"/>
          <w:lang w:val="en-US"/>
        </w:rPr>
      </w:pPr>
    </w:p>
    <w:p w14:paraId="7D371556"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University of Bedfordshire (2015). Mentoring and Coaching Policy.</w:t>
      </w:r>
    </w:p>
    <w:p w14:paraId="453A9202" w14:textId="77777777" w:rsidR="00A432AF" w:rsidRPr="00A432AF" w:rsidRDefault="00A432AF" w:rsidP="00A432AF">
      <w:pPr>
        <w:spacing w:after="0" w:line="240" w:lineRule="auto"/>
        <w:rPr>
          <w:rFonts w:eastAsia="Times New Roman" w:cstheme="minorHAnsi"/>
          <w:lang w:val="en-US"/>
        </w:rPr>
      </w:pPr>
    </w:p>
    <w:p w14:paraId="730023AD"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 xml:space="preserve">University of New South Wales - Human Resources - GROW Model of Coaching (2018) University of New South Wales - Human Resources - GROW Model of Coaching. [ONLINE] Available at: https://www.hr.unsw.edu.au/services/peopleandculture/grow.html. [Accessed 01 August 2018]. </w:t>
      </w:r>
    </w:p>
    <w:p w14:paraId="67659297" w14:textId="77777777" w:rsidR="00A432AF" w:rsidRPr="00A432AF" w:rsidRDefault="00A432AF" w:rsidP="00A432AF">
      <w:pPr>
        <w:spacing w:after="0" w:line="240" w:lineRule="auto"/>
        <w:rPr>
          <w:rFonts w:eastAsia="Times New Roman" w:cstheme="minorHAnsi"/>
          <w:lang w:val="en-US"/>
        </w:rPr>
      </w:pPr>
    </w:p>
    <w:p w14:paraId="3EB596AD"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Valcik, N.A. &amp; Benavides, T.J. (2012) Practical human resources for public managers: a case study approach, Boca Raton, FL: CRC Press.</w:t>
      </w:r>
    </w:p>
    <w:p w14:paraId="5762534C" w14:textId="77777777" w:rsidR="00A432AF" w:rsidRPr="00A432AF" w:rsidRDefault="00A432AF" w:rsidP="00A432AF">
      <w:pPr>
        <w:spacing w:after="0" w:line="240" w:lineRule="auto"/>
        <w:rPr>
          <w:rFonts w:eastAsia="Times New Roman" w:cstheme="minorHAnsi"/>
          <w:lang w:val="en-US"/>
        </w:rPr>
      </w:pPr>
    </w:p>
    <w:p w14:paraId="72226C63"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Whittaker, M. &amp; Cartwright, A. (1997) 32 activities on coaching and mentoring, Aldershot: Gower.</w:t>
      </w:r>
    </w:p>
    <w:p w14:paraId="2DA513BE" w14:textId="77777777" w:rsidR="00A432AF" w:rsidRPr="00A432AF" w:rsidRDefault="00A432AF" w:rsidP="00A432AF">
      <w:pPr>
        <w:spacing w:after="0" w:line="240" w:lineRule="auto"/>
        <w:rPr>
          <w:rFonts w:eastAsia="Times New Roman" w:cstheme="minorHAnsi"/>
          <w:lang w:val="en-US"/>
        </w:rPr>
      </w:pPr>
    </w:p>
    <w:p w14:paraId="30F32A94"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Weiss, T. &amp; Kolberg, S. (2003) Coaching competencies and corporate leadership, Boca Raton: St. Lucie Press.</w:t>
      </w:r>
    </w:p>
    <w:p w14:paraId="7BB53F56" w14:textId="77777777" w:rsidR="00A432AF" w:rsidRPr="00A432AF" w:rsidRDefault="00A432AF" w:rsidP="00A432AF">
      <w:pPr>
        <w:spacing w:after="0" w:line="240" w:lineRule="auto"/>
        <w:rPr>
          <w:rFonts w:eastAsia="Times New Roman" w:cstheme="minorHAnsi"/>
          <w:lang w:val="en-US"/>
        </w:rPr>
      </w:pPr>
    </w:p>
    <w:p w14:paraId="734BC2B2"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Yvonne, H (2005) Reflective teaching in further and adult education, London: Continuum.</w:t>
      </w:r>
    </w:p>
    <w:p w14:paraId="3C791BA1" w14:textId="77777777" w:rsidR="00A432AF" w:rsidRPr="00A432AF" w:rsidRDefault="00A432AF" w:rsidP="00A432AF">
      <w:pPr>
        <w:spacing w:after="0" w:line="240" w:lineRule="auto"/>
        <w:rPr>
          <w:rFonts w:eastAsia="Times New Roman" w:cstheme="minorHAnsi"/>
          <w:lang w:val="en-US"/>
        </w:rPr>
      </w:pPr>
    </w:p>
    <w:p w14:paraId="0D25B7CC" w14:textId="77777777" w:rsidR="00A432AF" w:rsidRPr="00A432AF" w:rsidRDefault="00A432AF" w:rsidP="00A432AF">
      <w:pPr>
        <w:spacing w:after="0" w:line="240" w:lineRule="auto"/>
        <w:rPr>
          <w:rFonts w:eastAsia="Times New Roman" w:cstheme="minorHAnsi"/>
          <w:lang w:val="en-US"/>
        </w:rPr>
      </w:pPr>
      <w:r w:rsidRPr="00A432AF">
        <w:rPr>
          <w:rFonts w:eastAsia="Times New Roman" w:cstheme="minorHAnsi"/>
          <w:lang w:val="en-US"/>
        </w:rPr>
        <w:t>Zachary, L. (2013). Creating a mentoring culture. San Francisco, Calif.: Jossey-Bass.</w:t>
      </w:r>
    </w:p>
    <w:p w14:paraId="2F215EBD" w14:textId="77777777" w:rsidR="00A432AF" w:rsidRDefault="00A432AF"/>
    <w:sectPr w:rsidR="00A432A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9299DA" w14:textId="77777777" w:rsidR="00000000" w:rsidRDefault="008E11F8">
      <w:pPr>
        <w:spacing w:after="0" w:line="240" w:lineRule="auto"/>
      </w:pPr>
      <w:r>
        <w:separator/>
      </w:r>
    </w:p>
  </w:endnote>
  <w:endnote w:type="continuationSeparator" w:id="0">
    <w:p w14:paraId="79D5289D" w14:textId="77777777" w:rsidR="00000000" w:rsidRDefault="008E1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4064173"/>
      <w:docPartObj>
        <w:docPartGallery w:val="Page Numbers (Bottom of Page)"/>
        <w:docPartUnique/>
      </w:docPartObj>
    </w:sdtPr>
    <w:sdtEndPr>
      <w:rPr>
        <w:noProof/>
      </w:rPr>
    </w:sdtEndPr>
    <w:sdtContent>
      <w:p w14:paraId="10756CCE" w14:textId="77777777" w:rsidR="00DD443F" w:rsidRDefault="008E11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DBD882" w14:textId="77777777" w:rsidR="00DD443F" w:rsidRDefault="008E1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7374C8" w14:textId="77777777" w:rsidR="00000000" w:rsidRDefault="008E11F8">
      <w:pPr>
        <w:spacing w:after="0" w:line="240" w:lineRule="auto"/>
      </w:pPr>
      <w:r>
        <w:separator/>
      </w:r>
    </w:p>
  </w:footnote>
  <w:footnote w:type="continuationSeparator" w:id="0">
    <w:p w14:paraId="0946689A" w14:textId="77777777" w:rsidR="00000000" w:rsidRDefault="008E11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473802"/>
    <w:multiLevelType w:val="hybridMultilevel"/>
    <w:tmpl w:val="D63C7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2A3C35"/>
    <w:multiLevelType w:val="hybridMultilevel"/>
    <w:tmpl w:val="E12CE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375AEC"/>
    <w:multiLevelType w:val="hybridMultilevel"/>
    <w:tmpl w:val="CA4C7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2AF"/>
    <w:rsid w:val="00680965"/>
    <w:rsid w:val="008E11F8"/>
    <w:rsid w:val="00A432AF"/>
    <w:rsid w:val="00AA5726"/>
    <w:rsid w:val="00DF5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D417C"/>
  <w15:chartTrackingRefBased/>
  <w15:docId w15:val="{EECCF7E5-FDEF-40C5-9CF1-0FE94979E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32A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432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2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google.co.uk/imgres?imgurl=http://whelf.ac.uk/wp-content/uploads/2016/07/UWTSD-logo.png&amp;imgrefurl=http://whelf.ac.uk/news-from-uwtsd/&amp;docid=u69NXeqhZj17bM&amp;tbnid=h-R9PVz6pm4BTM:&amp;vet=10ahUKEwjnosb43YXdAhURPsAKHa8XDlAQMwg0KAAwAA..i&amp;w=365&amp;h=121&amp;bih=1053&amp;biw=958&amp;q=uwtsd%20logo%20png&amp;ved=0ahUKEwjnosb43YXdAhURPsAKHa8XDlAQMwg0KAAwAA&amp;iact=mrc&amp;uact=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22</Pages>
  <Words>9506</Words>
  <Characters>54185</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Evans</dc:creator>
  <cp:keywords/>
  <dc:description/>
  <cp:lastModifiedBy>James Evans</cp:lastModifiedBy>
  <cp:revision>3</cp:revision>
  <dcterms:created xsi:type="dcterms:W3CDTF">2018-08-30T13:55:00Z</dcterms:created>
  <dcterms:modified xsi:type="dcterms:W3CDTF">2018-08-31T09:29:00Z</dcterms:modified>
</cp:coreProperties>
</file>