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247" w:firstLine="0"/>
        <w:jc w:val="left"/>
        <w:rPr>
          <w:rFonts w:ascii="Arial" w:hAnsi="Arial" w:cs="Arial" w:eastAsia="Arial"/>
          <w:color w:val="auto"/>
          <w:spacing w:val="0"/>
          <w:position w:val="0"/>
          <w:sz w:val="24"/>
          <w:shd w:fill="auto" w:val="clear"/>
        </w:rPr>
      </w:pPr>
      <w:r>
        <w:object w:dxaOrig="2714" w:dyaOrig="1072">
          <v:rect xmlns:o="urn:schemas-microsoft-com:office:office" xmlns:v="urn:schemas-microsoft-com:vml" id="rectole0000000000" style="width:135.700000pt;height:53.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tbl>
      <w:tblPr/>
      <w:tblGrid>
        <w:gridCol w:w="3420"/>
        <w:gridCol w:w="3404"/>
        <w:gridCol w:w="2536"/>
        <w:gridCol w:w="2001"/>
      </w:tblGrid>
      <w:tr>
        <w:trPr>
          <w:trHeight w:val="494" w:hRule="auto"/>
          <w:jc w:val="left"/>
        </w:trPr>
        <w:tc>
          <w:tcPr>
            <w:tcW w:w="3420"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Student</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Name:</w:t>
            </w:r>
          </w:p>
        </w:tc>
        <w:tc>
          <w:tcPr>
            <w:tcW w:w="340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4"/>
                <w:shd w:fill="auto" w:val="clear"/>
              </w:rPr>
              <w:t xml:space="preserve">Roussebelle</w:t>
            </w:r>
          </w:p>
        </w:tc>
        <w:tc>
          <w:tcPr>
            <w:tcW w:w="253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Student</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ID</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Number:</w:t>
            </w:r>
          </w:p>
        </w:tc>
        <w:tc>
          <w:tcPr>
            <w:tcW w:w="2001"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508" w:hRule="auto"/>
          <w:jc w:val="left"/>
        </w:trPr>
        <w:tc>
          <w:tcPr>
            <w:tcW w:w="3420"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Programme:</w:t>
            </w:r>
          </w:p>
        </w:tc>
        <w:tc>
          <w:tcPr>
            <w:tcW w:w="7941" w:type="dxa"/>
            <w:gridSpan w:val="3"/>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1"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BA</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SOTAH</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International</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Hotel</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Management</w:t>
            </w:r>
          </w:p>
        </w:tc>
      </w:tr>
      <w:tr>
        <w:trPr>
          <w:trHeight w:val="508" w:hRule="auto"/>
          <w:jc w:val="left"/>
        </w:trPr>
        <w:tc>
          <w:tcPr>
            <w:tcW w:w="3420"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Module:</w:t>
            </w:r>
          </w:p>
        </w:tc>
        <w:tc>
          <w:tcPr>
            <w:tcW w:w="7941" w:type="dxa"/>
            <w:gridSpan w:val="3"/>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1"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Financial</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Management</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for</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the</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Hotel</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Industry</w:t>
            </w:r>
          </w:p>
        </w:tc>
      </w:tr>
      <w:tr>
        <w:trPr>
          <w:trHeight w:val="757" w:hRule="auto"/>
          <w:jc w:val="left"/>
        </w:trPr>
        <w:tc>
          <w:tcPr>
            <w:tcW w:w="3420"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Module</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Code:</w:t>
            </w:r>
          </w:p>
        </w:tc>
        <w:tc>
          <w:tcPr>
            <w:tcW w:w="340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1" w:after="0" w:line="360"/>
              <w:ind w:right="0" w:left="105"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BMIH5007</w:t>
            </w:r>
          </w:p>
        </w:tc>
        <w:tc>
          <w:tcPr>
            <w:tcW w:w="253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0" w:after="160" w:line="360"/>
              <w:ind w:right="0" w:left="0" w:firstLine="0"/>
              <w:jc w:val="both"/>
              <w:rPr>
                <w:color w:val="auto"/>
                <w:position w:val="0"/>
                <w:shd w:fill="auto" w:val="clear"/>
              </w:rPr>
            </w:pPr>
            <w:r>
              <w:rPr>
                <w:rFonts w:ascii="Arial" w:hAnsi="Arial" w:cs="Arial" w:eastAsia="Arial"/>
                <w:b/>
                <w:color w:val="auto"/>
                <w:spacing w:val="0"/>
                <w:position w:val="0"/>
                <w:sz w:val="24"/>
                <w:shd w:fill="auto" w:val="clear"/>
              </w:rPr>
              <w:t xml:space="preserve">Contribution</w:t>
              <w:tab/>
            </w:r>
            <w:r>
              <w:rPr>
                <w:rFonts w:ascii="Arial" w:hAnsi="Arial" w:cs="Arial" w:eastAsia="Arial"/>
                <w:b/>
                <w:color w:val="auto"/>
                <w:spacing w:val="-2"/>
                <w:position w:val="0"/>
                <w:sz w:val="24"/>
                <w:shd w:fill="auto" w:val="clear"/>
              </w:rPr>
              <w:t xml:space="preserve">to</w:t>
            </w:r>
            <w:r>
              <w:rPr>
                <w:rFonts w:ascii="Arial" w:hAnsi="Arial" w:cs="Arial" w:eastAsia="Arial"/>
                <w:b/>
                <w:color w:val="auto"/>
                <w:spacing w:val="-59"/>
                <w:position w:val="0"/>
                <w:sz w:val="24"/>
                <w:shd w:fill="auto" w:val="clear"/>
              </w:rPr>
              <w:t xml:space="preserve"> </w:t>
            </w:r>
            <w:r>
              <w:rPr>
                <w:rFonts w:ascii="Arial" w:hAnsi="Arial" w:cs="Arial" w:eastAsia="Arial"/>
                <w:b/>
                <w:color w:val="auto"/>
                <w:spacing w:val="0"/>
                <w:position w:val="0"/>
                <w:sz w:val="24"/>
                <w:shd w:fill="auto" w:val="clear"/>
              </w:rPr>
              <w:t xml:space="preserve">Overall </w:t>
            </w:r>
            <w:r>
              <w:rPr>
                <w:rFonts w:ascii="Arial" w:hAnsi="Arial" w:cs="Arial" w:eastAsia="Arial"/>
                <w:b/>
                <w:color w:val="auto"/>
                <w:spacing w:val="-1"/>
                <w:position w:val="0"/>
                <w:sz w:val="24"/>
                <w:shd w:fill="auto" w:val="clear"/>
              </w:rPr>
              <w:t xml:space="preserve">Module </w:t>
            </w:r>
            <w:r>
              <w:rPr>
                <w:rFonts w:ascii="Arial" w:hAnsi="Arial" w:cs="Arial" w:eastAsia="Arial"/>
                <w:b/>
                <w:color w:val="auto"/>
                <w:spacing w:val="0"/>
                <w:position w:val="0"/>
                <w:sz w:val="24"/>
                <w:shd w:fill="auto" w:val="clear"/>
              </w:rPr>
              <w:t xml:space="preserve">Assessment</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w:t>
            </w:r>
          </w:p>
        </w:tc>
        <w:tc>
          <w:tcPr>
            <w:tcW w:w="2001"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0" w:after="0" w:line="360"/>
              <w:ind w:right="0" w:left="109"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50%</w:t>
            </w:r>
          </w:p>
        </w:tc>
      </w:tr>
      <w:tr>
        <w:trPr>
          <w:trHeight w:val="494" w:hRule="auto"/>
          <w:jc w:val="left"/>
        </w:trPr>
        <w:tc>
          <w:tcPr>
            <w:tcW w:w="3420"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Lecturer:</w:t>
            </w:r>
          </w:p>
        </w:tc>
        <w:tc>
          <w:tcPr>
            <w:tcW w:w="340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0"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Dale</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Clarke</w:t>
            </w:r>
          </w:p>
        </w:tc>
        <w:tc>
          <w:tcPr>
            <w:tcW w:w="253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Internal</w:t>
            </w:r>
            <w:r>
              <w:rPr>
                <w:rFonts w:ascii="Arial" w:hAnsi="Arial" w:cs="Arial" w:eastAsia="Arial"/>
                <w:b/>
                <w:color w:val="auto"/>
                <w:spacing w:val="-6"/>
                <w:position w:val="0"/>
                <w:sz w:val="24"/>
                <w:shd w:fill="auto" w:val="clear"/>
              </w:rPr>
              <w:t xml:space="preserve"> </w:t>
            </w:r>
            <w:r>
              <w:rPr>
                <w:rFonts w:ascii="Arial" w:hAnsi="Arial" w:cs="Arial" w:eastAsia="Arial"/>
                <w:b/>
                <w:color w:val="auto"/>
                <w:spacing w:val="0"/>
                <w:position w:val="0"/>
                <w:sz w:val="24"/>
                <w:shd w:fill="auto" w:val="clear"/>
              </w:rPr>
              <w:t xml:space="preserve">Verifier:</w:t>
            </w:r>
          </w:p>
        </w:tc>
        <w:tc>
          <w:tcPr>
            <w:tcW w:w="2001"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0" w:after="0" w:line="360"/>
              <w:ind w:right="0" w:left="109" w:firstLine="0"/>
              <w:jc w:val="both"/>
              <w:rPr>
                <w:color w:val="auto"/>
                <w:position w:val="0"/>
                <w:shd w:fill="auto" w:val="clear"/>
              </w:rPr>
            </w:pPr>
            <w:r>
              <w:rPr>
                <w:rFonts w:ascii="Arial" w:hAnsi="Arial" w:cs="Arial" w:eastAsia="Arial"/>
                <w:b/>
                <w:color w:val="auto"/>
                <w:spacing w:val="0"/>
                <w:position w:val="0"/>
                <w:sz w:val="24"/>
                <w:shd w:fill="auto" w:val="clear"/>
              </w:rPr>
              <w:t xml:space="preserve">Emily</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Williams</w:t>
            </w:r>
          </w:p>
        </w:tc>
      </w:tr>
      <w:tr>
        <w:trPr>
          <w:trHeight w:val="743" w:hRule="auto"/>
          <w:jc w:val="left"/>
        </w:trPr>
        <w:tc>
          <w:tcPr>
            <w:tcW w:w="3420"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Assignment</w:t>
            </w:r>
            <w:r>
              <w:rPr>
                <w:rFonts w:ascii="Arial" w:hAnsi="Arial" w:cs="Arial" w:eastAsia="Arial"/>
                <w:b/>
                <w:color w:val="auto"/>
                <w:spacing w:val="-5"/>
                <w:position w:val="0"/>
                <w:sz w:val="24"/>
                <w:shd w:fill="auto" w:val="clear"/>
              </w:rPr>
              <w:t xml:space="preserve"> </w:t>
            </w:r>
            <w:r>
              <w:rPr>
                <w:rFonts w:ascii="Arial" w:hAnsi="Arial" w:cs="Arial" w:eastAsia="Arial"/>
                <w:b/>
                <w:color w:val="auto"/>
                <w:spacing w:val="0"/>
                <w:position w:val="0"/>
                <w:sz w:val="24"/>
                <w:shd w:fill="auto" w:val="clear"/>
              </w:rPr>
              <w:t xml:space="preserve">Title:</w:t>
            </w:r>
          </w:p>
        </w:tc>
        <w:tc>
          <w:tcPr>
            <w:tcW w:w="340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0"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Assignment</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1:</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Hilton</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Hotel</w:t>
            </w:r>
          </w:p>
        </w:tc>
        <w:tc>
          <w:tcPr>
            <w:tcW w:w="253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tabs>
                <w:tab w:val="left" w:pos="965" w:leader="none"/>
                <w:tab w:val="left" w:pos="1863" w:leader="none"/>
              </w:tabs>
              <w:spacing w:before="120" w:after="0" w:line="360"/>
              <w:ind w:right="97"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Word</w:t>
              <w:tab/>
              <w:t xml:space="preserve">count</w:t>
              <w:tab/>
            </w:r>
            <w:r>
              <w:rPr>
                <w:rFonts w:ascii="Arial" w:hAnsi="Arial" w:cs="Arial" w:eastAsia="Arial"/>
                <w:b/>
                <w:color w:val="auto"/>
                <w:spacing w:val="-2"/>
                <w:position w:val="0"/>
                <w:sz w:val="24"/>
                <w:shd w:fill="auto" w:val="clear"/>
              </w:rPr>
              <w:t xml:space="preserve">(or</w:t>
            </w:r>
            <w:r>
              <w:rPr>
                <w:rFonts w:ascii="Arial" w:hAnsi="Arial" w:cs="Arial" w:eastAsia="Arial"/>
                <w:b/>
                <w:color w:val="auto"/>
                <w:spacing w:val="-59"/>
                <w:position w:val="0"/>
                <w:sz w:val="24"/>
                <w:shd w:fill="auto" w:val="clear"/>
              </w:rPr>
              <w:t xml:space="preserve"> </w:t>
            </w:r>
            <w:r>
              <w:rPr>
                <w:rFonts w:ascii="Arial" w:hAnsi="Arial" w:cs="Arial" w:eastAsia="Arial"/>
                <w:b/>
                <w:color w:val="auto"/>
                <w:spacing w:val="0"/>
                <w:position w:val="0"/>
                <w:sz w:val="24"/>
                <w:shd w:fill="auto" w:val="clear"/>
              </w:rPr>
              <w:t xml:space="preserve">equivalent):</w:t>
            </w:r>
          </w:p>
        </w:tc>
        <w:tc>
          <w:tcPr>
            <w:tcW w:w="2001"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0" w:after="0" w:line="360"/>
              <w:ind w:right="0" w:left="109"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2000</w:t>
            </w:r>
          </w:p>
        </w:tc>
      </w:tr>
      <w:tr>
        <w:trPr>
          <w:trHeight w:val="1002" w:hRule="auto"/>
          <w:jc w:val="left"/>
        </w:trPr>
        <w:tc>
          <w:tcPr>
            <w:tcW w:w="3420"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711"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Submission</w:t>
            </w:r>
            <w:r>
              <w:rPr>
                <w:rFonts w:ascii="Arial" w:hAnsi="Arial" w:cs="Arial" w:eastAsia="Arial"/>
                <w:b/>
                <w:color w:val="auto"/>
                <w:spacing w:val="-59"/>
                <w:position w:val="0"/>
                <w:sz w:val="24"/>
                <w:shd w:fill="auto" w:val="clear"/>
              </w:rPr>
              <w:t xml:space="preserve"> </w:t>
            </w:r>
            <w:r>
              <w:rPr>
                <w:rFonts w:ascii="Arial" w:hAnsi="Arial" w:cs="Arial" w:eastAsia="Arial"/>
                <w:b/>
                <w:color w:val="auto"/>
                <w:spacing w:val="0"/>
                <w:position w:val="0"/>
                <w:sz w:val="24"/>
                <w:shd w:fill="auto" w:val="clear"/>
              </w:rPr>
              <w:t xml:space="preserve">Deadline:</w:t>
            </w:r>
          </w:p>
        </w:tc>
        <w:tc>
          <w:tcPr>
            <w:tcW w:w="3404"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4" w:after="0" w:line="360"/>
              <w:ind w:right="0"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1</w:t>
            </w:r>
            <w:r>
              <w:rPr>
                <w:rFonts w:ascii="Arial" w:hAnsi="Arial" w:cs="Arial" w:eastAsia="Arial"/>
                <w:b/>
                <w:color w:val="auto"/>
                <w:spacing w:val="-2"/>
                <w:position w:val="0"/>
                <w:sz w:val="24"/>
                <w:shd w:fill="auto" w:val="clear"/>
              </w:rPr>
              <w:t xml:space="preserve"> </w:t>
            </w:r>
            <w:r>
              <w:rPr>
                <w:rFonts w:ascii="Arial" w:hAnsi="Arial" w:cs="Arial" w:eastAsia="Arial"/>
                <w:b/>
                <w:color w:val="auto"/>
                <w:spacing w:val="0"/>
                <w:position w:val="0"/>
                <w:sz w:val="24"/>
                <w:shd w:fill="auto" w:val="clear"/>
              </w:rPr>
              <w:t xml:space="preserve">June</w:t>
            </w:r>
            <w:r>
              <w:rPr>
                <w:rFonts w:ascii="Arial" w:hAnsi="Arial" w:cs="Arial" w:eastAsia="Arial"/>
                <w:b/>
                <w:color w:val="auto"/>
                <w:spacing w:val="-2"/>
                <w:position w:val="0"/>
                <w:sz w:val="24"/>
                <w:shd w:fill="auto" w:val="clear"/>
              </w:rPr>
              <w:t xml:space="preserve"> </w:t>
            </w:r>
            <w:r>
              <w:rPr>
                <w:rFonts w:ascii="Arial" w:hAnsi="Arial" w:cs="Arial" w:eastAsia="Arial"/>
                <w:b/>
                <w:color w:val="auto"/>
                <w:spacing w:val="0"/>
                <w:position w:val="0"/>
                <w:sz w:val="24"/>
                <w:shd w:fill="auto" w:val="clear"/>
              </w:rPr>
              <w:t xml:space="preserve">2022</w:t>
            </w:r>
          </w:p>
        </w:tc>
        <w:tc>
          <w:tcPr>
            <w:tcW w:w="2536" w:type="dxa"/>
            <w:tcBorders>
              <w:top w:val="single" w:color="000000" w:sz="4"/>
              <w:left w:val="single" w:color="000000" w:sz="4"/>
              <w:bottom w:val="single" w:color="000000" w:sz="4"/>
              <w:right w:val="single" w:color="000000" w:sz="4"/>
            </w:tcBorders>
            <w:shd w:color="auto" w:fill="d9d9d9" w:val="clear"/>
            <w:tcMar>
              <w:left w:w="0" w:type="dxa"/>
              <w:right w:w="0" w:type="dxa"/>
            </w:tcMar>
            <w:vAlign w:val="top"/>
          </w:tcPr>
          <w:p>
            <w:pPr>
              <w:spacing w:before="120" w:after="0" w:line="360"/>
              <w:ind w:right="96" w:left="105" w:firstLine="0"/>
              <w:jc w:val="both"/>
              <w:rPr>
                <w:color w:val="auto"/>
                <w:position w:val="0"/>
                <w:shd w:fill="auto" w:val="clear"/>
              </w:rPr>
            </w:pPr>
            <w:r>
              <w:rPr>
                <w:rFonts w:ascii="Arial" w:hAnsi="Arial" w:cs="Arial" w:eastAsia="Arial"/>
                <w:b/>
                <w:color w:val="auto"/>
                <w:spacing w:val="0"/>
                <w:position w:val="0"/>
                <w:sz w:val="24"/>
                <w:shd w:fill="auto" w:val="clear"/>
              </w:rPr>
              <w:t xml:space="preserve">Return</w:t>
            </w:r>
            <w:r>
              <w:rPr>
                <w:rFonts w:ascii="Arial" w:hAnsi="Arial" w:cs="Arial" w:eastAsia="Arial"/>
                <w:b/>
                <w:color w:val="auto"/>
                <w:spacing w:val="1"/>
                <w:position w:val="0"/>
                <w:sz w:val="24"/>
                <w:shd w:fill="auto" w:val="clear"/>
              </w:rPr>
              <w:t xml:space="preserve"> </w:t>
            </w:r>
            <w:r>
              <w:rPr>
                <w:rFonts w:ascii="Arial" w:hAnsi="Arial" w:cs="Arial" w:eastAsia="Arial"/>
                <w:b/>
                <w:color w:val="auto"/>
                <w:spacing w:val="0"/>
                <w:position w:val="0"/>
                <w:sz w:val="24"/>
                <w:shd w:fill="auto" w:val="clear"/>
              </w:rPr>
              <w:t xml:space="preserve">date</w:t>
            </w:r>
            <w:r>
              <w:rPr>
                <w:rFonts w:ascii="Arial" w:hAnsi="Arial" w:cs="Arial" w:eastAsia="Arial"/>
                <w:b/>
                <w:color w:val="auto"/>
                <w:spacing w:val="1"/>
                <w:position w:val="0"/>
                <w:sz w:val="24"/>
                <w:shd w:fill="auto" w:val="clear"/>
              </w:rPr>
              <w:t xml:space="preserve"> </w:t>
            </w:r>
            <w:r>
              <w:rPr>
                <w:rFonts w:ascii="Arial" w:hAnsi="Arial" w:cs="Arial" w:eastAsia="Arial"/>
                <w:b/>
                <w:color w:val="auto"/>
                <w:spacing w:val="0"/>
                <w:position w:val="0"/>
                <w:sz w:val="24"/>
                <w:shd w:fill="auto" w:val="clear"/>
              </w:rPr>
              <w:t xml:space="preserve">of</w:t>
            </w:r>
            <w:r>
              <w:rPr>
                <w:rFonts w:ascii="Arial" w:hAnsi="Arial" w:cs="Arial" w:eastAsia="Arial"/>
                <w:b/>
                <w:color w:val="auto"/>
                <w:spacing w:val="1"/>
                <w:position w:val="0"/>
                <w:sz w:val="24"/>
                <w:shd w:fill="auto" w:val="clear"/>
              </w:rPr>
              <w:t xml:space="preserve"> </w:t>
            </w:r>
            <w:r>
              <w:rPr>
                <w:rFonts w:ascii="Arial" w:hAnsi="Arial" w:cs="Arial" w:eastAsia="Arial"/>
                <w:b/>
                <w:color w:val="auto"/>
                <w:spacing w:val="0"/>
                <w:position w:val="0"/>
                <w:sz w:val="24"/>
                <w:shd w:fill="auto" w:val="clear"/>
              </w:rPr>
              <w:t xml:space="preserve">provisional</w:t>
            </w:r>
            <w:r>
              <w:rPr>
                <w:rFonts w:ascii="Arial" w:hAnsi="Arial" w:cs="Arial" w:eastAsia="Arial"/>
                <w:b/>
                <w:color w:val="auto"/>
                <w:spacing w:val="62"/>
                <w:position w:val="0"/>
                <w:sz w:val="24"/>
                <w:shd w:fill="auto" w:val="clear"/>
              </w:rPr>
              <w:t xml:space="preserve"> </w:t>
            </w:r>
            <w:r>
              <w:rPr>
                <w:rFonts w:ascii="Arial" w:hAnsi="Arial" w:cs="Arial" w:eastAsia="Arial"/>
                <w:b/>
                <w:color w:val="auto"/>
                <w:spacing w:val="0"/>
                <w:position w:val="0"/>
                <w:sz w:val="24"/>
                <w:shd w:fill="auto" w:val="clear"/>
              </w:rPr>
              <w:t xml:space="preserve">marks</w:t>
            </w:r>
            <w:r>
              <w:rPr>
                <w:rFonts w:ascii="Arial" w:hAnsi="Arial" w:cs="Arial" w:eastAsia="Arial"/>
                <w:b/>
                <w:color w:val="auto"/>
                <w:spacing w:val="-59"/>
                <w:position w:val="0"/>
                <w:sz w:val="24"/>
                <w:shd w:fill="auto" w:val="clear"/>
              </w:rPr>
              <w:t xml:space="preserve"> </w:t>
            </w:r>
            <w:r>
              <w:rPr>
                <w:rFonts w:ascii="Arial" w:hAnsi="Arial" w:cs="Arial" w:eastAsia="Arial"/>
                <w:b/>
                <w:color w:val="auto"/>
                <w:spacing w:val="0"/>
                <w:position w:val="0"/>
                <w:sz w:val="24"/>
                <w:shd w:fill="auto" w:val="clear"/>
              </w:rPr>
              <w:t xml:space="preserve">&amp;</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written</w:t>
            </w:r>
            <w:r>
              <w:rPr>
                <w:rFonts w:ascii="Arial" w:hAnsi="Arial" w:cs="Arial" w:eastAsia="Arial"/>
                <w:b/>
                <w:color w:val="auto"/>
                <w:spacing w:val="-4"/>
                <w:position w:val="0"/>
                <w:sz w:val="24"/>
                <w:shd w:fill="auto" w:val="clear"/>
              </w:rPr>
              <w:t xml:space="preserve"> </w:t>
            </w:r>
            <w:r>
              <w:rPr>
                <w:rFonts w:ascii="Arial" w:hAnsi="Arial" w:cs="Arial" w:eastAsia="Arial"/>
                <w:b/>
                <w:color w:val="auto"/>
                <w:spacing w:val="0"/>
                <w:position w:val="0"/>
                <w:sz w:val="24"/>
                <w:shd w:fill="auto" w:val="clear"/>
              </w:rPr>
              <w:t xml:space="preserve">feedback:</w:t>
            </w:r>
          </w:p>
        </w:tc>
        <w:tc>
          <w:tcPr>
            <w:tcW w:w="2001" w:type="dxa"/>
            <w:tcBorders>
              <w:top w:val="single" w:color="000000" w:sz="4"/>
              <w:left w:val="single" w:color="000000" w:sz="4"/>
              <w:bottom w:val="single" w:color="000000" w:sz="4"/>
              <w:right w:val="single" w:color="000000" w:sz="4"/>
            </w:tcBorders>
            <w:shd w:color="000000" w:fill="ffffff" w:val="clear"/>
            <w:tcMar>
              <w:left w:w="0" w:type="dxa"/>
              <w:right w:w="0" w:type="dxa"/>
            </w:tcMar>
            <w:vAlign w:val="top"/>
          </w:tcPr>
          <w:p>
            <w:pPr>
              <w:spacing w:before="124" w:after="0" w:line="360"/>
              <w:ind w:right="0" w:left="170" w:firstLine="0"/>
              <w:jc w:val="both"/>
              <w:rPr>
                <w:color w:val="auto"/>
                <w:position w:val="0"/>
                <w:shd w:fill="auto" w:val="clear"/>
              </w:rPr>
            </w:pPr>
            <w:r>
              <w:rPr>
                <w:rFonts w:ascii="Arial" w:hAnsi="Arial" w:cs="Arial" w:eastAsia="Arial"/>
                <w:b/>
                <w:color w:val="auto"/>
                <w:spacing w:val="0"/>
                <w:position w:val="0"/>
                <w:sz w:val="24"/>
                <w:shd w:fill="auto" w:val="clear"/>
              </w:rPr>
              <w:t xml:space="preserve">Aug</w:t>
            </w:r>
            <w:r>
              <w:rPr>
                <w:rFonts w:ascii="Arial" w:hAnsi="Arial" w:cs="Arial" w:eastAsia="Arial"/>
                <w:b/>
                <w:color w:val="auto"/>
                <w:spacing w:val="-3"/>
                <w:position w:val="0"/>
                <w:sz w:val="24"/>
                <w:shd w:fill="auto" w:val="clear"/>
              </w:rPr>
              <w:t xml:space="preserve"> </w:t>
            </w:r>
            <w:r>
              <w:rPr>
                <w:rFonts w:ascii="Arial" w:hAnsi="Arial" w:cs="Arial" w:eastAsia="Arial"/>
                <w:b/>
                <w:color w:val="auto"/>
                <w:spacing w:val="0"/>
                <w:position w:val="0"/>
                <w:sz w:val="24"/>
                <w:shd w:fill="auto" w:val="clear"/>
              </w:rPr>
              <w:t xml:space="preserve">2022</w:t>
            </w: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Ratio analysis is the analysis of a company’s financial statements over diverse accounting periods. The report is about financial management for the hotel management industry. For better understanding of the report, Hilton Worldwide Holdings Inc was selected. The report includes Hilton Worldwide Holdings Inc’s horizontal ratio analysis and drifts in the ratios of Hilton Worldwide Holdings Inc. The report also includes Ratio analysis and its significance in terms of making decisions and shortcomings of ratio analysis and the reason of fluctuation and ratios cruciality in terms of managing hotel by analysing the numbers of the financial reports.</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Hilton Worldwide Holdings Inc’s horizontal ratio analysis and drifts in the ratios of Hilton Worldwide Holdings Inc</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Horizontal ratio analysis is the analysis of a company’s financial statements over diverse accounting periods. Financial statements of Hilton Worldwide Holdings Inc. can be analysed with the help of ratio analysis (Pié Dols et al., 2019). Horizontal ratio analysis can be used to analyse the financial statements of Hilton Worldwide Holdings Inc from diverse time periods. As a </w:t>
      </w:r>
      <w:r>
        <w:rPr>
          <w:rFonts w:ascii="Arial" w:hAnsi="Arial" w:cs="Arial" w:eastAsia="Arial"/>
          <w:b/>
          <w:color w:val="auto"/>
          <w:spacing w:val="0"/>
          <w:position w:val="0"/>
          <w:sz w:val="24"/>
          <w:shd w:fill="auto" w:val="clear"/>
        </w:rPr>
        <w:t xml:space="preserve">Senior Manager</w:t>
      </w:r>
      <w:r>
        <w:rPr>
          <w:rFonts w:ascii="Arial" w:hAnsi="Arial" w:cs="Arial" w:eastAsia="Arial"/>
          <w:color w:val="auto"/>
          <w:spacing w:val="0"/>
          <w:position w:val="0"/>
          <w:sz w:val="24"/>
          <w:shd w:fill="auto" w:val="clear"/>
        </w:rPr>
        <w:t xml:space="preserve"> of Hilton Worldwide Holdings Inc, horizontal ratio analysis of the organisation for the year 2020 and 2019 is given below;</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Income Statement</w:t>
      </w:r>
    </w:p>
    <w:tbl>
      <w:tblPr/>
      <w:tblGrid>
        <w:gridCol w:w="2785"/>
        <w:gridCol w:w="1440"/>
        <w:gridCol w:w="1710"/>
        <w:gridCol w:w="1800"/>
        <w:gridCol w:w="1669"/>
      </w:tblGrid>
      <w:tr>
        <w:trPr>
          <w:trHeight w:val="1182"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Particulars</w:t>
            </w:r>
          </w:p>
          <w:p>
            <w:pPr>
              <w:spacing w:before="0" w:after="0" w:line="360"/>
              <w:ind w:right="0" w:left="0" w:firstLine="0"/>
              <w:jc w:val="left"/>
              <w:rPr>
                <w:spacing w:val="0"/>
                <w:position w:val="0"/>
                <w:shd w:fill="auto" w:val="clear"/>
              </w:rPr>
            </w:pP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2020</w:t>
            </w:r>
          </w:p>
          <w:p>
            <w:pPr>
              <w:spacing w:before="0" w:after="0" w:line="360"/>
              <w:ind w:right="0" w:left="0" w:firstLine="0"/>
              <w:jc w:val="left"/>
              <w:rPr>
                <w:spacing w:val="0"/>
                <w:position w:val="0"/>
                <w:shd w:fill="auto" w:val="clear"/>
              </w:rPr>
            </w:pP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2019</w:t>
            </w:r>
          </w:p>
          <w:p>
            <w:pPr>
              <w:spacing w:before="0" w:after="0" w:line="360"/>
              <w:ind w:right="0" w:left="0" w:firstLine="0"/>
              <w:jc w:val="left"/>
              <w:rPr>
                <w:spacing w:val="0"/>
                <w:position w:val="0"/>
                <w:shd w:fill="auto" w:val="clear"/>
              </w:rPr>
            </w:pP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Change</w:t>
            </w:r>
          </w:p>
          <w:p>
            <w:pPr>
              <w:spacing w:before="0" w:after="0" w:line="360"/>
              <w:ind w:right="0" w:left="0" w:firstLine="0"/>
              <w:jc w:val="both"/>
              <w:rPr>
                <w:spacing w:val="0"/>
                <w:position w:val="0"/>
                <w:shd w:fill="auto" w:val="clear"/>
              </w:rPr>
            </w:pP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Percentile Change</w:t>
            </w:r>
          </w:p>
        </w:tc>
      </w:tr>
      <w:tr>
        <w:trPr>
          <w:trHeight w:val="473"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Sales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4,307,000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9,452,000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-5,145,000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-54%</w:t>
            </w:r>
          </w:p>
        </w:tc>
      </w:tr>
      <w:tr>
        <w:trPr>
          <w:trHeight w:val="827"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Cost of goods sold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3,724,000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7,017,000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-3,293,000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-47%</w:t>
            </w:r>
          </w:p>
        </w:tc>
      </w:tr>
      <w:tr>
        <w:trPr>
          <w:trHeight w:val="354"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Gross profit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583,000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2,435,000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-1,852,000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-76%</w:t>
            </w:r>
          </w:p>
        </w:tc>
      </w:tr>
      <w:tr>
        <w:trPr>
          <w:trHeight w:val="827"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Operating Expenses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702,000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859,000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-157,000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-18%</w:t>
            </w:r>
          </w:p>
        </w:tc>
      </w:tr>
      <w:tr>
        <w:trPr>
          <w:trHeight w:val="827"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Operating income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-119,000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1,576,000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-1,695,000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-108%</w:t>
            </w:r>
          </w:p>
        </w:tc>
      </w:tr>
      <w:tr>
        <w:trPr>
          <w:trHeight w:val="827"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Interest Expense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429,000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414,000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w:t>
            </w:r>
          </w:p>
        </w:tc>
      </w:tr>
      <w:tr>
        <w:trPr>
          <w:trHeight w:val="1300"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Total Other income/ expenses</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54"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net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-376,000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82,000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-458,000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-559%</w:t>
            </w:r>
          </w:p>
        </w:tc>
      </w:tr>
      <w:tr>
        <w:trPr>
          <w:trHeight w:val="827"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Income before taxes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-924,000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1,244,000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-2,168,000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-174%</w:t>
            </w:r>
          </w:p>
        </w:tc>
      </w:tr>
      <w:tr>
        <w:trPr>
          <w:trHeight w:val="473" w:hRule="auto"/>
          <w:jc w:val="left"/>
        </w:trPr>
        <w:tc>
          <w:tcPr>
            <w:tcW w:w="278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Net income </w:t>
            </w:r>
          </w:p>
        </w:tc>
        <w:tc>
          <w:tcPr>
            <w:tcW w:w="144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-715,000</w:t>
            </w:r>
          </w:p>
        </w:tc>
        <w:tc>
          <w:tcPr>
            <w:tcW w:w="171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881,000</w:t>
            </w:r>
          </w:p>
        </w:tc>
        <w:tc>
          <w:tcPr>
            <w:tcW w:w="180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-1,596,000</w:t>
            </w:r>
          </w:p>
        </w:tc>
        <w:tc>
          <w:tcPr>
            <w:tcW w:w="1669"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-181%</w:t>
            </w: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Balance Sheet</w:t>
      </w:r>
    </w:p>
    <w:tbl>
      <w:tblPr/>
      <w:tblGrid>
        <w:gridCol w:w="2595"/>
        <w:gridCol w:w="1703"/>
        <w:gridCol w:w="1732"/>
        <w:gridCol w:w="1672"/>
        <w:gridCol w:w="1776"/>
      </w:tblGrid>
      <w:tr>
        <w:trPr>
          <w:trHeight w:val="439"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Particulars</w:t>
            </w:r>
          </w:p>
          <w:p>
            <w:pPr>
              <w:spacing w:before="0" w:after="0" w:line="360"/>
              <w:ind w:right="0" w:left="0" w:firstLine="0"/>
              <w:jc w:val="left"/>
              <w:rPr>
                <w:spacing w:val="0"/>
                <w:position w:val="0"/>
                <w:shd w:fill="auto" w:val="clear"/>
              </w:rPr>
            </w:pP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2020</w:t>
            </w:r>
          </w:p>
          <w:p>
            <w:pPr>
              <w:spacing w:before="0" w:after="0" w:line="360"/>
              <w:ind w:right="0" w:left="0" w:firstLine="0"/>
              <w:jc w:val="left"/>
              <w:rPr>
                <w:spacing w:val="0"/>
                <w:position w:val="0"/>
                <w:shd w:fill="auto" w:val="clear"/>
              </w:rPr>
            </w:pP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2019</w:t>
            </w:r>
          </w:p>
          <w:p>
            <w:pPr>
              <w:spacing w:before="0" w:after="0" w:line="360"/>
              <w:ind w:right="0" w:left="0" w:firstLine="0"/>
              <w:jc w:val="left"/>
              <w:rPr>
                <w:spacing w:val="0"/>
                <w:position w:val="0"/>
                <w:shd w:fill="auto" w:val="clear"/>
              </w:rPr>
            </w:pP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Change</w:t>
            </w:r>
          </w:p>
          <w:p>
            <w:pPr>
              <w:spacing w:before="0" w:after="0" w:line="360"/>
              <w:ind w:right="0" w:left="0" w:firstLine="0"/>
              <w:jc w:val="both"/>
              <w:rPr>
                <w:spacing w:val="0"/>
                <w:position w:val="0"/>
                <w:shd w:fill="auto" w:val="clear"/>
              </w:rPr>
            </w:pP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Percentile Change</w:t>
            </w:r>
          </w:p>
        </w:tc>
      </w:tr>
      <w:tr>
        <w:trPr>
          <w:trHeight w:val="127"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Current Asset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4,202,000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2,093,000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2,109,000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101%</w:t>
            </w:r>
          </w:p>
        </w:tc>
      </w:tr>
      <w:tr>
        <w:trPr>
          <w:trHeight w:val="28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Non-Current Asset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15,810,000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12,558,000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3,252,000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26%</w:t>
            </w:r>
          </w:p>
        </w:tc>
      </w:tr>
      <w:tr>
        <w:trPr>
          <w:trHeight w:val="15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Total Asset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16,755,000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14,957,000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1,798,000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12%</w:t>
            </w:r>
          </w:p>
        </w:tc>
      </w:tr>
      <w:tr>
        <w:trPr>
          <w:trHeight w:val="28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Current Liabilities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2,431,000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2,871,000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-440,000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w:t>
            </w:r>
          </w:p>
        </w:tc>
      </w:tr>
      <w:tr>
        <w:trPr>
          <w:trHeight w:val="28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Non-current Liabilities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15,810,000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12,558,000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3,252,000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26%</w:t>
            </w:r>
          </w:p>
        </w:tc>
      </w:tr>
      <w:tr>
        <w:trPr>
          <w:trHeight w:val="28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Total Liabilities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18,241,000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15,429,000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2,812,000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18%</w:t>
            </w:r>
          </w:p>
        </w:tc>
      </w:tr>
      <w:tr>
        <w:trPr>
          <w:trHeight w:val="28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Common Stock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0%</w:t>
            </w:r>
          </w:p>
        </w:tc>
      </w:tr>
      <w:tr>
        <w:trPr>
          <w:trHeight w:val="28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Retained Earnings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-6,732,000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-5,965,000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-767,000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13%</w:t>
            </w:r>
          </w:p>
        </w:tc>
      </w:tr>
      <w:tr>
        <w:trPr>
          <w:trHeight w:val="439"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Total Stockholders' Equity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-1,490,000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-482,000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-1,008,000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209%</w:t>
            </w:r>
          </w:p>
        </w:tc>
      </w:tr>
      <w:tr>
        <w:trPr>
          <w:trHeight w:val="412" w:hRule="auto"/>
          <w:jc w:val="left"/>
        </w:trPr>
        <w:tc>
          <w:tcPr>
            <w:tcW w:w="2595"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Total Liabilities and Stockholder </w:t>
            </w:r>
          </w:p>
        </w:tc>
        <w:tc>
          <w:tcPr>
            <w:tcW w:w="1703"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16,755,000</w:t>
            </w:r>
          </w:p>
        </w:tc>
        <w:tc>
          <w:tcPr>
            <w:tcW w:w="173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14,957,000</w:t>
            </w:r>
          </w:p>
        </w:tc>
        <w:tc>
          <w:tcPr>
            <w:tcW w:w="167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1,798,000</w:t>
            </w:r>
          </w:p>
        </w:tc>
        <w:tc>
          <w:tcPr>
            <w:tcW w:w="177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bottom"/>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12%</w:t>
            </w: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Worldwide Holdings Inc. is a hotel management organisation. According to the provided Income Statement and Balance Sheet of Hilton Worldwide Holdings Inc, most of the items was higher in the previous year indicating that items such as sales, COGS, Gross Profit, Income before taxes and other items numbers were decreased compared to last year (Hilton, 2019). This might be due to the impact of Covid-19 pandemic. The ratio analysis shows that the sales of Hilton Worldwide Holdings Inc was 54% less than the previous year. Apart from sales, COGS, operating expenses, operating income, income before taxes and net income decreased in huge numbers as well. COGS, operating expenses, operating income, income before taxes and net income decreased by 47%, 18%, 108% 174%, 181% in the year 2020 respectively. Only the interest expense was increased in the year 2020. That year interest expense was increased by 4% indicating that Hilton Worldwide Holdings Inc might have taken more loans to operate its business activities during the year than the previous year.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Now, looking at the ratios of the items of Balance Sheet, most of the particulars of the Balance Sheet was increased indicating that the asset, liability and equity of Hilton Worldwide Holdings Inc was increased compared to the previous year. By looking at the ratios analysis, it can be seen that the current assets of the organisation were more than doubled in the current year compared to the previous year (Tildikova, 2014). This indicates that there was an exponential increase in the current assets of Hilton Worldwide Holdings Inc. On the other hand, current liability of the organisation is the only item that got down in the balance sheet of Hilton Worldwide Holdings Inc in the year 2020. The horizontal ratio of current liability was -15% in the year 2020 compared to the year 2019. Total asset was increased by 12% indicating that there was an increase in the assets of Hilton Worldwide Holdings Inc in the current year compared to the previous year. Similarly, </w:t>
      </w:r>
      <w:r>
        <w:rPr>
          <w:rFonts w:ascii="Arial" w:hAnsi="Arial" w:cs="Arial" w:eastAsia="Arial"/>
          <w:color w:val="000000"/>
          <w:spacing w:val="0"/>
          <w:position w:val="0"/>
          <w:sz w:val="24"/>
          <w:shd w:fill="auto" w:val="clear"/>
        </w:rPr>
        <w:t xml:space="preserve">Total Liabilities, retained earnings and Total Liabilities &amp; Stockholder ratio of the organisation was increased by 18%, 13% and 12% respectively compared to the previous year. Common stock remained the same and the ratio of common stock was 0% in the year 2020.</w:t>
      </w:r>
    </w:p>
    <w:p>
      <w:pPr>
        <w:keepNext w:val="true"/>
        <w:keepLines w:val="true"/>
        <w:spacing w:before="240"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Ratio analysis and its significance in terms of making decisions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the purpose of identifying business risk, financial position, solvency of the organisation and comparing performance of the organisation, ratio analysis is really crucial. Apart from the above activities, operational effectiveness of an organisation can also be measured by ratio analysis (Kaydos, 2020). As a </w:t>
      </w:r>
      <w:r>
        <w:rPr>
          <w:rFonts w:ascii="Arial" w:hAnsi="Arial" w:cs="Arial" w:eastAsia="Arial"/>
          <w:b/>
          <w:color w:val="auto"/>
          <w:spacing w:val="0"/>
          <w:position w:val="0"/>
          <w:sz w:val="24"/>
          <w:shd w:fill="auto" w:val="clear"/>
        </w:rPr>
        <w:t xml:space="preserve">Senior Manager</w:t>
      </w:r>
      <w:r>
        <w:rPr>
          <w:rFonts w:ascii="Arial" w:hAnsi="Arial" w:cs="Arial" w:eastAsia="Arial"/>
          <w:color w:val="auto"/>
          <w:spacing w:val="0"/>
          <w:position w:val="0"/>
          <w:sz w:val="24"/>
          <w:shd w:fill="auto" w:val="clear"/>
        </w:rPr>
        <w:t xml:space="preserve"> of Hilton Worldwide Holdings Inc, some of the significances of ratio analysis in terms of making business decisions are as follows:</w:t>
      </w: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1: Importance of Risk Analysis; </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Palepu et al., (2020)</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Business Risk Identification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the key reasons of calculating analysing ratio on the firm is to break down the business dangers of the association. By using ratio analysis Hilton Worldwide Holdings Inc can comprehend its business dangers, for example, how much delicate the productivity of the firm is with regards to remarkable obligations and fixed resources (Palepu et al., 2020). In the above segment, it tends to be seen that the percentile changes in deals and it was negative to work benefit. In this way, the working influence is additionally bad if there should arise an occurrence of Hilton Worldwide Holdings Inc demonstrating that the working influence is likewise negative.</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Analysis of Financial Statements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Financial statement analysis is significant for all outside and inner partner of an association. The numbers from the Balance Sheet and Income Statement are analysed by the managers of Hilton Worldwide Holdings Inc with the assistance of analysis of ratio (Alameri et al., 2021). Interested parties can reach certain decisions by analysing the ratios of the financial reports of Hilton Worldwide Holdings Inc. By directing Analysis of ratio on the asset report and pay articulation of Hilton Worldwide Holdings Inc, it very well may be seen that the majority of the ratios in the Income Statement is decreasing demonstrating that the association's benefit is diminishing. Yet, the numbers on the accounting report are generally certain demonstrating that the complete resources of the organisations have expanded alongside all out liabilities and investor.</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Performance Comparison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think about the presentation of the association over various bookkeeping periods, horizontal ratio analysis is used. This helps associations, for example, Hilton Worldwide Holdings Inc to contrast its previous year’s performance with its current year’s performance. In view of the ratios of various bookkeeping periods, the directors and leaders of Hilton Worldwide Holdings Inc can simply decide and decide the progress of the organisation. Additionally, the high-level directors can recognize the issues connected with the presentation and make moves in view of them (Heavin and Power, 2018). Additionally, analysis of ratio can be utilized to analyse the exhibition of various firms also. In this way, Hilton Worldwide Holdings Inc can contrast its exhibition and the presentation of its rivals to reach inferences how well the association is acting in the business contrasted with its adversaries.</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Measurement of Profitability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Benefit of firm over the bookkeeping period can measure up to the assistance of productivity ratio. The inclination of the association to acquire benefit can be investigated by checking out at the ratio of return on resources and return on value. With the assistance of this Analysis of ratio, the interested parties of Hilton Worldwide Holdings Inc. can decide how well the ventures of the partners are spent by the association (Hariandja, 2021). Net revenue ratio and net benefit ratio can help the partners of Hilton Worldwide Holdings Inc to dissect its inclination as far as making an interpretation of deals to benefit. If there should be an occurrence of Hilton Worldwide Holdings Inc, the net profit is negative demonstrating that the firm is turning out to be more unsuccessful in producing benefit from deals and the volume of sales was diminished in contrast with the earlier year.</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Margin for Mapping Operational Efficiency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Partners of Hilton Worldwide Holdings Inc can investigate the association's functional effectiveness in light of specific level Analysis of ratio like fixed resource turnover, stock turnover ratio and record receivables turnover ratio. With the assistance of these ratio investigation, partners can contrast the association capacity with procure benefit utilizing the resources of the association (Schmidgall, 2014). Likewise, these Analysis of ratios can be useful to think about the ratios over the bookkeeping periods and can measure up to the next association in a similar industry like Hilton Worldwide Holdings Inc that are operating in the hotel management industry.</w:t>
      </w:r>
    </w:p>
    <w:p>
      <w:pPr>
        <w:keepNext w:val="true"/>
        <w:keepLines w:val="true"/>
        <w:spacing w:before="240"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Shortcomings of ratio analysis and the reason of fluctuation &amp; ratios cruciality in terms of managing hotel by analysing the numbers of the financial reports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w:t>
      </w:r>
      <w:r>
        <w:rPr>
          <w:rFonts w:ascii="Arial" w:hAnsi="Arial" w:cs="Arial" w:eastAsia="Arial"/>
          <w:b/>
          <w:color w:val="auto"/>
          <w:spacing w:val="0"/>
          <w:position w:val="0"/>
          <w:sz w:val="24"/>
          <w:shd w:fill="auto" w:val="clear"/>
        </w:rPr>
        <w:t xml:space="preserve">Senior Manager</w:t>
      </w:r>
      <w:r>
        <w:rPr>
          <w:rFonts w:ascii="Arial" w:hAnsi="Arial" w:cs="Arial" w:eastAsia="Arial"/>
          <w:color w:val="auto"/>
          <w:spacing w:val="0"/>
          <w:position w:val="0"/>
          <w:sz w:val="24"/>
          <w:shd w:fill="auto" w:val="clear"/>
        </w:rPr>
        <w:t xml:space="preserve"> of Hilton Worldwide Holdings Inc, some of the shortcomings of ratio analysis are as follows;</w:t>
      </w: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2: Shortcomings of Ratio Analysis;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Schmidgall, (2014)</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Information Manipulation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Analysis of ratio is led in light of the data in the monetary data that the association gives in its fiscal summaries. As fiscal reports are much of the time controlled by the association to show preferred execution over the genuine execution of the association and misdirect the partners, the consequences of ratio investigation can likewise be controlled and the examination probably won't be exact because of misleading information (Albrecht et al., 2018). Thus, Hilton Worldwide Holdings Inc shouldn't make execution and future assumptions in view of Analysis of ratio as the budget reports could contain distorted monetary data prompting deluding the judgment of the client.</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Major Operational Changes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Business circumstances are continuously evolving. In this way, associations might have to change its functional exercises, for example, its items or even its store network to conform to the progressions and contend on the lookout. Assuming Hilton Worldwide Holdings Inc. rolled out critical improvements in its activities and the Analysis of ratio is directed in view of the information when the functional changes, this could lead the supervisors of the association to deluding ends and execution of the association alongside future assumptions may be misjudged (Ogiela and Ogiela, 2014).</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Impact of Inflation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Analysis of ratio is led in light of the information that are available in the fiscal summaries and the budget reports of an association is ready over various bookkeeping period. This actually intends that there is a delay among the fiscal reports wherein expansion could happen. Therefore, the genuine cost of the happened expenses and wages are excluded from the budget summaries (Russo et al., 2016). Along these lines, the budget reports could differ as they are not expansion changed. In this way, while deciding, Hilton Worldwide Holdings Inc ought to settle on choice exclusively founded on the ratio investigation as expansion is available in that information.</w:t>
      </w: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Historical Information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information that are utilized while analysing ratio are historical information, implying that all the data depends on past bookkeeping periods. The investigation doesn't reflect genuine future execution of the association. In this way, the investors and chiefs of Hilton Worldwide Holdings Inc shouldn't conclude the future presentation of the organisation exclusively founded on the ratio investigation as ratio measurements are created utilizing verifiable information.</w:t>
      </w:r>
    </w:p>
    <w:p>
      <w:pPr>
        <w:keepNext w:val="true"/>
        <w:keepLines w:val="true"/>
        <w:spacing w:before="240"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The reason of fluctuation &amp; ratios cruciality in terms of managing hotel by analysing the numbers of the financial reports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analysing the financial reports of an organisation, Fluctuations and ratios are fundamental for hotel management industry as this analysis acts as margin for the industry. Associations, for example, Hilton Worldwide Holdings Inc can utilize analysis of ratio for identifying the current trends in the industry of hotel management. Hotel management industry uses ratio analysis as a benchmark for measuring the growth of the business organisations in the industry. Besides, ratios and variances go about as valuation for stock for qualities and shortcoming of the association like Hilton Worldwide Holdings Inc (Cheung et al., 2014). Fluctuations and ratios are utilized by associations like Hilton Worldwide Holdings Inc for arranging and execution of the organisation. Ratios give direction to the supervisors of the associations to make marketable strategies for Hilton Worldwide Holdings Inc. That is the reason ratios and changes are fundamental for lodging the executives in breaking down the numbers that are in the fiscal reports so associations, for example, Hilton Worldwide Holdings Inc can look at its exhibition over the bookkeeping period and with different organisations in a similar industry.</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Ratio analysis is crucial for every organisation. By analysing ratio, Hilton Worldwide Holdings Inc can measure its business risk, financial position, solvency of the organisation and comparing performance of the organisation. Also, operational effectiveness of Hilton Worldwide Holdings Inc can also be measured by ratio analysis. But decisions should not be taken solely based on the ratio analysis. Hilton Worldwide Holdings Inc should make decisions considering the shortcomings of ratio analysis and make adjustments to the operations of the company to improve its efficiency and profit.</w:t>
        <w:t xml:space="preserve"> </w:t>
      </w: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References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Alameri, M., Alshamsi, F., Alsaedi, S., Alkaabi, A., Alamri, R., Alshamsi, M. and Nobanee, H., 2021. Financial Analysis of Hilton Holdings. </w:t>
      </w:r>
      <w:r>
        <w:rPr>
          <w:rFonts w:ascii="Arial" w:hAnsi="Arial" w:cs="Arial" w:eastAsia="Arial"/>
          <w:i/>
          <w:color w:val="auto"/>
          <w:spacing w:val="0"/>
          <w:position w:val="0"/>
          <w:sz w:val="24"/>
          <w:shd w:fill="auto" w:val="clear"/>
        </w:rPr>
        <w:t xml:space="preserve">Available at SSRN</w:t>
      </w:r>
      <w:r>
        <w:rPr>
          <w:rFonts w:ascii="Arial" w:hAnsi="Arial" w:cs="Arial" w:eastAsia="Arial"/>
          <w:color w:val="auto"/>
          <w:spacing w:val="0"/>
          <w:position w:val="0"/>
          <w:sz w:val="24"/>
          <w:shd w:fill="auto" w:val="clear"/>
        </w:rPr>
        <w:t xml:space="preserv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Albrecht, W.S., Albrecht, C.O., Albrecht, C.C. and Zimbelman, M.F., 2018. </w:t>
      </w:r>
      <w:r>
        <w:rPr>
          <w:rFonts w:ascii="Arial" w:hAnsi="Arial" w:cs="Arial" w:eastAsia="Arial"/>
          <w:i/>
          <w:color w:val="auto"/>
          <w:spacing w:val="0"/>
          <w:position w:val="0"/>
          <w:sz w:val="24"/>
          <w:shd w:fill="auto" w:val="clear"/>
        </w:rPr>
        <w:t xml:space="preserve">Fraud examination</w:t>
      </w:r>
      <w:r>
        <w:rPr>
          <w:rFonts w:ascii="Arial" w:hAnsi="Arial" w:cs="Arial" w:eastAsia="Arial"/>
          <w:color w:val="auto"/>
          <w:spacing w:val="0"/>
          <w:position w:val="0"/>
          <w:sz w:val="24"/>
          <w:shd w:fill="auto" w:val="clear"/>
        </w:rPr>
        <w:t xml:space="preserve">. Cengage Learning.</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Cheung, C., Kong, H. and Song, H., 2014. How to influence hospitality employee perceptions on hotel brand performance?. </w:t>
      </w:r>
      <w:r>
        <w:rPr>
          <w:rFonts w:ascii="Arial" w:hAnsi="Arial" w:cs="Arial" w:eastAsia="Arial"/>
          <w:i/>
          <w:color w:val="auto"/>
          <w:spacing w:val="0"/>
          <w:position w:val="0"/>
          <w:sz w:val="24"/>
          <w:shd w:fill="auto" w:val="clear"/>
        </w:rPr>
        <w:t xml:space="preserve">International Journal of Contemporary Hospitality Management</w:t>
      </w:r>
      <w:r>
        <w:rPr>
          <w:rFonts w:ascii="Arial" w:hAnsi="Arial" w:cs="Arial" w:eastAsia="Arial"/>
          <w:color w:val="auto"/>
          <w:spacing w:val="0"/>
          <w:position w:val="0"/>
          <w:sz w:val="24"/>
          <w:shd w:fill="auto" w:val="clear"/>
        </w:rPr>
        <w:t xml:space="preserv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Hariandja, E.S., 2021. Customer perspective on dynamic marketing capability in international hotels of Indonesia during Covid-19: Confirmatory factor analysis. </w:t>
      </w:r>
      <w:r>
        <w:rPr>
          <w:rFonts w:ascii="Arial" w:hAnsi="Arial" w:cs="Arial" w:eastAsia="Arial"/>
          <w:i/>
          <w:color w:val="auto"/>
          <w:spacing w:val="0"/>
          <w:position w:val="0"/>
          <w:sz w:val="24"/>
          <w:shd w:fill="auto" w:val="clear"/>
        </w:rPr>
        <w:t xml:space="preserve">Innovative Marketing</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17</w:t>
      </w:r>
      <w:r>
        <w:rPr>
          <w:rFonts w:ascii="Arial" w:hAnsi="Arial" w:cs="Arial" w:eastAsia="Arial"/>
          <w:color w:val="auto"/>
          <w:spacing w:val="0"/>
          <w:position w:val="0"/>
          <w:sz w:val="24"/>
          <w:shd w:fill="auto" w:val="clear"/>
        </w:rPr>
        <w:t xml:space="preserve">(3), p.74.</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Heavin, C. and Power, D.J., 2018. Challenges for digital transformation</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towards a conceptual decision support guide for managers. </w:t>
      </w:r>
      <w:r>
        <w:rPr>
          <w:rFonts w:ascii="Arial" w:hAnsi="Arial" w:cs="Arial" w:eastAsia="Arial"/>
          <w:i/>
          <w:color w:val="auto"/>
          <w:spacing w:val="0"/>
          <w:position w:val="0"/>
          <w:sz w:val="24"/>
          <w:shd w:fill="auto" w:val="clear"/>
        </w:rPr>
        <w:t xml:space="preserve">Journal of Decision Systems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27</w:t>
      </w:r>
      <w:r>
        <w:rPr>
          <w:rFonts w:ascii="Arial" w:hAnsi="Arial" w:cs="Arial" w:eastAsia="Arial"/>
          <w:color w:val="auto"/>
          <w:spacing w:val="0"/>
          <w:position w:val="0"/>
          <w:sz w:val="24"/>
          <w:shd w:fill="auto" w:val="clear"/>
        </w:rPr>
        <w:t xml:space="preserve">(sup1), pp.38-45.</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H., 2019. Financial Reporting: The Application of Professional Development and Research.</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Kaydos, W., 2020. </w:t>
      </w:r>
      <w:r>
        <w:rPr>
          <w:rFonts w:ascii="Arial" w:hAnsi="Arial" w:cs="Arial" w:eastAsia="Arial"/>
          <w:i/>
          <w:color w:val="auto"/>
          <w:spacing w:val="0"/>
          <w:position w:val="0"/>
          <w:sz w:val="24"/>
          <w:shd w:fill="auto" w:val="clear"/>
        </w:rPr>
        <w:t xml:space="preserve">Operational performance measurement: increasing total productivity</w:t>
      </w:r>
      <w:r>
        <w:rPr>
          <w:rFonts w:ascii="Arial" w:hAnsi="Arial" w:cs="Arial" w:eastAsia="Arial"/>
          <w:color w:val="auto"/>
          <w:spacing w:val="0"/>
          <w:position w:val="0"/>
          <w:sz w:val="24"/>
          <w:shd w:fill="auto" w:val="clear"/>
        </w:rPr>
        <w:t xml:space="preserve">. CRC press.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Ogiela, L. and Ogiela, M.R., 2014. Cognitive systems for intelligent business information management in cognitive economy. </w:t>
      </w:r>
      <w:r>
        <w:rPr>
          <w:rFonts w:ascii="Arial" w:hAnsi="Arial" w:cs="Arial" w:eastAsia="Arial"/>
          <w:i/>
          <w:color w:val="auto"/>
          <w:spacing w:val="0"/>
          <w:position w:val="0"/>
          <w:sz w:val="24"/>
          <w:shd w:fill="auto" w:val="clear"/>
        </w:rPr>
        <w:t xml:space="preserve">International Journal of Information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34</w:t>
      </w:r>
      <w:r>
        <w:rPr>
          <w:rFonts w:ascii="Arial" w:hAnsi="Arial" w:cs="Arial" w:eastAsia="Arial"/>
          <w:color w:val="auto"/>
          <w:spacing w:val="0"/>
          <w:position w:val="0"/>
          <w:sz w:val="24"/>
          <w:shd w:fill="auto" w:val="clear"/>
        </w:rPr>
        <w:t xml:space="preserve">(6), pp.751-760.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Palepu, K.G., Healy, P.M., Wright, S., Bradbury, M. and Coulton, J., 2020. </w:t>
      </w:r>
      <w:r>
        <w:rPr>
          <w:rFonts w:ascii="Arial" w:hAnsi="Arial" w:cs="Arial" w:eastAsia="Arial"/>
          <w:i/>
          <w:color w:val="auto"/>
          <w:spacing w:val="0"/>
          <w:position w:val="0"/>
          <w:sz w:val="24"/>
          <w:shd w:fill="auto" w:val="clear"/>
        </w:rPr>
        <w:t xml:space="preserve">Business analysis and valuation: Using financial statements</w:t>
      </w:r>
      <w:r>
        <w:rPr>
          <w:rFonts w:ascii="Arial" w:hAnsi="Arial" w:cs="Arial" w:eastAsia="Arial"/>
          <w:color w:val="auto"/>
          <w:spacing w:val="0"/>
          <w:position w:val="0"/>
          <w:sz w:val="24"/>
          <w:shd w:fill="auto" w:val="clear"/>
        </w:rPr>
        <w:t xml:space="preserve">. Cengage AU.</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Pié Dols, L., Bonillo Alcaina, I., Ribas Barceló, J. and Fabregat Aibar, L., 2019. Analysis of some economic-financial ratios to analyse the financial crisis in five-star hotels in Barcelona and Madrid. </w:t>
      </w:r>
      <w:r>
        <w:rPr>
          <w:rFonts w:ascii="Arial" w:hAnsi="Arial" w:cs="Arial" w:eastAsia="Arial"/>
          <w:i/>
          <w:color w:val="auto"/>
          <w:spacing w:val="0"/>
          <w:position w:val="0"/>
          <w:sz w:val="24"/>
          <w:shd w:fill="auto" w:val="clear"/>
        </w:rPr>
        <w:t xml:space="preserve">Intangible Capital</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15</w:t>
      </w:r>
      <w:r>
        <w:rPr>
          <w:rFonts w:ascii="Arial" w:hAnsi="Arial" w:cs="Arial" w:eastAsia="Arial"/>
          <w:color w:val="auto"/>
          <w:spacing w:val="0"/>
          <w:position w:val="0"/>
          <w:sz w:val="24"/>
          <w:shd w:fill="auto" w:val="clear"/>
        </w:rPr>
        <w:t xml:space="preserve">(2), pp.99-113.</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Russo, J.E., McCool, R.R. and Davies, L., 2016. VA telemedicine: an analysis of cost and time savings. </w:t>
      </w:r>
      <w:r>
        <w:rPr>
          <w:rFonts w:ascii="Arial" w:hAnsi="Arial" w:cs="Arial" w:eastAsia="Arial"/>
          <w:i/>
          <w:color w:val="auto"/>
          <w:spacing w:val="0"/>
          <w:position w:val="0"/>
          <w:sz w:val="24"/>
          <w:shd w:fill="auto" w:val="clear"/>
        </w:rPr>
        <w:t xml:space="preserve">Telemedicine and e-Health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(3), pp.209-215.</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Schmidgall, R.S., 2014. Evolution of the uniform system of accounts for the lodging industry. </w:t>
      </w:r>
      <w:r>
        <w:rPr>
          <w:rFonts w:ascii="Arial" w:hAnsi="Arial" w:cs="Arial" w:eastAsia="Arial"/>
          <w:i/>
          <w:color w:val="auto"/>
          <w:spacing w:val="0"/>
          <w:position w:val="0"/>
          <w:sz w:val="24"/>
          <w:shd w:fill="auto" w:val="clear"/>
        </w:rPr>
        <w:t xml:space="preserve">The Journal of Hospitality Financial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(1), pp.41-57.</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Tildikova, G., 2014. </w:t>
      </w:r>
      <w:r>
        <w:rPr>
          <w:rFonts w:ascii="Arial" w:hAnsi="Arial" w:cs="Arial" w:eastAsia="Arial"/>
          <w:i/>
          <w:color w:val="auto"/>
          <w:spacing w:val="0"/>
          <w:position w:val="0"/>
          <w:sz w:val="24"/>
          <w:shd w:fill="auto" w:val="clear"/>
        </w:rPr>
        <w:t xml:space="preserve">The Impact of Sustainable Growth Indicators on Hotel’s Financial Management</w:t>
      </w:r>
      <w:r>
        <w:rPr>
          <w:rFonts w:ascii="Arial" w:hAnsi="Arial" w:cs="Arial" w:eastAsia="Arial"/>
          <w:color w:val="auto"/>
          <w:spacing w:val="0"/>
          <w:position w:val="0"/>
          <w:sz w:val="24"/>
          <w:shd w:fill="auto" w:val="clear"/>
        </w:rPr>
        <w:t xml:space="preserve"> (Doctoral dissertation).</w:t>
      </w:r>
    </w:p>
    <w:p>
      <w:pPr>
        <w:spacing w:before="0" w:after="16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