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99F728" w14:textId="77777777" w:rsidR="00893EC8" w:rsidRPr="00151268" w:rsidRDefault="00893EC8" w:rsidP="00893EC8">
      <w:pPr>
        <w:pStyle w:val="Heading1"/>
        <w:spacing w:line="360" w:lineRule="auto"/>
        <w:jc w:val="center"/>
        <w:rPr>
          <w:rFonts w:asciiTheme="minorBidi" w:hAnsiTheme="minorBidi" w:cstheme="minorBidi"/>
          <w:sz w:val="28"/>
          <w:szCs w:val="28"/>
        </w:rPr>
      </w:pPr>
      <w:r w:rsidRPr="00151268">
        <w:rPr>
          <w:rFonts w:asciiTheme="minorBidi" w:hAnsiTheme="minorBidi" w:cstheme="minorBidi"/>
          <w:sz w:val="28"/>
          <w:szCs w:val="28"/>
        </w:rPr>
        <w:t>Assessment 2: Bibliography &amp; Report</w:t>
      </w:r>
    </w:p>
    <w:p w14:paraId="51ABBCF4" w14:textId="77777777" w:rsidR="00893EC8" w:rsidRPr="00151268" w:rsidRDefault="00893EC8" w:rsidP="00E73485">
      <w:pPr>
        <w:pStyle w:val="NormalWeb"/>
        <w:spacing w:line="360" w:lineRule="auto"/>
        <w:jc w:val="center"/>
        <w:rPr>
          <w:rFonts w:asciiTheme="minorBidi" w:hAnsiTheme="minorBidi" w:cstheme="minorBidi"/>
          <w:sz w:val="22"/>
          <w:szCs w:val="22"/>
        </w:rPr>
      </w:pPr>
      <w:r w:rsidRPr="00151268">
        <w:rPr>
          <w:rStyle w:val="Strong"/>
          <w:rFonts w:asciiTheme="minorBidi" w:hAnsiTheme="minorBidi" w:cstheme="minorBidi"/>
          <w:sz w:val="22"/>
          <w:szCs w:val="22"/>
        </w:rPr>
        <w:t>Student Name:</w:t>
      </w:r>
      <w:r w:rsidRPr="00151268">
        <w:rPr>
          <w:rFonts w:asciiTheme="minorBidi" w:hAnsiTheme="minorBidi" w:cstheme="minorBidi"/>
          <w:sz w:val="22"/>
          <w:szCs w:val="22"/>
        </w:rPr>
        <w:t xml:space="preserve"> </w:t>
      </w:r>
      <w:r w:rsidR="00E73485" w:rsidRPr="00151268">
        <w:rPr>
          <w:rFonts w:asciiTheme="minorBidi" w:hAnsiTheme="minorBidi" w:cstheme="minorBidi"/>
          <w:sz w:val="22"/>
          <w:szCs w:val="22"/>
        </w:rPr>
        <w:t>Kiran Zatoon</w:t>
      </w:r>
    </w:p>
    <w:p w14:paraId="447CCD68" w14:textId="77777777" w:rsidR="00893EC8" w:rsidRPr="00151268" w:rsidRDefault="00893EC8" w:rsidP="00E73485">
      <w:pPr>
        <w:pStyle w:val="NormalWeb"/>
        <w:spacing w:line="360" w:lineRule="auto"/>
        <w:jc w:val="center"/>
        <w:rPr>
          <w:rFonts w:asciiTheme="minorBidi" w:hAnsiTheme="minorBidi" w:cstheme="minorBidi"/>
          <w:sz w:val="22"/>
          <w:szCs w:val="22"/>
        </w:rPr>
      </w:pPr>
      <w:r w:rsidRPr="00151268">
        <w:rPr>
          <w:rStyle w:val="Strong"/>
          <w:rFonts w:asciiTheme="minorBidi" w:hAnsiTheme="minorBidi" w:cstheme="minorBidi"/>
          <w:sz w:val="22"/>
          <w:szCs w:val="22"/>
        </w:rPr>
        <w:t>Student Number:</w:t>
      </w:r>
      <w:r w:rsidRPr="00151268">
        <w:rPr>
          <w:rFonts w:asciiTheme="minorBidi" w:hAnsiTheme="minorBidi" w:cstheme="minorBidi"/>
          <w:sz w:val="22"/>
          <w:szCs w:val="22"/>
        </w:rPr>
        <w:t xml:space="preserve"> </w:t>
      </w:r>
      <w:r w:rsidR="00E73485" w:rsidRPr="00151268">
        <w:rPr>
          <w:rFonts w:asciiTheme="minorBidi" w:hAnsiTheme="minorBidi" w:cstheme="minorBidi"/>
          <w:sz w:val="22"/>
          <w:szCs w:val="22"/>
        </w:rPr>
        <w:t>2129822</w:t>
      </w:r>
    </w:p>
    <w:p w14:paraId="02E0F6C9" w14:textId="77777777" w:rsidR="00893EC8" w:rsidRPr="00151268" w:rsidRDefault="00893EC8" w:rsidP="00893EC8">
      <w:pPr>
        <w:pStyle w:val="NormalWeb"/>
        <w:spacing w:line="360" w:lineRule="auto"/>
        <w:jc w:val="center"/>
        <w:rPr>
          <w:rFonts w:asciiTheme="minorBidi" w:hAnsiTheme="minorBidi" w:cstheme="minorBidi"/>
          <w:sz w:val="22"/>
          <w:szCs w:val="22"/>
        </w:rPr>
      </w:pPr>
      <w:r w:rsidRPr="00151268">
        <w:rPr>
          <w:rStyle w:val="Strong"/>
          <w:rFonts w:asciiTheme="minorBidi" w:hAnsiTheme="minorBidi" w:cstheme="minorBidi"/>
          <w:sz w:val="22"/>
          <w:szCs w:val="22"/>
        </w:rPr>
        <w:t>Module Code:</w:t>
      </w:r>
      <w:r w:rsidRPr="00151268">
        <w:rPr>
          <w:rFonts w:asciiTheme="minorBidi" w:hAnsiTheme="minorBidi" w:cstheme="minorBidi"/>
          <w:sz w:val="22"/>
          <w:szCs w:val="22"/>
        </w:rPr>
        <w:t xml:space="preserve"> LCHS4010</w:t>
      </w:r>
    </w:p>
    <w:p w14:paraId="0B6834FF" w14:textId="77777777" w:rsidR="00893EC8" w:rsidRPr="00151268" w:rsidRDefault="00893EC8" w:rsidP="00893EC8">
      <w:pPr>
        <w:pStyle w:val="NormalWeb"/>
        <w:spacing w:line="360" w:lineRule="auto"/>
        <w:jc w:val="center"/>
        <w:rPr>
          <w:rFonts w:asciiTheme="minorBidi" w:hAnsiTheme="minorBidi" w:cstheme="minorBidi"/>
          <w:sz w:val="22"/>
          <w:szCs w:val="22"/>
        </w:rPr>
      </w:pPr>
      <w:r w:rsidRPr="00151268">
        <w:rPr>
          <w:rStyle w:val="Strong"/>
          <w:rFonts w:asciiTheme="minorBidi" w:hAnsiTheme="minorBidi" w:cstheme="minorBidi"/>
          <w:sz w:val="22"/>
          <w:szCs w:val="22"/>
        </w:rPr>
        <w:t>Module Title:</w:t>
      </w:r>
      <w:r w:rsidRPr="00151268">
        <w:rPr>
          <w:rFonts w:asciiTheme="minorBidi" w:hAnsiTheme="minorBidi" w:cstheme="minorBidi"/>
          <w:sz w:val="22"/>
          <w:szCs w:val="22"/>
        </w:rPr>
        <w:t xml:space="preserve"> Psychology in Health and Social Care</w:t>
      </w:r>
    </w:p>
    <w:p w14:paraId="37C5C20D" w14:textId="77777777" w:rsidR="00893EC8" w:rsidRPr="00151268" w:rsidRDefault="00893EC8" w:rsidP="00893EC8">
      <w:pPr>
        <w:pStyle w:val="NormalWeb"/>
        <w:spacing w:line="360" w:lineRule="auto"/>
        <w:jc w:val="center"/>
        <w:rPr>
          <w:rFonts w:asciiTheme="minorBidi" w:hAnsiTheme="minorBidi" w:cstheme="minorBidi"/>
          <w:sz w:val="22"/>
          <w:szCs w:val="22"/>
        </w:rPr>
      </w:pPr>
      <w:r w:rsidRPr="00151268">
        <w:rPr>
          <w:rStyle w:val="Strong"/>
          <w:rFonts w:asciiTheme="minorBidi" w:hAnsiTheme="minorBidi" w:cstheme="minorBidi"/>
          <w:sz w:val="22"/>
          <w:szCs w:val="22"/>
        </w:rPr>
        <w:t>Programme:</w:t>
      </w:r>
      <w:r w:rsidRPr="00151268">
        <w:rPr>
          <w:rFonts w:asciiTheme="minorBidi" w:hAnsiTheme="minorBidi" w:cstheme="minorBidi"/>
          <w:sz w:val="22"/>
          <w:szCs w:val="22"/>
        </w:rPr>
        <w:t xml:space="preserve"> Certificate of Higher Education in Health and Social Care</w:t>
      </w:r>
    </w:p>
    <w:p w14:paraId="38B24C06" w14:textId="77777777" w:rsidR="00893EC8" w:rsidRPr="00151268" w:rsidRDefault="00893EC8" w:rsidP="00893EC8">
      <w:pPr>
        <w:pStyle w:val="NormalWeb"/>
        <w:spacing w:line="360" w:lineRule="auto"/>
        <w:jc w:val="center"/>
        <w:rPr>
          <w:rFonts w:asciiTheme="minorBidi" w:hAnsiTheme="minorBidi" w:cstheme="minorBidi"/>
          <w:sz w:val="22"/>
          <w:szCs w:val="22"/>
        </w:rPr>
      </w:pPr>
      <w:r w:rsidRPr="00151268">
        <w:rPr>
          <w:rStyle w:val="Strong"/>
          <w:rFonts w:asciiTheme="minorBidi" w:hAnsiTheme="minorBidi" w:cstheme="minorBidi"/>
          <w:sz w:val="22"/>
          <w:szCs w:val="22"/>
        </w:rPr>
        <w:t>Lecturer:</w:t>
      </w:r>
      <w:r w:rsidRPr="00151268">
        <w:rPr>
          <w:rFonts w:asciiTheme="minorBidi" w:hAnsiTheme="minorBidi" w:cstheme="minorBidi"/>
          <w:sz w:val="22"/>
          <w:szCs w:val="22"/>
        </w:rPr>
        <w:t xml:space="preserve"> Neale Haddon</w:t>
      </w:r>
    </w:p>
    <w:p w14:paraId="2B1B4E89" w14:textId="77777777" w:rsidR="00893EC8" w:rsidRPr="00151268" w:rsidRDefault="00893EC8" w:rsidP="00893EC8">
      <w:pPr>
        <w:pStyle w:val="NormalWeb"/>
        <w:spacing w:line="360" w:lineRule="auto"/>
        <w:jc w:val="center"/>
        <w:rPr>
          <w:rFonts w:asciiTheme="minorBidi" w:hAnsiTheme="minorBidi" w:cstheme="minorBidi"/>
          <w:sz w:val="22"/>
          <w:szCs w:val="22"/>
        </w:rPr>
      </w:pPr>
      <w:r w:rsidRPr="00151268">
        <w:rPr>
          <w:rStyle w:val="Strong"/>
          <w:rFonts w:asciiTheme="minorBidi" w:hAnsiTheme="minorBidi" w:cstheme="minorBidi"/>
          <w:sz w:val="22"/>
          <w:szCs w:val="22"/>
        </w:rPr>
        <w:t>Assignment Title:</w:t>
      </w:r>
      <w:r w:rsidRPr="00151268">
        <w:rPr>
          <w:rFonts w:asciiTheme="minorBidi" w:hAnsiTheme="minorBidi" w:cstheme="minorBidi"/>
          <w:sz w:val="22"/>
          <w:szCs w:val="22"/>
        </w:rPr>
        <w:t xml:space="preserve"> Assessment 2: Annotated Bibliography and Report</w:t>
      </w:r>
    </w:p>
    <w:p w14:paraId="51A094C4" w14:textId="77777777" w:rsidR="00893EC8" w:rsidRPr="00151268" w:rsidRDefault="00893EC8" w:rsidP="00893EC8">
      <w:pPr>
        <w:pStyle w:val="NormalWeb"/>
        <w:spacing w:line="360" w:lineRule="auto"/>
        <w:jc w:val="center"/>
        <w:rPr>
          <w:rFonts w:asciiTheme="minorBidi" w:hAnsiTheme="minorBidi" w:cstheme="minorBidi"/>
          <w:sz w:val="22"/>
          <w:szCs w:val="22"/>
        </w:rPr>
      </w:pPr>
      <w:r w:rsidRPr="00151268">
        <w:rPr>
          <w:rStyle w:val="Strong"/>
          <w:rFonts w:asciiTheme="minorBidi" w:hAnsiTheme="minorBidi" w:cstheme="minorBidi"/>
          <w:sz w:val="22"/>
          <w:szCs w:val="22"/>
        </w:rPr>
        <w:t>Submission Date:</w:t>
      </w:r>
      <w:r w:rsidRPr="00151268">
        <w:rPr>
          <w:rFonts w:asciiTheme="minorBidi" w:hAnsiTheme="minorBidi" w:cstheme="minorBidi"/>
          <w:sz w:val="22"/>
          <w:szCs w:val="22"/>
        </w:rPr>
        <w:t xml:space="preserve"> 24 March 2026</w:t>
      </w:r>
    </w:p>
    <w:p w14:paraId="1878097C" w14:textId="77777777" w:rsidR="00893EC8" w:rsidRPr="00151268" w:rsidRDefault="00893EC8" w:rsidP="00893EC8">
      <w:pPr>
        <w:pStyle w:val="Title"/>
        <w:spacing w:line="360" w:lineRule="auto"/>
        <w:jc w:val="center"/>
        <w:rPr>
          <w:rFonts w:asciiTheme="minorBidi" w:eastAsia="Times New Roman" w:hAnsiTheme="minorBidi" w:cstheme="minorBidi"/>
          <w:b/>
          <w:bCs/>
          <w:sz w:val="22"/>
          <w:szCs w:val="22"/>
        </w:rPr>
      </w:pPr>
    </w:p>
    <w:p w14:paraId="50108B33" w14:textId="77777777" w:rsidR="00893EC8" w:rsidRPr="00151268" w:rsidRDefault="00893EC8" w:rsidP="00893EC8">
      <w:pPr>
        <w:pStyle w:val="Title"/>
        <w:spacing w:line="360" w:lineRule="auto"/>
        <w:rPr>
          <w:rFonts w:asciiTheme="minorBidi" w:eastAsia="Times New Roman" w:hAnsiTheme="minorBidi" w:cstheme="minorBidi"/>
          <w:b/>
          <w:bCs/>
          <w:sz w:val="32"/>
          <w:szCs w:val="32"/>
        </w:rPr>
      </w:pPr>
    </w:p>
    <w:p w14:paraId="25B9035D" w14:textId="77777777" w:rsidR="00893EC8" w:rsidRPr="00151268" w:rsidRDefault="00893EC8" w:rsidP="00893EC8">
      <w:pPr>
        <w:pStyle w:val="Title"/>
        <w:spacing w:line="360" w:lineRule="auto"/>
        <w:rPr>
          <w:rFonts w:asciiTheme="minorBidi" w:eastAsia="Times New Roman" w:hAnsiTheme="minorBidi" w:cstheme="minorBidi"/>
          <w:b/>
          <w:bCs/>
          <w:sz w:val="32"/>
          <w:szCs w:val="32"/>
        </w:rPr>
      </w:pPr>
    </w:p>
    <w:p w14:paraId="45C2C679" w14:textId="77777777" w:rsidR="00893EC8" w:rsidRPr="00151268" w:rsidRDefault="00893EC8" w:rsidP="00893EC8">
      <w:pPr>
        <w:pStyle w:val="Title"/>
        <w:spacing w:line="360" w:lineRule="auto"/>
        <w:rPr>
          <w:rFonts w:asciiTheme="minorBidi" w:eastAsia="Times New Roman" w:hAnsiTheme="minorBidi" w:cstheme="minorBidi"/>
          <w:b/>
          <w:bCs/>
          <w:sz w:val="32"/>
          <w:szCs w:val="32"/>
        </w:rPr>
      </w:pPr>
    </w:p>
    <w:p w14:paraId="5C44F8EE" w14:textId="77777777" w:rsidR="00893EC8" w:rsidRPr="00151268" w:rsidRDefault="00893EC8" w:rsidP="00893EC8">
      <w:pPr>
        <w:pStyle w:val="Title"/>
        <w:spacing w:line="360" w:lineRule="auto"/>
        <w:rPr>
          <w:rFonts w:asciiTheme="minorBidi" w:eastAsia="Times New Roman" w:hAnsiTheme="minorBidi" w:cstheme="minorBidi"/>
          <w:b/>
          <w:bCs/>
          <w:sz w:val="32"/>
          <w:szCs w:val="32"/>
        </w:rPr>
      </w:pPr>
    </w:p>
    <w:p w14:paraId="5D0EAEA8" w14:textId="77777777" w:rsidR="00893EC8" w:rsidRPr="00151268" w:rsidRDefault="00893EC8" w:rsidP="00893EC8">
      <w:pPr>
        <w:pStyle w:val="Title"/>
        <w:spacing w:line="360" w:lineRule="auto"/>
        <w:rPr>
          <w:rFonts w:asciiTheme="minorBidi" w:eastAsia="Times New Roman" w:hAnsiTheme="minorBidi" w:cstheme="minorBidi"/>
          <w:b/>
          <w:bCs/>
          <w:sz w:val="32"/>
          <w:szCs w:val="32"/>
        </w:rPr>
      </w:pPr>
    </w:p>
    <w:p w14:paraId="174F47F6" w14:textId="77777777" w:rsidR="00893EC8" w:rsidRPr="00151268" w:rsidRDefault="00893EC8" w:rsidP="00893EC8">
      <w:pPr>
        <w:pStyle w:val="Title"/>
        <w:spacing w:line="360" w:lineRule="auto"/>
        <w:rPr>
          <w:rFonts w:asciiTheme="minorBidi" w:eastAsia="Times New Roman" w:hAnsiTheme="minorBidi" w:cstheme="minorBidi"/>
          <w:b/>
          <w:bCs/>
          <w:sz w:val="32"/>
          <w:szCs w:val="32"/>
        </w:rPr>
      </w:pPr>
    </w:p>
    <w:p w14:paraId="5788758B" w14:textId="77777777" w:rsidR="00893EC8" w:rsidRPr="00151268" w:rsidRDefault="00893EC8" w:rsidP="00893EC8">
      <w:pPr>
        <w:rPr>
          <w:rFonts w:asciiTheme="minorBidi" w:hAnsiTheme="minorBidi"/>
        </w:rPr>
      </w:pPr>
    </w:p>
    <w:p w14:paraId="291232C9" w14:textId="77777777" w:rsidR="00893EC8" w:rsidRPr="00151268" w:rsidRDefault="00893EC8" w:rsidP="00893EC8">
      <w:pPr>
        <w:rPr>
          <w:rFonts w:asciiTheme="minorBidi" w:hAnsiTheme="minorBidi"/>
        </w:rPr>
      </w:pPr>
    </w:p>
    <w:p w14:paraId="3A3301F7" w14:textId="77777777" w:rsidR="00893EC8" w:rsidRPr="00151268" w:rsidRDefault="00893EC8" w:rsidP="00893EC8">
      <w:pPr>
        <w:rPr>
          <w:rFonts w:asciiTheme="minorBidi" w:hAnsiTheme="minorBidi"/>
        </w:rPr>
      </w:pPr>
    </w:p>
    <w:p w14:paraId="51DF3C5E" w14:textId="77777777" w:rsidR="00893EC8" w:rsidRPr="00151268" w:rsidRDefault="00893EC8" w:rsidP="00893EC8">
      <w:pPr>
        <w:rPr>
          <w:rFonts w:asciiTheme="minorBidi" w:hAnsiTheme="minorBidi"/>
        </w:rPr>
      </w:pPr>
    </w:p>
    <w:p w14:paraId="7C1BC19B" w14:textId="77777777" w:rsidR="00893EC8" w:rsidRPr="00151268" w:rsidRDefault="00893EC8" w:rsidP="00893EC8">
      <w:pPr>
        <w:rPr>
          <w:rFonts w:asciiTheme="minorBidi" w:hAnsiTheme="minorBidi"/>
        </w:rPr>
      </w:pPr>
    </w:p>
    <w:p w14:paraId="4FDF40E2" w14:textId="77777777" w:rsidR="00893EC8" w:rsidRPr="00151268" w:rsidRDefault="00893EC8" w:rsidP="00893EC8">
      <w:pPr>
        <w:rPr>
          <w:rFonts w:asciiTheme="minorBidi" w:hAnsiTheme="minorBidi"/>
        </w:rPr>
      </w:pPr>
    </w:p>
    <w:p w14:paraId="42C8F565" w14:textId="77777777" w:rsidR="00893EC8" w:rsidRPr="00151268" w:rsidRDefault="00893EC8" w:rsidP="00893EC8">
      <w:pPr>
        <w:pStyle w:val="Title"/>
        <w:spacing w:line="360" w:lineRule="auto"/>
        <w:rPr>
          <w:rFonts w:asciiTheme="minorBidi" w:eastAsia="Times New Roman" w:hAnsiTheme="minorBidi" w:cstheme="minorBidi"/>
          <w:b/>
          <w:bCs/>
          <w:sz w:val="32"/>
          <w:szCs w:val="32"/>
        </w:rPr>
      </w:pPr>
    </w:p>
    <w:p w14:paraId="327AEE9F" w14:textId="77777777" w:rsidR="006A49E1" w:rsidRPr="00151268" w:rsidRDefault="006A49E1" w:rsidP="00893EC8">
      <w:pPr>
        <w:pStyle w:val="Title"/>
        <w:spacing w:line="360" w:lineRule="auto"/>
        <w:rPr>
          <w:rFonts w:asciiTheme="minorBidi" w:eastAsia="Times New Roman" w:hAnsiTheme="minorBidi" w:cstheme="minorBidi"/>
          <w:b/>
          <w:bCs/>
          <w:sz w:val="32"/>
          <w:szCs w:val="32"/>
        </w:rPr>
      </w:pPr>
      <w:r w:rsidRPr="00151268">
        <w:rPr>
          <w:rFonts w:asciiTheme="minorBidi" w:eastAsia="Times New Roman" w:hAnsiTheme="minorBidi" w:cstheme="minorBidi"/>
          <w:b/>
          <w:bCs/>
          <w:sz w:val="32"/>
          <w:szCs w:val="32"/>
        </w:rPr>
        <w:t xml:space="preserve">Part A </w:t>
      </w:r>
      <w:r w:rsidR="00893EC8" w:rsidRPr="00151268">
        <w:rPr>
          <w:rFonts w:asciiTheme="minorBidi" w:eastAsia="Times New Roman" w:hAnsiTheme="minorBidi" w:cstheme="minorBidi"/>
          <w:b/>
          <w:bCs/>
          <w:sz w:val="32"/>
          <w:szCs w:val="32"/>
        </w:rPr>
        <w:t xml:space="preserve">- </w:t>
      </w:r>
      <w:r w:rsidRPr="00151268">
        <w:rPr>
          <w:rFonts w:asciiTheme="minorBidi" w:eastAsia="Times New Roman" w:hAnsiTheme="minorBidi" w:cstheme="minorBidi"/>
          <w:b/>
          <w:bCs/>
          <w:sz w:val="32"/>
          <w:szCs w:val="32"/>
        </w:rPr>
        <w:t xml:space="preserve">Annotated Bibliography </w:t>
      </w:r>
    </w:p>
    <w:p w14:paraId="312115D1" w14:textId="77777777" w:rsidR="006A49E1" w:rsidRPr="00151268" w:rsidRDefault="006A49E1" w:rsidP="006A49E1">
      <w:pPr>
        <w:pStyle w:val="Heading1"/>
        <w:rPr>
          <w:rFonts w:asciiTheme="minorBidi" w:hAnsiTheme="minorBidi" w:cstheme="minorBidi"/>
          <w:sz w:val="28"/>
          <w:szCs w:val="28"/>
        </w:rPr>
      </w:pPr>
      <w:r w:rsidRPr="00151268">
        <w:rPr>
          <w:rFonts w:asciiTheme="minorBidi" w:hAnsiTheme="minorBidi" w:cstheme="minorBidi"/>
          <w:sz w:val="28"/>
          <w:szCs w:val="28"/>
        </w:rPr>
        <w:t>Source 1 - Erikson’s Psychosocial Development Theory</w:t>
      </w:r>
    </w:p>
    <w:p w14:paraId="5D4EB469" w14:textId="77777777" w:rsidR="006A49E1" w:rsidRPr="00151268" w:rsidRDefault="006A49E1" w:rsidP="006A49E1">
      <w:pPr>
        <w:pStyle w:val="Heading2"/>
        <w:rPr>
          <w:rFonts w:asciiTheme="minorBidi" w:hAnsiTheme="minorBidi" w:cstheme="minorBidi"/>
          <w:sz w:val="26"/>
          <w:szCs w:val="26"/>
        </w:rPr>
      </w:pPr>
      <w:r w:rsidRPr="00151268">
        <w:rPr>
          <w:rFonts w:asciiTheme="minorBidi" w:hAnsiTheme="minorBidi" w:cstheme="minorBidi"/>
          <w:sz w:val="26"/>
          <w:szCs w:val="26"/>
        </w:rPr>
        <w:t xml:space="preserve">Reference </w:t>
      </w:r>
    </w:p>
    <w:p w14:paraId="2F6C16E8" w14:textId="77777777" w:rsidR="006A49E1" w:rsidRPr="00151268" w:rsidRDefault="006A49E1" w:rsidP="006A49E1">
      <w:pPr>
        <w:spacing w:line="360" w:lineRule="auto"/>
        <w:jc w:val="both"/>
        <w:rPr>
          <w:rFonts w:asciiTheme="minorBidi" w:hAnsiTheme="minorBidi"/>
          <w:i/>
          <w:iCs/>
        </w:rPr>
      </w:pPr>
      <w:r w:rsidRPr="00151268">
        <w:rPr>
          <w:rFonts w:asciiTheme="minorBidi" w:hAnsiTheme="minorBidi"/>
          <w:i/>
          <w:iCs/>
        </w:rPr>
        <w:t>Erikson, E.H. (1998) The life cycle completed. New York: W.W. Norton.</w:t>
      </w:r>
    </w:p>
    <w:p w14:paraId="60B7984C" w14:textId="77777777" w:rsidR="006A49E1" w:rsidRPr="00151268" w:rsidRDefault="006A49E1" w:rsidP="006A49E1">
      <w:pPr>
        <w:pStyle w:val="Heading2"/>
        <w:rPr>
          <w:rFonts w:asciiTheme="minorBidi" w:hAnsiTheme="minorBidi" w:cstheme="minorBidi"/>
          <w:sz w:val="26"/>
          <w:szCs w:val="26"/>
        </w:rPr>
      </w:pPr>
      <w:r w:rsidRPr="00151268">
        <w:rPr>
          <w:rFonts w:asciiTheme="minorBidi" w:hAnsiTheme="minorBidi" w:cstheme="minorBidi"/>
          <w:sz w:val="26"/>
          <w:szCs w:val="26"/>
        </w:rPr>
        <w:t xml:space="preserve">Summary </w:t>
      </w:r>
    </w:p>
    <w:p w14:paraId="7E5A8987"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The psychosocial theory by Erikson explains human development to be a lifespan process in which there are eight stages where psychological conflict arises that has to be conquered. The last level, which is integrity versus despair, is especially applicable to adulthood. At this stage people look back on their lives, analyze their accomplishments and relations and create an image of acceptance or remorse. Overcoming conflict leads to satisfaction, sense of accomplishment and knowledge, and when conflicts are not over, the outcome may be disappointment, despondency or fear of dying. The theory is more focused on the emotional and identity-based ageing, and the significance of life review and social recognition on wellbeing</w:t>
      </w:r>
      <w:r w:rsidR="00151268" w:rsidRPr="00151268">
        <w:rPr>
          <w:rFonts w:asciiTheme="minorBidi" w:hAnsiTheme="minorBidi"/>
        </w:rPr>
        <w:t xml:space="preserve"> (Erikson, 1998)</w:t>
      </w:r>
      <w:r w:rsidRPr="00151268">
        <w:rPr>
          <w:rFonts w:asciiTheme="minorBidi" w:hAnsiTheme="minorBidi"/>
        </w:rPr>
        <w:t>.</w:t>
      </w:r>
    </w:p>
    <w:p w14:paraId="725AEBC9" w14:textId="77777777" w:rsidR="006A49E1" w:rsidRPr="00151268" w:rsidRDefault="006A49E1" w:rsidP="006A49E1">
      <w:pPr>
        <w:pStyle w:val="Heading2"/>
        <w:rPr>
          <w:rFonts w:asciiTheme="minorBidi" w:hAnsiTheme="minorBidi" w:cstheme="minorBidi"/>
          <w:sz w:val="26"/>
          <w:szCs w:val="26"/>
        </w:rPr>
      </w:pPr>
      <w:r w:rsidRPr="00151268">
        <w:rPr>
          <w:rFonts w:asciiTheme="minorBidi" w:hAnsiTheme="minorBidi" w:cstheme="minorBidi"/>
          <w:sz w:val="26"/>
          <w:szCs w:val="26"/>
        </w:rPr>
        <w:t>Critical relevance notes</w:t>
      </w:r>
    </w:p>
    <w:p w14:paraId="251485DE"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The views can be applied to health and social care practitioners dealing with older adults since they promote interventions like reminiscence therapy and dignity-focused care. Residents can be assisted in reflecting and telling stories to ensure identity and emotional stability</w:t>
      </w:r>
      <w:r w:rsidR="00151268" w:rsidRPr="00151268">
        <w:rPr>
          <w:rFonts w:asciiTheme="minorBidi" w:hAnsiTheme="minorBidi"/>
        </w:rPr>
        <w:t xml:space="preserve"> (Cattan </w:t>
      </w:r>
      <w:r w:rsidR="00151268" w:rsidRPr="00151268">
        <w:rPr>
          <w:rStyle w:val="Emphasis"/>
          <w:rFonts w:asciiTheme="minorBidi" w:hAnsiTheme="minorBidi"/>
        </w:rPr>
        <w:t>et al.</w:t>
      </w:r>
      <w:r w:rsidR="00151268" w:rsidRPr="00151268">
        <w:rPr>
          <w:rFonts w:asciiTheme="minorBidi" w:hAnsiTheme="minorBidi"/>
        </w:rPr>
        <w:t>, 2005)</w:t>
      </w:r>
      <w:r w:rsidRPr="00151268">
        <w:rPr>
          <w:rFonts w:asciiTheme="minorBidi" w:hAnsiTheme="minorBidi"/>
        </w:rPr>
        <w:t>. Nonetheless, the model is limited because it generalises development in all cultures and it lacks in explaining the effects of physical illness or institutional living conditions on psychological outcomes.</w:t>
      </w:r>
    </w:p>
    <w:p w14:paraId="1F605544" w14:textId="77777777" w:rsidR="006A49E1" w:rsidRPr="00151268" w:rsidRDefault="006A49E1" w:rsidP="006A49E1">
      <w:pPr>
        <w:pStyle w:val="Heading1"/>
        <w:rPr>
          <w:rFonts w:asciiTheme="minorBidi" w:hAnsiTheme="minorBidi" w:cstheme="minorBidi"/>
          <w:sz w:val="28"/>
          <w:szCs w:val="28"/>
        </w:rPr>
      </w:pPr>
      <w:r w:rsidRPr="00151268">
        <w:rPr>
          <w:rFonts w:asciiTheme="minorBidi" w:hAnsiTheme="minorBidi" w:cstheme="minorBidi"/>
          <w:sz w:val="28"/>
          <w:szCs w:val="28"/>
        </w:rPr>
        <w:t>Source 2  the Activity Theory of Havighurst.</w:t>
      </w:r>
    </w:p>
    <w:p w14:paraId="4DB3CD58" w14:textId="77777777" w:rsidR="006A49E1" w:rsidRPr="00151268" w:rsidRDefault="006A49E1" w:rsidP="006A49E1">
      <w:pPr>
        <w:pStyle w:val="Heading2"/>
        <w:rPr>
          <w:rFonts w:asciiTheme="minorBidi" w:hAnsiTheme="minorBidi" w:cstheme="minorBidi"/>
          <w:sz w:val="26"/>
          <w:szCs w:val="26"/>
        </w:rPr>
      </w:pPr>
      <w:r w:rsidRPr="00151268">
        <w:rPr>
          <w:rFonts w:asciiTheme="minorBidi" w:hAnsiTheme="minorBidi" w:cstheme="minorBidi"/>
          <w:sz w:val="26"/>
          <w:szCs w:val="26"/>
        </w:rPr>
        <w:t>Reference</w:t>
      </w:r>
    </w:p>
    <w:p w14:paraId="05D9994A" w14:textId="77777777" w:rsidR="006A49E1" w:rsidRPr="00151268" w:rsidRDefault="006A49E1" w:rsidP="006A49E1">
      <w:pPr>
        <w:spacing w:line="360" w:lineRule="auto"/>
        <w:jc w:val="both"/>
        <w:rPr>
          <w:rFonts w:asciiTheme="minorBidi" w:hAnsiTheme="minorBidi"/>
          <w:i/>
          <w:iCs/>
        </w:rPr>
      </w:pPr>
      <w:r w:rsidRPr="00151268">
        <w:rPr>
          <w:rFonts w:asciiTheme="minorBidi" w:hAnsiTheme="minorBidi"/>
          <w:i/>
          <w:iCs/>
        </w:rPr>
        <w:t>Havighurst, R.J (1961) Successful aging, The Gerontologist, 1(1), pp. 813.</w:t>
      </w:r>
    </w:p>
    <w:p w14:paraId="07DA6A14" w14:textId="77777777" w:rsidR="006A49E1" w:rsidRPr="00151268" w:rsidRDefault="006A49E1" w:rsidP="006A49E1">
      <w:pPr>
        <w:pStyle w:val="Heading2"/>
        <w:rPr>
          <w:rFonts w:asciiTheme="minorBidi" w:hAnsiTheme="minorBidi" w:cstheme="minorBidi"/>
          <w:sz w:val="26"/>
          <w:szCs w:val="26"/>
        </w:rPr>
      </w:pPr>
      <w:r w:rsidRPr="00151268">
        <w:rPr>
          <w:rFonts w:asciiTheme="minorBidi" w:hAnsiTheme="minorBidi" w:cstheme="minorBidi"/>
          <w:sz w:val="26"/>
          <w:szCs w:val="26"/>
        </w:rPr>
        <w:t>Summary</w:t>
      </w:r>
    </w:p>
    <w:p w14:paraId="61242B99"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The argument of activity theory is that effective ageing is based on people remaining active in terms of social role, relationship and meaningful activity. This view holds that it would be beneficial to continue engaging in activities or hobbies, community service or socialization, and it would help in satisfaction and psychological wellbeing. Reduced morale and decreasing self-esteem is linked with withdrawal; voluntary or forced. The theory positions ageing as a phase where adaptation and involvement continues to be vital in order to sustain a quality of life</w:t>
      </w:r>
      <w:r w:rsidR="00151268" w:rsidRPr="00151268">
        <w:rPr>
          <w:rFonts w:asciiTheme="minorBidi" w:hAnsiTheme="minorBidi"/>
        </w:rPr>
        <w:t xml:space="preserve"> (Havighurst, 1961)</w:t>
      </w:r>
      <w:r w:rsidRPr="00151268">
        <w:rPr>
          <w:rFonts w:asciiTheme="minorBidi" w:hAnsiTheme="minorBidi"/>
        </w:rPr>
        <w:t>.</w:t>
      </w:r>
    </w:p>
    <w:p w14:paraId="43A97E79" w14:textId="77777777" w:rsidR="006A49E1" w:rsidRPr="00151268" w:rsidRDefault="006A49E1" w:rsidP="006A49E1">
      <w:pPr>
        <w:pStyle w:val="Heading2"/>
        <w:rPr>
          <w:rFonts w:asciiTheme="minorBidi" w:hAnsiTheme="minorBidi" w:cstheme="minorBidi"/>
          <w:sz w:val="26"/>
          <w:szCs w:val="26"/>
        </w:rPr>
      </w:pPr>
      <w:r w:rsidRPr="00151268">
        <w:rPr>
          <w:rFonts w:asciiTheme="minorBidi" w:hAnsiTheme="minorBidi" w:cstheme="minorBidi"/>
          <w:sz w:val="26"/>
          <w:szCs w:val="26"/>
        </w:rPr>
        <w:t>Critical relevance notes</w:t>
      </w:r>
    </w:p>
    <w:p w14:paraId="5865C564"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The practice can give a clear guideline on the residential care environment, with the aid of the structured programmes like group events, exercise sessions or creative workshops. The involvement can be encouraged to make people feel less lonely and strengthen their autonomy. However, it can presume that every person is equally able to be active, without considering such disabilities as disability, chronic disease or cognitive inefficiency. Consequently, the practitioners will be required to use the theory in a flexible but not universal way.</w:t>
      </w:r>
    </w:p>
    <w:p w14:paraId="53527A93" w14:textId="77777777" w:rsidR="006A49E1" w:rsidRPr="00151268" w:rsidRDefault="006A49E1" w:rsidP="006A49E1">
      <w:pPr>
        <w:pStyle w:val="Heading1"/>
        <w:rPr>
          <w:rFonts w:asciiTheme="minorBidi" w:hAnsiTheme="minorBidi" w:cstheme="minorBidi"/>
          <w:sz w:val="28"/>
          <w:szCs w:val="28"/>
        </w:rPr>
      </w:pPr>
      <w:r w:rsidRPr="00151268">
        <w:rPr>
          <w:rFonts w:asciiTheme="minorBidi" w:hAnsiTheme="minorBidi" w:cstheme="minorBidi"/>
          <w:sz w:val="28"/>
          <w:szCs w:val="28"/>
        </w:rPr>
        <w:t>Source 3 - Bowlby Attachment Theory.</w:t>
      </w:r>
    </w:p>
    <w:p w14:paraId="1E352CCD" w14:textId="77777777" w:rsidR="006A49E1" w:rsidRPr="00151268" w:rsidRDefault="006A49E1" w:rsidP="006A49E1">
      <w:pPr>
        <w:pStyle w:val="Heading2"/>
        <w:rPr>
          <w:rFonts w:asciiTheme="minorBidi" w:hAnsiTheme="minorBidi" w:cstheme="minorBidi"/>
          <w:sz w:val="26"/>
          <w:szCs w:val="26"/>
        </w:rPr>
      </w:pPr>
      <w:r w:rsidRPr="00151268">
        <w:rPr>
          <w:rFonts w:asciiTheme="minorBidi" w:hAnsiTheme="minorBidi" w:cstheme="minorBidi"/>
          <w:sz w:val="26"/>
          <w:szCs w:val="26"/>
        </w:rPr>
        <w:t>Reference</w:t>
      </w:r>
    </w:p>
    <w:p w14:paraId="79046E50" w14:textId="77777777" w:rsidR="006A49E1" w:rsidRPr="00151268" w:rsidRDefault="006A49E1" w:rsidP="006A49E1">
      <w:pPr>
        <w:spacing w:line="360" w:lineRule="auto"/>
        <w:jc w:val="both"/>
        <w:rPr>
          <w:rFonts w:asciiTheme="minorBidi" w:hAnsiTheme="minorBidi"/>
          <w:i/>
          <w:iCs/>
        </w:rPr>
      </w:pPr>
      <w:r w:rsidRPr="00151268">
        <w:rPr>
          <w:rFonts w:asciiTheme="minorBidi" w:hAnsiTheme="minorBidi"/>
          <w:i/>
          <w:iCs/>
        </w:rPr>
        <w:t>Bowlby, J. (1988) A secure base: Parent-child attachment and healthy development of human beings. London: Routledge.</w:t>
      </w:r>
    </w:p>
    <w:p w14:paraId="3A08FBF5" w14:textId="77777777" w:rsidR="006A49E1" w:rsidRPr="00151268" w:rsidRDefault="006A49E1" w:rsidP="006A49E1">
      <w:pPr>
        <w:pStyle w:val="Heading2"/>
        <w:rPr>
          <w:rFonts w:asciiTheme="minorBidi" w:hAnsiTheme="minorBidi" w:cstheme="minorBidi"/>
          <w:sz w:val="26"/>
          <w:szCs w:val="26"/>
        </w:rPr>
      </w:pPr>
      <w:r w:rsidRPr="00151268">
        <w:rPr>
          <w:rFonts w:asciiTheme="minorBidi" w:hAnsiTheme="minorBidi" w:cstheme="minorBidi"/>
          <w:sz w:val="26"/>
          <w:szCs w:val="26"/>
        </w:rPr>
        <w:t>Summary</w:t>
      </w:r>
    </w:p>
    <w:p w14:paraId="05B6BA74"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Attachment theory investigates the role of the emotional bonds developed during the lifetime on the security, coping and behaviour. Even though it was originally based on childhood, the framework has some implications on later life transitions. Translocation into residential care or detachment of familiar surroundings can instigate anxiety or distress in relation to attachment. The fact that there are positive relationships with caregivers, regular emotional support and care helps to feel safe and adjusted. The theory thus emphasizes on the relational aspect of lifespan wellbeing</w:t>
      </w:r>
      <w:r w:rsidR="00151268" w:rsidRPr="00151268">
        <w:rPr>
          <w:rFonts w:asciiTheme="minorBidi" w:hAnsiTheme="minorBidi"/>
        </w:rPr>
        <w:t xml:space="preserve"> (Bowlby, 1988)</w:t>
      </w:r>
      <w:r w:rsidRPr="00151268">
        <w:rPr>
          <w:rFonts w:asciiTheme="minorBidi" w:hAnsiTheme="minorBidi"/>
        </w:rPr>
        <w:t>.</w:t>
      </w:r>
    </w:p>
    <w:p w14:paraId="4E1B9C74" w14:textId="77777777" w:rsidR="006A49E1" w:rsidRPr="00151268" w:rsidRDefault="006A49E1" w:rsidP="006A49E1">
      <w:pPr>
        <w:pStyle w:val="Heading2"/>
        <w:rPr>
          <w:rFonts w:asciiTheme="minorBidi" w:hAnsiTheme="minorBidi" w:cstheme="minorBidi"/>
          <w:sz w:val="26"/>
          <w:szCs w:val="26"/>
        </w:rPr>
      </w:pPr>
      <w:r w:rsidRPr="00151268">
        <w:rPr>
          <w:rFonts w:asciiTheme="minorBidi" w:hAnsiTheme="minorBidi" w:cstheme="minorBidi"/>
          <w:sz w:val="26"/>
          <w:szCs w:val="26"/>
        </w:rPr>
        <w:t>Critical relevance notes</w:t>
      </w:r>
    </w:p>
    <w:p w14:paraId="144DDD58"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The knowledge of attachment can aid professionals to perceive behaviours like withdrawal or aggression in older residents. Trust and emotional comfort can be enhanced with the help of relationship-centred care, continuity of staff interaction, and supportive communication. One of the limitations though is that the theory was not established as an ageing population theory so its use must be interpreted and together with a gerontological study supplemented</w:t>
      </w:r>
      <w:r w:rsidR="00151268" w:rsidRPr="00151268">
        <w:rPr>
          <w:rFonts w:asciiTheme="minorBidi" w:hAnsiTheme="minorBidi"/>
        </w:rPr>
        <w:t xml:space="preserve"> (Holt-Lunstad </w:t>
      </w:r>
      <w:r w:rsidR="00151268" w:rsidRPr="00151268">
        <w:rPr>
          <w:rStyle w:val="Emphasis"/>
          <w:rFonts w:asciiTheme="minorBidi" w:hAnsiTheme="minorBidi"/>
        </w:rPr>
        <w:t>et al.</w:t>
      </w:r>
      <w:r w:rsidR="00151268" w:rsidRPr="00151268">
        <w:rPr>
          <w:rFonts w:asciiTheme="minorBidi" w:hAnsiTheme="minorBidi"/>
        </w:rPr>
        <w:t>, 2010)</w:t>
      </w:r>
      <w:r w:rsidRPr="00151268">
        <w:rPr>
          <w:rFonts w:asciiTheme="minorBidi" w:hAnsiTheme="minorBidi"/>
        </w:rPr>
        <w:t>.</w:t>
      </w:r>
    </w:p>
    <w:p w14:paraId="0A312C39" w14:textId="77777777" w:rsidR="006A49E1" w:rsidRPr="00151268" w:rsidRDefault="006A49E1" w:rsidP="006A49E1">
      <w:pPr>
        <w:pStyle w:val="Heading1"/>
        <w:rPr>
          <w:rFonts w:asciiTheme="minorBidi" w:hAnsiTheme="minorBidi" w:cstheme="minorBidi"/>
          <w:sz w:val="28"/>
          <w:szCs w:val="28"/>
        </w:rPr>
      </w:pPr>
      <w:r w:rsidRPr="00151268">
        <w:rPr>
          <w:rFonts w:asciiTheme="minorBidi" w:hAnsiTheme="minorBidi" w:cstheme="minorBidi"/>
          <w:sz w:val="28"/>
          <w:szCs w:val="28"/>
        </w:rPr>
        <w:t>Source 4 - Ageing and Positive Psychology.</w:t>
      </w:r>
    </w:p>
    <w:p w14:paraId="1B7A437A" w14:textId="77777777" w:rsidR="006A49E1" w:rsidRPr="00151268" w:rsidRDefault="006A49E1" w:rsidP="006A49E1">
      <w:pPr>
        <w:pStyle w:val="Heading2"/>
        <w:rPr>
          <w:rFonts w:asciiTheme="minorBidi" w:hAnsiTheme="minorBidi" w:cstheme="minorBidi"/>
          <w:sz w:val="26"/>
          <w:szCs w:val="26"/>
        </w:rPr>
      </w:pPr>
      <w:r w:rsidRPr="00151268">
        <w:rPr>
          <w:rFonts w:asciiTheme="minorBidi" w:hAnsiTheme="minorBidi" w:cstheme="minorBidi"/>
          <w:sz w:val="26"/>
          <w:szCs w:val="26"/>
        </w:rPr>
        <w:t>Reference</w:t>
      </w:r>
    </w:p>
    <w:p w14:paraId="3C7B5EB6" w14:textId="77777777" w:rsidR="006A49E1" w:rsidRPr="00151268" w:rsidRDefault="006A49E1" w:rsidP="006A49E1">
      <w:pPr>
        <w:spacing w:line="360" w:lineRule="auto"/>
        <w:jc w:val="both"/>
        <w:rPr>
          <w:rFonts w:asciiTheme="minorBidi" w:hAnsiTheme="minorBidi"/>
          <w:i/>
          <w:iCs/>
        </w:rPr>
      </w:pPr>
      <w:r w:rsidRPr="00151268">
        <w:rPr>
          <w:rFonts w:asciiTheme="minorBidi" w:hAnsiTheme="minorBidi"/>
          <w:i/>
          <w:iCs/>
        </w:rPr>
        <w:t>Seligman, M.E.P. ( 2011) Flourish: A visionary different view of happiness and wellbeing. New York: Free Press.</w:t>
      </w:r>
    </w:p>
    <w:p w14:paraId="63ED3937" w14:textId="77777777" w:rsidR="006A49E1" w:rsidRPr="00151268" w:rsidRDefault="006A49E1" w:rsidP="006A49E1">
      <w:pPr>
        <w:pStyle w:val="Heading2"/>
        <w:rPr>
          <w:rFonts w:asciiTheme="minorBidi" w:hAnsiTheme="minorBidi" w:cstheme="minorBidi"/>
          <w:sz w:val="26"/>
          <w:szCs w:val="26"/>
        </w:rPr>
      </w:pPr>
      <w:r w:rsidRPr="00151268">
        <w:rPr>
          <w:rFonts w:asciiTheme="minorBidi" w:hAnsiTheme="minorBidi" w:cstheme="minorBidi"/>
          <w:sz w:val="26"/>
          <w:szCs w:val="26"/>
        </w:rPr>
        <w:t>Summary</w:t>
      </w:r>
    </w:p>
    <w:p w14:paraId="1EB8EFAA"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Positive psychology is also concerned with strengths and resilience and other variables that enhance flourishing instead of dwelling on deficits or disease. Some of the main elements are meaning, engagement, relationship, accomplishment and positive emotion. Applying the strategy to older adulthood promotes the realization of abilities, life experience and meaning. The focus on optimism and self-worth can enhance better mental health outcomes and adaptive coping in the face of this physical or social age-related change</w:t>
      </w:r>
      <w:r w:rsidR="00151268" w:rsidRPr="00151268">
        <w:rPr>
          <w:rFonts w:asciiTheme="minorBidi" w:hAnsiTheme="minorBidi"/>
        </w:rPr>
        <w:t xml:space="preserve"> (Seligman, 2011)</w:t>
      </w:r>
      <w:r w:rsidRPr="00151268">
        <w:rPr>
          <w:rFonts w:asciiTheme="minorBidi" w:hAnsiTheme="minorBidi"/>
        </w:rPr>
        <w:t>.</w:t>
      </w:r>
    </w:p>
    <w:p w14:paraId="37CF09D3" w14:textId="77777777" w:rsidR="006A49E1" w:rsidRPr="00151268" w:rsidRDefault="006A49E1" w:rsidP="006A49E1">
      <w:pPr>
        <w:pStyle w:val="Heading2"/>
        <w:rPr>
          <w:rFonts w:asciiTheme="minorBidi" w:hAnsiTheme="minorBidi" w:cstheme="minorBidi"/>
          <w:sz w:val="26"/>
          <w:szCs w:val="26"/>
        </w:rPr>
      </w:pPr>
      <w:r w:rsidRPr="00151268">
        <w:rPr>
          <w:rFonts w:asciiTheme="minorBidi" w:hAnsiTheme="minorBidi" w:cstheme="minorBidi"/>
          <w:sz w:val="26"/>
          <w:szCs w:val="26"/>
        </w:rPr>
        <w:t>Critical relevance notes</w:t>
      </w:r>
    </w:p>
    <w:p w14:paraId="1CB8BEEB"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This view is underpinning in the realm of health and social care in terms of strengths-based assessment as well as individualised care planning that acknowledges the capabilities of residents. Wellbeing can be promoted by encouraging an engagement in meaningful activities and promoting social interactions. Nevertheless, the strategy can overlook institutional constraints that include staffing issues or budget constraints which can influence implementation in institutional settings.</w:t>
      </w:r>
    </w:p>
    <w:p w14:paraId="7680F9FC" w14:textId="77777777" w:rsidR="00B635A4" w:rsidRPr="00151268" w:rsidRDefault="00B635A4" w:rsidP="006A49E1">
      <w:pPr>
        <w:spacing w:line="360" w:lineRule="auto"/>
        <w:jc w:val="both"/>
        <w:rPr>
          <w:rFonts w:asciiTheme="minorBidi" w:hAnsiTheme="minorBidi"/>
        </w:rPr>
      </w:pPr>
    </w:p>
    <w:p w14:paraId="4D0336BA" w14:textId="77777777" w:rsidR="006A49E1" w:rsidRPr="00151268" w:rsidRDefault="006A49E1" w:rsidP="006A49E1">
      <w:pPr>
        <w:spacing w:line="360" w:lineRule="auto"/>
        <w:jc w:val="both"/>
        <w:rPr>
          <w:rFonts w:asciiTheme="minorBidi" w:hAnsiTheme="minorBidi"/>
        </w:rPr>
      </w:pPr>
    </w:p>
    <w:p w14:paraId="0F5752EB" w14:textId="77777777" w:rsidR="006A49E1" w:rsidRPr="00151268" w:rsidRDefault="006A49E1" w:rsidP="006A49E1">
      <w:pPr>
        <w:spacing w:line="360" w:lineRule="auto"/>
        <w:jc w:val="both"/>
        <w:rPr>
          <w:rFonts w:asciiTheme="minorBidi" w:hAnsiTheme="minorBidi"/>
        </w:rPr>
      </w:pPr>
    </w:p>
    <w:p w14:paraId="2414B094" w14:textId="77777777" w:rsidR="006A49E1" w:rsidRPr="00151268" w:rsidRDefault="006A49E1" w:rsidP="006A49E1">
      <w:pPr>
        <w:spacing w:line="360" w:lineRule="auto"/>
        <w:jc w:val="both"/>
        <w:rPr>
          <w:rFonts w:asciiTheme="minorBidi" w:hAnsiTheme="minorBidi"/>
        </w:rPr>
      </w:pPr>
    </w:p>
    <w:p w14:paraId="48C6E1E0" w14:textId="77777777" w:rsidR="006A49E1" w:rsidRPr="00151268" w:rsidRDefault="006A49E1" w:rsidP="006A49E1">
      <w:pPr>
        <w:spacing w:line="360" w:lineRule="auto"/>
        <w:jc w:val="both"/>
        <w:rPr>
          <w:rFonts w:asciiTheme="minorBidi" w:hAnsiTheme="minorBidi"/>
        </w:rPr>
      </w:pPr>
    </w:p>
    <w:p w14:paraId="10D42C7D" w14:textId="77777777" w:rsidR="00893EC8" w:rsidRPr="00151268" w:rsidRDefault="00893EC8" w:rsidP="006A49E1">
      <w:pPr>
        <w:spacing w:line="360" w:lineRule="auto"/>
        <w:jc w:val="both"/>
        <w:rPr>
          <w:rFonts w:asciiTheme="minorBidi" w:hAnsiTheme="minorBidi"/>
        </w:rPr>
      </w:pPr>
    </w:p>
    <w:p w14:paraId="36BB7048" w14:textId="77777777" w:rsidR="006A49E1" w:rsidRPr="00151268" w:rsidRDefault="006A49E1" w:rsidP="006A49E1">
      <w:pPr>
        <w:pStyle w:val="Title"/>
        <w:rPr>
          <w:rFonts w:asciiTheme="minorBidi" w:hAnsiTheme="minorBidi" w:cstheme="minorBidi"/>
          <w:b/>
          <w:bCs/>
          <w:sz w:val="32"/>
          <w:szCs w:val="32"/>
        </w:rPr>
      </w:pPr>
      <w:r w:rsidRPr="00151268">
        <w:rPr>
          <w:rFonts w:asciiTheme="minorBidi" w:hAnsiTheme="minorBidi" w:cstheme="minorBidi"/>
          <w:b/>
          <w:bCs/>
          <w:sz w:val="32"/>
          <w:szCs w:val="32"/>
        </w:rPr>
        <w:t>PART B - Short Report</w:t>
      </w:r>
    </w:p>
    <w:p w14:paraId="4FCF4ED3" w14:textId="77777777" w:rsidR="006A49E1" w:rsidRPr="00151268" w:rsidRDefault="006A49E1" w:rsidP="006A49E1">
      <w:pPr>
        <w:pStyle w:val="Heading1"/>
        <w:rPr>
          <w:rFonts w:asciiTheme="minorBidi" w:hAnsiTheme="minorBidi" w:cstheme="minorBidi"/>
          <w:sz w:val="28"/>
          <w:szCs w:val="28"/>
        </w:rPr>
      </w:pPr>
      <w:r w:rsidRPr="00151268">
        <w:rPr>
          <w:rFonts w:asciiTheme="minorBidi" w:hAnsiTheme="minorBidi" w:cstheme="minorBidi"/>
          <w:sz w:val="28"/>
          <w:szCs w:val="28"/>
        </w:rPr>
        <w:t>Applying Erikson’s Psychosocial Theory to Support Wellbeing in Residential Care</w:t>
      </w:r>
    </w:p>
    <w:p w14:paraId="5F0FD83B" w14:textId="77777777" w:rsidR="006A49E1" w:rsidRPr="00151268" w:rsidRDefault="006A49E1" w:rsidP="006A49E1">
      <w:pPr>
        <w:pStyle w:val="Heading2"/>
        <w:rPr>
          <w:rFonts w:asciiTheme="minorBidi" w:hAnsiTheme="minorBidi" w:cstheme="minorBidi"/>
          <w:sz w:val="26"/>
          <w:szCs w:val="26"/>
        </w:rPr>
      </w:pPr>
      <w:r w:rsidRPr="00151268">
        <w:rPr>
          <w:rFonts w:asciiTheme="minorBidi" w:hAnsiTheme="minorBidi" w:cstheme="minorBidi"/>
          <w:sz w:val="26"/>
          <w:szCs w:val="26"/>
        </w:rPr>
        <w:t>Introduction</w:t>
      </w:r>
    </w:p>
    <w:p w14:paraId="7DE738A1"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This is because knowledge of the development of the psyche during later life is very crucial to those professionals in residential care setting. The elderly have to cope with major emotional and social changes such as relocation, loss of independence and identity shift. The psychological theory has the potential to assist in creating a structured approach to guide supportive practice. The psychosocial development theory by Erikson gives an understanding of emotional needs during older adulthood especially at the stage of integrity vs despair</w:t>
      </w:r>
      <w:r w:rsidR="00151268" w:rsidRPr="00151268">
        <w:rPr>
          <w:rFonts w:asciiTheme="minorBidi" w:hAnsiTheme="minorBidi"/>
        </w:rPr>
        <w:t xml:space="preserve"> (Erikson, 1998)</w:t>
      </w:r>
      <w:r w:rsidRPr="00151268">
        <w:rPr>
          <w:rFonts w:asciiTheme="minorBidi" w:hAnsiTheme="minorBidi"/>
        </w:rPr>
        <w:t>. Using this perspective, professionals can use interventions that facilitate reflection, dignity and emotional wellbeing in residents.</w:t>
      </w:r>
    </w:p>
    <w:p w14:paraId="2A747997" w14:textId="77777777" w:rsidR="006A49E1" w:rsidRPr="00151268" w:rsidRDefault="006A49E1" w:rsidP="006A49E1">
      <w:pPr>
        <w:pStyle w:val="Heading2"/>
        <w:rPr>
          <w:rFonts w:asciiTheme="minorBidi" w:hAnsiTheme="minorBidi" w:cstheme="minorBidi"/>
          <w:sz w:val="26"/>
          <w:szCs w:val="26"/>
        </w:rPr>
      </w:pPr>
      <w:r w:rsidRPr="00151268">
        <w:rPr>
          <w:rFonts w:asciiTheme="minorBidi" w:hAnsiTheme="minorBidi" w:cstheme="minorBidi"/>
          <w:sz w:val="26"/>
          <w:szCs w:val="26"/>
        </w:rPr>
        <w:t>Application and Elucidation of the Theory.</w:t>
      </w:r>
    </w:p>
    <w:p w14:paraId="51696E7F"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The model set out by Erikson suggests that lifelong development is made up of a sequence of psychosocial stages. The last phase, which is linked to the elder adulthood, is the reflection on the life experiences. Those who gain the sense of integrity find acceptance to their life story which leads to feelings of fulfilment and less worry about ageing and dying. On the other hand the sufferers of the hopelessness state can live by contemplating failures and they can regret or have symptoms of depression</w:t>
      </w:r>
      <w:r w:rsidR="00151268" w:rsidRPr="00151268">
        <w:rPr>
          <w:rFonts w:asciiTheme="minorBidi" w:hAnsiTheme="minorBidi"/>
        </w:rPr>
        <w:t xml:space="preserve"> (Erikson, 1998)</w:t>
      </w:r>
      <w:r w:rsidRPr="00151268">
        <w:rPr>
          <w:rFonts w:asciiTheme="minorBidi" w:hAnsiTheme="minorBidi"/>
        </w:rPr>
        <w:t>.</w:t>
      </w:r>
    </w:p>
    <w:p w14:paraId="54C0D367"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This framework emphasizes the significance of assisting the residents in terms of identity and life story in residential care. Care providers may use the theory by providing formal reflective processes, including life-review, storytelling experiences or memory-sharing. Achievement sharing, sharing relationships, and significant experiences encourage residents to self-affirm and belong. The presence of personal photographs or the use of residents in decision-making further justifies identity and autonomy.</w:t>
      </w:r>
    </w:p>
    <w:p w14:paraId="047B0B63"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Moreover, interaction between staff also has an important part. Patient communication and active listening and acknowledgment of personal background lead to favorable psychosocial results. Practitioners can take the right step by considering residents as individuals with significant life experiences instead of concentrating on medical needs alone to conform with the principles of integrity development</w:t>
      </w:r>
      <w:r w:rsidR="00151268" w:rsidRPr="00151268">
        <w:rPr>
          <w:rFonts w:asciiTheme="minorBidi" w:hAnsiTheme="minorBidi"/>
        </w:rPr>
        <w:t xml:space="preserve"> (Marmot and Wilkinson, 2005)</w:t>
      </w:r>
      <w:r w:rsidRPr="00151268">
        <w:rPr>
          <w:rFonts w:asciiTheme="minorBidi" w:hAnsiTheme="minorBidi"/>
        </w:rPr>
        <w:t>.</w:t>
      </w:r>
    </w:p>
    <w:p w14:paraId="7F7076D4" w14:textId="77777777" w:rsidR="006A49E1" w:rsidRPr="00151268" w:rsidRDefault="006A49E1" w:rsidP="006A49E1">
      <w:pPr>
        <w:pStyle w:val="Heading2"/>
        <w:rPr>
          <w:rFonts w:asciiTheme="minorBidi" w:hAnsiTheme="minorBidi" w:cstheme="minorBidi"/>
          <w:sz w:val="26"/>
          <w:szCs w:val="26"/>
        </w:rPr>
      </w:pPr>
      <w:r w:rsidRPr="00151268">
        <w:rPr>
          <w:rFonts w:asciiTheme="minorBidi" w:hAnsiTheme="minorBidi" w:cstheme="minorBidi"/>
          <w:sz w:val="26"/>
          <w:szCs w:val="26"/>
        </w:rPr>
        <w:t>Real-World Example Scenario</w:t>
      </w:r>
    </w:p>
    <w:p w14:paraId="188BA71E"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An example of such a scenario is when an aged resident is suffering emotionally after relocating to a nursing facility due to the loss of a spouse. The change can provoke the sense of isolation and the loss of the meaning. By using the theory developed by Erikson, the staff of the care could implement life-review intervention, during which the resident would discuss the family life, professional accomplishments or personal interests. These activities may involve the production of a memory book, engagement in group discussions or mentoring younger volunteers through the exchange of knowledge.</w:t>
      </w:r>
    </w:p>
    <w:p w14:paraId="4096E65E"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By so doing, the resident can rediscover the good in themselves as well as understand the importance of contributions made in the past. Emotional stability can be reinforced with more socializing and recognition by peers and decrease the sense of despair. This example demonstrates how theoretical knowledge can inform practical initiatives that increase psychological health in the institutional care setting</w:t>
      </w:r>
      <w:r w:rsidR="00151268" w:rsidRPr="00151268">
        <w:rPr>
          <w:rFonts w:asciiTheme="minorBidi" w:hAnsiTheme="minorBidi"/>
        </w:rPr>
        <w:t xml:space="preserve"> (Maslow, 1954)</w:t>
      </w:r>
      <w:r w:rsidRPr="00151268">
        <w:rPr>
          <w:rFonts w:asciiTheme="minorBidi" w:hAnsiTheme="minorBidi"/>
        </w:rPr>
        <w:t>.</w:t>
      </w:r>
    </w:p>
    <w:p w14:paraId="78106E06" w14:textId="77777777" w:rsidR="006A49E1" w:rsidRPr="00151268" w:rsidRDefault="006A49E1" w:rsidP="006A49E1">
      <w:pPr>
        <w:pStyle w:val="Heading2"/>
        <w:rPr>
          <w:rFonts w:asciiTheme="minorBidi" w:hAnsiTheme="minorBidi" w:cstheme="minorBidi"/>
          <w:sz w:val="26"/>
          <w:szCs w:val="26"/>
        </w:rPr>
      </w:pPr>
      <w:r w:rsidRPr="00151268">
        <w:rPr>
          <w:rFonts w:asciiTheme="minorBidi" w:hAnsiTheme="minorBidi" w:cstheme="minorBidi"/>
          <w:sz w:val="26"/>
          <w:szCs w:val="26"/>
        </w:rPr>
        <w:t>Challenges in Application</w:t>
      </w:r>
    </w:p>
    <w:p w14:paraId="2959E021"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Although this is a useful intervention, there can be a challenge in implementing a theory based intervention in residential care. A major obstacle is staff time, as it is necessitated by the workload pressure and it could limit the time to engage with residents meaningfully. Moreover, not all practitioners are trained in psychosocial approaches, and they are mainly spent on physical care duties. It is also possible that residents themselves will be unwilling to participate in activities of reflection because of their emotional sensitivity or cognitive impairment.</w:t>
      </w:r>
    </w:p>
    <w:p w14:paraId="77F826E1"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These aspects may decrease the efficiency of practice guided by theories and generate discrepancy in practice across care environments.</w:t>
      </w:r>
    </w:p>
    <w:p w14:paraId="05F87E3A" w14:textId="77777777" w:rsidR="006A49E1" w:rsidRPr="00151268" w:rsidRDefault="006A49E1" w:rsidP="006A49E1">
      <w:pPr>
        <w:pStyle w:val="Heading2"/>
        <w:rPr>
          <w:rFonts w:asciiTheme="minorBidi" w:hAnsiTheme="minorBidi" w:cstheme="minorBidi"/>
          <w:sz w:val="26"/>
          <w:szCs w:val="26"/>
        </w:rPr>
      </w:pPr>
      <w:r w:rsidRPr="00151268">
        <w:rPr>
          <w:rFonts w:asciiTheme="minorBidi" w:hAnsiTheme="minorBidi" w:cstheme="minorBidi"/>
          <w:sz w:val="26"/>
          <w:szCs w:val="26"/>
        </w:rPr>
        <w:t>Plans to deal with adversities.</w:t>
      </w:r>
    </w:p>
    <w:p w14:paraId="290F2D8B"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These issues are to be solved with organisational and professional commitment. Specific employee training can enhance the interest in the psychological development and develop confidence in the use of supportive communication skills. Feasibility can also be enhanced by making the reflective activities a part of everyday life, not an extra activity. E.g., the reminiscence can be included in the conversations during the mealtime or during the routine care interactions.</w:t>
      </w:r>
    </w:p>
    <w:p w14:paraId="4653095C"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Family and volunteer collaboration can also be used to improve the implementation to offer more social opportunities</w:t>
      </w:r>
      <w:r w:rsidR="00151268" w:rsidRPr="00151268">
        <w:rPr>
          <w:rFonts w:asciiTheme="minorBidi" w:hAnsiTheme="minorBidi"/>
        </w:rPr>
        <w:t xml:space="preserve"> (Victor </w:t>
      </w:r>
      <w:r w:rsidR="00151268" w:rsidRPr="00151268">
        <w:rPr>
          <w:rStyle w:val="Emphasis"/>
          <w:rFonts w:asciiTheme="minorBidi" w:hAnsiTheme="minorBidi"/>
        </w:rPr>
        <w:t>et al.</w:t>
      </w:r>
      <w:r w:rsidR="00151268" w:rsidRPr="00151268">
        <w:rPr>
          <w:rFonts w:asciiTheme="minorBidi" w:hAnsiTheme="minorBidi"/>
        </w:rPr>
        <w:t>, 2005)</w:t>
      </w:r>
      <w:r w:rsidRPr="00151268">
        <w:rPr>
          <w:rFonts w:asciiTheme="minorBidi" w:hAnsiTheme="minorBidi"/>
        </w:rPr>
        <w:t>. This can be achieved through planned psychosocial wellbeing and managerial support so that physical care is integrated with psychosocial wellbeing. These strategies can be used to apply theoretical knowledge to practice in a sustainable way.</w:t>
      </w:r>
    </w:p>
    <w:p w14:paraId="7A9ADC6B" w14:textId="77777777" w:rsidR="006A49E1" w:rsidRPr="00151268" w:rsidRDefault="006A49E1" w:rsidP="006A49E1">
      <w:pPr>
        <w:pStyle w:val="Heading2"/>
        <w:rPr>
          <w:rFonts w:asciiTheme="minorBidi" w:hAnsiTheme="minorBidi" w:cstheme="minorBidi"/>
          <w:sz w:val="26"/>
          <w:szCs w:val="26"/>
        </w:rPr>
      </w:pPr>
      <w:r w:rsidRPr="00151268">
        <w:rPr>
          <w:rFonts w:asciiTheme="minorBidi" w:hAnsiTheme="minorBidi" w:cstheme="minorBidi"/>
          <w:sz w:val="26"/>
          <w:szCs w:val="26"/>
        </w:rPr>
        <w:t>Conclusion</w:t>
      </w:r>
    </w:p>
    <w:p w14:paraId="2206F873" w14:textId="77777777" w:rsidR="006A49E1" w:rsidRPr="00151268" w:rsidRDefault="006A49E1" w:rsidP="006A49E1">
      <w:pPr>
        <w:spacing w:line="360" w:lineRule="auto"/>
        <w:jc w:val="both"/>
        <w:rPr>
          <w:rFonts w:asciiTheme="minorBidi" w:hAnsiTheme="minorBidi"/>
        </w:rPr>
      </w:pPr>
      <w:r w:rsidRPr="00151268">
        <w:rPr>
          <w:rFonts w:asciiTheme="minorBidi" w:hAnsiTheme="minorBidi"/>
        </w:rPr>
        <w:t>The psychosocial theory developed by Erikson offers meaningful information in facilitating emotional wellbeing in elderly people in residential care. The professionals may help develop the integrity and decrease the risk of despair by facilitating reflection on life, saving it, and treating it with respectfulness and dignity. Despite the practical challenges, effective application can be achieved through the means of proper training and organisational support. The combination of psychological knowledge into daily care practice leads to a positive impact on resident experience and professional performance in the end</w:t>
      </w:r>
      <w:r w:rsidR="00151268" w:rsidRPr="00151268">
        <w:rPr>
          <w:rFonts w:asciiTheme="minorBidi" w:hAnsiTheme="minorBidi"/>
        </w:rPr>
        <w:t xml:space="preserve"> (World Health Organization, 2015)</w:t>
      </w:r>
      <w:r w:rsidRPr="00151268">
        <w:rPr>
          <w:rFonts w:asciiTheme="minorBidi" w:hAnsiTheme="minorBidi"/>
        </w:rPr>
        <w:t>.</w:t>
      </w:r>
    </w:p>
    <w:p w14:paraId="007605C2" w14:textId="77777777" w:rsidR="006A49E1" w:rsidRPr="00151268" w:rsidRDefault="006A49E1" w:rsidP="006A49E1">
      <w:pPr>
        <w:spacing w:line="360" w:lineRule="auto"/>
        <w:jc w:val="both"/>
        <w:rPr>
          <w:rFonts w:asciiTheme="minorBidi" w:hAnsiTheme="minorBidi"/>
        </w:rPr>
      </w:pPr>
    </w:p>
    <w:p w14:paraId="4AC79CDF" w14:textId="77777777" w:rsidR="006A49E1" w:rsidRPr="00151268" w:rsidRDefault="006A49E1" w:rsidP="006A49E1">
      <w:pPr>
        <w:spacing w:line="360" w:lineRule="auto"/>
        <w:jc w:val="both"/>
        <w:rPr>
          <w:rFonts w:asciiTheme="minorBidi" w:hAnsiTheme="minorBidi"/>
        </w:rPr>
      </w:pPr>
    </w:p>
    <w:p w14:paraId="66D9F618" w14:textId="77777777" w:rsidR="006A49E1" w:rsidRPr="00151268" w:rsidRDefault="006A49E1" w:rsidP="006A49E1">
      <w:pPr>
        <w:spacing w:line="360" w:lineRule="auto"/>
        <w:jc w:val="both"/>
        <w:rPr>
          <w:rFonts w:asciiTheme="minorBidi" w:hAnsiTheme="minorBidi"/>
        </w:rPr>
      </w:pPr>
    </w:p>
    <w:p w14:paraId="52C2EF47" w14:textId="77777777" w:rsidR="006A49E1" w:rsidRPr="00151268" w:rsidRDefault="006A49E1" w:rsidP="006A49E1">
      <w:pPr>
        <w:spacing w:line="360" w:lineRule="auto"/>
        <w:jc w:val="both"/>
        <w:rPr>
          <w:rFonts w:asciiTheme="minorBidi" w:hAnsiTheme="minorBidi"/>
        </w:rPr>
      </w:pPr>
    </w:p>
    <w:p w14:paraId="1B625A9A" w14:textId="77777777" w:rsidR="006A49E1" w:rsidRPr="00151268" w:rsidRDefault="006A49E1" w:rsidP="006A49E1">
      <w:pPr>
        <w:spacing w:line="360" w:lineRule="auto"/>
        <w:jc w:val="both"/>
        <w:rPr>
          <w:rFonts w:asciiTheme="minorBidi" w:hAnsiTheme="minorBidi"/>
        </w:rPr>
      </w:pPr>
    </w:p>
    <w:p w14:paraId="273A7753" w14:textId="77777777" w:rsidR="006A49E1" w:rsidRPr="00151268" w:rsidRDefault="006A49E1" w:rsidP="006A49E1">
      <w:pPr>
        <w:spacing w:line="360" w:lineRule="auto"/>
        <w:jc w:val="both"/>
        <w:rPr>
          <w:rFonts w:asciiTheme="minorBidi" w:hAnsiTheme="minorBidi"/>
        </w:rPr>
      </w:pPr>
    </w:p>
    <w:p w14:paraId="09007988" w14:textId="77777777" w:rsidR="006A49E1" w:rsidRPr="00151268" w:rsidRDefault="006A49E1" w:rsidP="006A49E1">
      <w:pPr>
        <w:spacing w:line="360" w:lineRule="auto"/>
        <w:jc w:val="both"/>
        <w:rPr>
          <w:rFonts w:asciiTheme="minorBidi" w:hAnsiTheme="minorBidi"/>
        </w:rPr>
      </w:pPr>
    </w:p>
    <w:p w14:paraId="724309BB" w14:textId="77777777" w:rsidR="006A49E1" w:rsidRPr="00151268" w:rsidRDefault="006A49E1" w:rsidP="006A49E1">
      <w:pPr>
        <w:spacing w:line="360" w:lineRule="auto"/>
        <w:jc w:val="both"/>
        <w:rPr>
          <w:rFonts w:asciiTheme="minorBidi" w:hAnsiTheme="minorBidi"/>
        </w:rPr>
      </w:pPr>
    </w:p>
    <w:p w14:paraId="10D93509" w14:textId="77777777" w:rsidR="006A49E1" w:rsidRPr="00151268" w:rsidRDefault="006A49E1" w:rsidP="006A49E1">
      <w:pPr>
        <w:spacing w:line="360" w:lineRule="auto"/>
        <w:jc w:val="both"/>
        <w:rPr>
          <w:rFonts w:asciiTheme="minorBidi" w:hAnsiTheme="minorBidi"/>
        </w:rPr>
      </w:pPr>
    </w:p>
    <w:p w14:paraId="77D45589" w14:textId="77777777" w:rsidR="006A49E1" w:rsidRPr="00151268" w:rsidRDefault="006A49E1" w:rsidP="006A49E1">
      <w:pPr>
        <w:spacing w:line="360" w:lineRule="auto"/>
        <w:jc w:val="both"/>
        <w:rPr>
          <w:rFonts w:asciiTheme="minorBidi" w:hAnsiTheme="minorBidi"/>
        </w:rPr>
      </w:pPr>
    </w:p>
    <w:p w14:paraId="27E25C9C" w14:textId="77777777" w:rsidR="006A49E1" w:rsidRPr="00151268" w:rsidRDefault="006A49E1" w:rsidP="006A49E1">
      <w:pPr>
        <w:spacing w:line="360" w:lineRule="auto"/>
        <w:jc w:val="both"/>
        <w:rPr>
          <w:rFonts w:asciiTheme="minorBidi" w:hAnsiTheme="minorBidi"/>
        </w:rPr>
      </w:pPr>
    </w:p>
    <w:p w14:paraId="32079F78" w14:textId="77777777" w:rsidR="006A49E1" w:rsidRPr="00151268" w:rsidRDefault="006A49E1" w:rsidP="006A49E1">
      <w:pPr>
        <w:spacing w:line="360" w:lineRule="auto"/>
        <w:jc w:val="both"/>
        <w:rPr>
          <w:rFonts w:asciiTheme="minorBidi" w:hAnsiTheme="minorBidi"/>
        </w:rPr>
      </w:pPr>
    </w:p>
    <w:p w14:paraId="697D8D6B" w14:textId="77777777" w:rsidR="006A49E1" w:rsidRPr="00151268" w:rsidRDefault="006A49E1" w:rsidP="006A49E1">
      <w:pPr>
        <w:spacing w:line="360" w:lineRule="auto"/>
        <w:jc w:val="both"/>
        <w:rPr>
          <w:rFonts w:asciiTheme="minorBidi" w:hAnsiTheme="minorBidi"/>
        </w:rPr>
      </w:pPr>
    </w:p>
    <w:p w14:paraId="10A71F03" w14:textId="77777777" w:rsidR="006A49E1" w:rsidRPr="00151268" w:rsidRDefault="006A49E1" w:rsidP="006A49E1">
      <w:pPr>
        <w:spacing w:line="360" w:lineRule="auto"/>
        <w:jc w:val="both"/>
        <w:rPr>
          <w:rFonts w:asciiTheme="minorBidi" w:hAnsiTheme="minorBidi"/>
        </w:rPr>
      </w:pPr>
    </w:p>
    <w:p w14:paraId="765D6118" w14:textId="77777777" w:rsidR="006A49E1" w:rsidRPr="00151268" w:rsidRDefault="006A49E1" w:rsidP="006A49E1">
      <w:pPr>
        <w:spacing w:line="360" w:lineRule="auto"/>
        <w:jc w:val="both"/>
        <w:rPr>
          <w:rFonts w:asciiTheme="minorBidi" w:hAnsiTheme="minorBidi"/>
        </w:rPr>
      </w:pPr>
    </w:p>
    <w:p w14:paraId="7762DFF5" w14:textId="77777777" w:rsidR="006A49E1" w:rsidRPr="00151268" w:rsidRDefault="006A49E1" w:rsidP="006A49E1">
      <w:pPr>
        <w:spacing w:line="360" w:lineRule="auto"/>
        <w:jc w:val="both"/>
        <w:rPr>
          <w:rFonts w:asciiTheme="minorBidi" w:hAnsiTheme="minorBidi"/>
        </w:rPr>
      </w:pPr>
    </w:p>
    <w:p w14:paraId="2736BF27" w14:textId="77777777" w:rsidR="006A49E1" w:rsidRPr="00151268" w:rsidRDefault="006A49E1" w:rsidP="006A49E1">
      <w:pPr>
        <w:pStyle w:val="Heading1"/>
        <w:rPr>
          <w:rFonts w:asciiTheme="minorBidi" w:hAnsiTheme="minorBidi" w:cstheme="minorBidi"/>
          <w:sz w:val="28"/>
          <w:szCs w:val="28"/>
        </w:rPr>
      </w:pPr>
      <w:r w:rsidRPr="00151268">
        <w:rPr>
          <w:rFonts w:asciiTheme="minorBidi" w:hAnsiTheme="minorBidi" w:cstheme="minorBidi"/>
          <w:sz w:val="28"/>
          <w:szCs w:val="28"/>
        </w:rPr>
        <w:t xml:space="preserve">Reference </w:t>
      </w:r>
    </w:p>
    <w:p w14:paraId="7A500C76" w14:textId="77777777" w:rsidR="00E73485" w:rsidRPr="00151268" w:rsidRDefault="00E73485" w:rsidP="00E73485">
      <w:pPr>
        <w:pStyle w:val="NormalWeb"/>
        <w:rPr>
          <w:rFonts w:asciiTheme="minorBidi" w:hAnsiTheme="minorBidi" w:cstheme="minorBidi"/>
          <w:sz w:val="22"/>
          <w:szCs w:val="22"/>
        </w:rPr>
      </w:pPr>
      <w:r w:rsidRPr="00151268">
        <w:rPr>
          <w:rFonts w:asciiTheme="minorBidi" w:hAnsiTheme="minorBidi" w:cstheme="minorBidi"/>
          <w:sz w:val="22"/>
          <w:szCs w:val="22"/>
        </w:rPr>
        <w:t xml:space="preserve">Bowlby, J. (1988) </w:t>
      </w:r>
      <w:r w:rsidRPr="00151268">
        <w:rPr>
          <w:rStyle w:val="Emphasis"/>
          <w:rFonts w:asciiTheme="minorBidi" w:hAnsiTheme="minorBidi" w:cstheme="minorBidi"/>
          <w:sz w:val="22"/>
          <w:szCs w:val="22"/>
        </w:rPr>
        <w:t>A secure base: Parent-child attachment and healthy human development</w:t>
      </w:r>
      <w:r w:rsidRPr="00151268">
        <w:rPr>
          <w:rFonts w:asciiTheme="minorBidi" w:hAnsiTheme="minorBidi" w:cstheme="minorBidi"/>
          <w:sz w:val="22"/>
          <w:szCs w:val="22"/>
        </w:rPr>
        <w:t>. London: Routledge.</w:t>
      </w:r>
    </w:p>
    <w:p w14:paraId="6BFB0E24" w14:textId="77777777" w:rsidR="00E73485" w:rsidRPr="00151268" w:rsidRDefault="00E73485" w:rsidP="00E73485">
      <w:pPr>
        <w:pStyle w:val="NormalWeb"/>
        <w:rPr>
          <w:rFonts w:asciiTheme="minorBidi" w:hAnsiTheme="minorBidi" w:cstheme="minorBidi"/>
          <w:sz w:val="22"/>
          <w:szCs w:val="22"/>
        </w:rPr>
      </w:pPr>
      <w:r w:rsidRPr="00151268">
        <w:rPr>
          <w:rFonts w:asciiTheme="minorBidi" w:hAnsiTheme="minorBidi" w:cstheme="minorBidi"/>
          <w:sz w:val="22"/>
          <w:szCs w:val="22"/>
        </w:rPr>
        <w:t xml:space="preserve">Cattan, M., White, M., Bond, J. and Learmouth, A. (2005) ‘Preventing social isolation and loneliness among older people’, </w:t>
      </w:r>
      <w:r w:rsidRPr="00151268">
        <w:rPr>
          <w:rStyle w:val="Emphasis"/>
          <w:rFonts w:asciiTheme="minorBidi" w:hAnsiTheme="minorBidi" w:cstheme="minorBidi"/>
          <w:sz w:val="22"/>
          <w:szCs w:val="22"/>
        </w:rPr>
        <w:t>Ageing and Society</w:t>
      </w:r>
      <w:r w:rsidRPr="00151268">
        <w:rPr>
          <w:rFonts w:asciiTheme="minorBidi" w:hAnsiTheme="minorBidi" w:cstheme="minorBidi"/>
          <w:sz w:val="22"/>
          <w:szCs w:val="22"/>
        </w:rPr>
        <w:t>, 25(1), pp. 41–67.</w:t>
      </w:r>
    </w:p>
    <w:p w14:paraId="195A5DE9" w14:textId="77777777" w:rsidR="00E73485" w:rsidRPr="00151268" w:rsidRDefault="00E73485" w:rsidP="00E73485">
      <w:pPr>
        <w:pStyle w:val="NormalWeb"/>
        <w:rPr>
          <w:rFonts w:asciiTheme="minorBidi" w:hAnsiTheme="minorBidi" w:cstheme="minorBidi"/>
          <w:sz w:val="22"/>
          <w:szCs w:val="22"/>
        </w:rPr>
      </w:pPr>
      <w:r w:rsidRPr="00151268">
        <w:rPr>
          <w:rFonts w:asciiTheme="minorBidi" w:hAnsiTheme="minorBidi" w:cstheme="minorBidi"/>
          <w:sz w:val="22"/>
          <w:szCs w:val="22"/>
        </w:rPr>
        <w:t xml:space="preserve">Erikson, E.H. (1998) </w:t>
      </w:r>
      <w:r w:rsidRPr="00151268">
        <w:rPr>
          <w:rStyle w:val="Emphasis"/>
          <w:rFonts w:asciiTheme="minorBidi" w:hAnsiTheme="minorBidi" w:cstheme="minorBidi"/>
          <w:sz w:val="22"/>
          <w:szCs w:val="22"/>
        </w:rPr>
        <w:t>The life cycle completed</w:t>
      </w:r>
      <w:r w:rsidRPr="00151268">
        <w:rPr>
          <w:rFonts w:asciiTheme="minorBidi" w:hAnsiTheme="minorBidi" w:cstheme="minorBidi"/>
          <w:sz w:val="22"/>
          <w:szCs w:val="22"/>
        </w:rPr>
        <w:t>. New York: W.W. Norton &amp; Company.</w:t>
      </w:r>
    </w:p>
    <w:p w14:paraId="3AD17D99" w14:textId="77777777" w:rsidR="00E73485" w:rsidRPr="00151268" w:rsidRDefault="00E73485" w:rsidP="00E73485">
      <w:pPr>
        <w:pStyle w:val="NormalWeb"/>
        <w:rPr>
          <w:rFonts w:asciiTheme="minorBidi" w:hAnsiTheme="minorBidi" w:cstheme="minorBidi"/>
          <w:sz w:val="22"/>
          <w:szCs w:val="22"/>
        </w:rPr>
      </w:pPr>
      <w:r w:rsidRPr="00151268">
        <w:rPr>
          <w:rFonts w:asciiTheme="minorBidi" w:hAnsiTheme="minorBidi" w:cstheme="minorBidi"/>
          <w:sz w:val="22"/>
          <w:szCs w:val="22"/>
        </w:rPr>
        <w:t xml:space="preserve">Havighurst, R.J. (1961) ‘Successful aging’, </w:t>
      </w:r>
      <w:r w:rsidRPr="00151268">
        <w:rPr>
          <w:rStyle w:val="Emphasis"/>
          <w:rFonts w:asciiTheme="minorBidi" w:hAnsiTheme="minorBidi" w:cstheme="minorBidi"/>
          <w:sz w:val="22"/>
          <w:szCs w:val="22"/>
        </w:rPr>
        <w:t>The Gerontologist</w:t>
      </w:r>
      <w:r w:rsidRPr="00151268">
        <w:rPr>
          <w:rFonts w:asciiTheme="minorBidi" w:hAnsiTheme="minorBidi" w:cstheme="minorBidi"/>
          <w:sz w:val="22"/>
          <w:szCs w:val="22"/>
        </w:rPr>
        <w:t>, 1(1), pp. 8–13.</w:t>
      </w:r>
    </w:p>
    <w:p w14:paraId="11CC3B24" w14:textId="77777777" w:rsidR="00E73485" w:rsidRPr="00151268" w:rsidRDefault="00E73485" w:rsidP="00E73485">
      <w:pPr>
        <w:pStyle w:val="NormalWeb"/>
        <w:rPr>
          <w:rFonts w:asciiTheme="minorBidi" w:hAnsiTheme="minorBidi" w:cstheme="minorBidi"/>
          <w:sz w:val="22"/>
          <w:szCs w:val="22"/>
        </w:rPr>
      </w:pPr>
      <w:r w:rsidRPr="00151268">
        <w:rPr>
          <w:rFonts w:asciiTheme="minorBidi" w:hAnsiTheme="minorBidi" w:cstheme="minorBidi"/>
          <w:sz w:val="22"/>
          <w:szCs w:val="22"/>
        </w:rPr>
        <w:t xml:space="preserve">Holt-Lunstad, J., Smith, T.B. and Layton, J.B. (2010) ‘Social relationships and mortality risk’, </w:t>
      </w:r>
      <w:r w:rsidRPr="00151268">
        <w:rPr>
          <w:rStyle w:val="Emphasis"/>
          <w:rFonts w:asciiTheme="minorBidi" w:hAnsiTheme="minorBidi" w:cstheme="minorBidi"/>
          <w:sz w:val="22"/>
          <w:szCs w:val="22"/>
        </w:rPr>
        <w:t>PLoS Medicine</w:t>
      </w:r>
      <w:r w:rsidRPr="00151268">
        <w:rPr>
          <w:rFonts w:asciiTheme="minorBidi" w:hAnsiTheme="minorBidi" w:cstheme="minorBidi"/>
          <w:sz w:val="22"/>
          <w:szCs w:val="22"/>
        </w:rPr>
        <w:t>, 7(7), pp. 1–20.</w:t>
      </w:r>
    </w:p>
    <w:p w14:paraId="63057E69" w14:textId="77777777" w:rsidR="00E73485" w:rsidRPr="00151268" w:rsidRDefault="00E73485" w:rsidP="00E73485">
      <w:pPr>
        <w:pStyle w:val="NormalWeb"/>
        <w:rPr>
          <w:rFonts w:asciiTheme="minorBidi" w:hAnsiTheme="minorBidi" w:cstheme="minorBidi"/>
          <w:sz w:val="22"/>
          <w:szCs w:val="22"/>
        </w:rPr>
      </w:pPr>
      <w:r w:rsidRPr="00151268">
        <w:rPr>
          <w:rFonts w:asciiTheme="minorBidi" w:hAnsiTheme="minorBidi" w:cstheme="minorBidi"/>
          <w:sz w:val="22"/>
          <w:szCs w:val="22"/>
        </w:rPr>
        <w:t xml:space="preserve">Kitwood, T. (1997) </w:t>
      </w:r>
      <w:r w:rsidRPr="00151268">
        <w:rPr>
          <w:rStyle w:val="Emphasis"/>
          <w:rFonts w:asciiTheme="minorBidi" w:hAnsiTheme="minorBidi" w:cstheme="minorBidi"/>
          <w:sz w:val="22"/>
          <w:szCs w:val="22"/>
        </w:rPr>
        <w:t>Dementia reconsidered: The person comes first</w:t>
      </w:r>
      <w:r w:rsidRPr="00151268">
        <w:rPr>
          <w:rFonts w:asciiTheme="minorBidi" w:hAnsiTheme="minorBidi" w:cstheme="minorBidi"/>
          <w:sz w:val="22"/>
          <w:szCs w:val="22"/>
        </w:rPr>
        <w:t>. Buckingham: Open University Press.</w:t>
      </w:r>
    </w:p>
    <w:p w14:paraId="64CF7409" w14:textId="77777777" w:rsidR="00E73485" w:rsidRPr="00151268" w:rsidRDefault="00E73485" w:rsidP="00E73485">
      <w:pPr>
        <w:pStyle w:val="NormalWeb"/>
        <w:rPr>
          <w:rFonts w:asciiTheme="minorBidi" w:hAnsiTheme="minorBidi" w:cstheme="minorBidi"/>
          <w:sz w:val="22"/>
          <w:szCs w:val="22"/>
        </w:rPr>
      </w:pPr>
      <w:r w:rsidRPr="00151268">
        <w:rPr>
          <w:rFonts w:asciiTheme="minorBidi" w:hAnsiTheme="minorBidi" w:cstheme="minorBidi"/>
          <w:sz w:val="22"/>
          <w:szCs w:val="22"/>
        </w:rPr>
        <w:t xml:space="preserve">Marmot, M. and Wilkinson, R. (2005) </w:t>
      </w:r>
      <w:r w:rsidRPr="00151268">
        <w:rPr>
          <w:rStyle w:val="Emphasis"/>
          <w:rFonts w:asciiTheme="minorBidi" w:hAnsiTheme="minorBidi" w:cstheme="minorBidi"/>
          <w:sz w:val="22"/>
          <w:szCs w:val="22"/>
        </w:rPr>
        <w:t>Social determinants of health</w:t>
      </w:r>
      <w:r w:rsidRPr="00151268">
        <w:rPr>
          <w:rFonts w:asciiTheme="minorBidi" w:hAnsiTheme="minorBidi" w:cstheme="minorBidi"/>
          <w:sz w:val="22"/>
          <w:szCs w:val="22"/>
        </w:rPr>
        <w:t>. 2nd edn. Oxford: Oxford University Press.</w:t>
      </w:r>
    </w:p>
    <w:p w14:paraId="05A35AB6" w14:textId="77777777" w:rsidR="00E73485" w:rsidRPr="00151268" w:rsidRDefault="00E73485" w:rsidP="00E73485">
      <w:pPr>
        <w:pStyle w:val="NormalWeb"/>
        <w:rPr>
          <w:rFonts w:asciiTheme="minorBidi" w:hAnsiTheme="minorBidi" w:cstheme="minorBidi"/>
          <w:sz w:val="22"/>
          <w:szCs w:val="22"/>
        </w:rPr>
      </w:pPr>
      <w:r w:rsidRPr="00151268">
        <w:rPr>
          <w:rFonts w:asciiTheme="minorBidi" w:hAnsiTheme="minorBidi" w:cstheme="minorBidi"/>
          <w:sz w:val="22"/>
          <w:szCs w:val="22"/>
        </w:rPr>
        <w:t xml:space="preserve">Maslow, A.H. (1954) </w:t>
      </w:r>
      <w:r w:rsidRPr="00151268">
        <w:rPr>
          <w:rStyle w:val="Emphasis"/>
          <w:rFonts w:asciiTheme="minorBidi" w:hAnsiTheme="minorBidi" w:cstheme="minorBidi"/>
          <w:sz w:val="22"/>
          <w:szCs w:val="22"/>
        </w:rPr>
        <w:t>Motivation and personality</w:t>
      </w:r>
      <w:r w:rsidRPr="00151268">
        <w:rPr>
          <w:rFonts w:asciiTheme="minorBidi" w:hAnsiTheme="minorBidi" w:cstheme="minorBidi"/>
          <w:sz w:val="22"/>
          <w:szCs w:val="22"/>
        </w:rPr>
        <w:t>. New York: Harper &amp; Row.</w:t>
      </w:r>
    </w:p>
    <w:p w14:paraId="66DB98A2" w14:textId="77777777" w:rsidR="00E73485" w:rsidRPr="00151268" w:rsidRDefault="00E73485" w:rsidP="00E73485">
      <w:pPr>
        <w:pStyle w:val="NormalWeb"/>
        <w:rPr>
          <w:rFonts w:asciiTheme="minorBidi" w:hAnsiTheme="minorBidi" w:cstheme="minorBidi"/>
          <w:sz w:val="22"/>
          <w:szCs w:val="22"/>
        </w:rPr>
      </w:pPr>
      <w:r w:rsidRPr="00151268">
        <w:rPr>
          <w:rFonts w:asciiTheme="minorBidi" w:hAnsiTheme="minorBidi" w:cstheme="minorBidi"/>
          <w:sz w:val="22"/>
          <w:szCs w:val="22"/>
        </w:rPr>
        <w:t xml:space="preserve">Rowe, J.W. and Kahn, R.L. (1997) ‘Successful aging’, </w:t>
      </w:r>
      <w:r w:rsidRPr="00151268">
        <w:rPr>
          <w:rStyle w:val="Emphasis"/>
          <w:rFonts w:asciiTheme="minorBidi" w:hAnsiTheme="minorBidi" w:cstheme="minorBidi"/>
          <w:sz w:val="22"/>
          <w:szCs w:val="22"/>
        </w:rPr>
        <w:t>The Gerontologist</w:t>
      </w:r>
      <w:r w:rsidRPr="00151268">
        <w:rPr>
          <w:rFonts w:asciiTheme="minorBidi" w:hAnsiTheme="minorBidi" w:cstheme="minorBidi"/>
          <w:sz w:val="22"/>
          <w:szCs w:val="22"/>
        </w:rPr>
        <w:t>, 37(4), pp. 433–440.</w:t>
      </w:r>
    </w:p>
    <w:p w14:paraId="117B789D" w14:textId="77777777" w:rsidR="00E73485" w:rsidRPr="00151268" w:rsidRDefault="00E73485" w:rsidP="00E73485">
      <w:pPr>
        <w:pStyle w:val="NormalWeb"/>
        <w:rPr>
          <w:rFonts w:asciiTheme="minorBidi" w:hAnsiTheme="minorBidi" w:cstheme="minorBidi"/>
          <w:sz w:val="22"/>
          <w:szCs w:val="22"/>
        </w:rPr>
      </w:pPr>
      <w:r w:rsidRPr="00151268">
        <w:rPr>
          <w:rFonts w:asciiTheme="minorBidi" w:hAnsiTheme="minorBidi" w:cstheme="minorBidi"/>
          <w:sz w:val="22"/>
          <w:szCs w:val="22"/>
        </w:rPr>
        <w:t xml:space="preserve">Seligman, M.E.P. (2011) </w:t>
      </w:r>
      <w:r w:rsidRPr="00151268">
        <w:rPr>
          <w:rStyle w:val="Emphasis"/>
          <w:rFonts w:asciiTheme="minorBidi" w:hAnsiTheme="minorBidi" w:cstheme="minorBidi"/>
          <w:sz w:val="22"/>
          <w:szCs w:val="22"/>
        </w:rPr>
        <w:t>Flourish: A visionary new understanding of happiness and wellbeing</w:t>
      </w:r>
      <w:r w:rsidRPr="00151268">
        <w:rPr>
          <w:rFonts w:asciiTheme="minorBidi" w:hAnsiTheme="minorBidi" w:cstheme="minorBidi"/>
          <w:sz w:val="22"/>
          <w:szCs w:val="22"/>
        </w:rPr>
        <w:t>. New York: Free Press.</w:t>
      </w:r>
    </w:p>
    <w:p w14:paraId="48CED8E1" w14:textId="77777777" w:rsidR="00E73485" w:rsidRPr="00151268" w:rsidRDefault="00E73485" w:rsidP="00E73485">
      <w:pPr>
        <w:pStyle w:val="NormalWeb"/>
        <w:rPr>
          <w:rFonts w:asciiTheme="minorBidi" w:hAnsiTheme="minorBidi" w:cstheme="minorBidi"/>
          <w:sz w:val="22"/>
          <w:szCs w:val="22"/>
        </w:rPr>
      </w:pPr>
      <w:r w:rsidRPr="00151268">
        <w:rPr>
          <w:rFonts w:asciiTheme="minorBidi" w:hAnsiTheme="minorBidi" w:cstheme="minorBidi"/>
          <w:sz w:val="22"/>
          <w:szCs w:val="22"/>
        </w:rPr>
        <w:t xml:space="preserve">Victor, C.R., Scambler, S.J., Bowling, A. and Bond, J. (2005) ‘The prevalence of loneliness among older people’, </w:t>
      </w:r>
      <w:r w:rsidRPr="00151268">
        <w:rPr>
          <w:rStyle w:val="Emphasis"/>
          <w:rFonts w:asciiTheme="minorBidi" w:hAnsiTheme="minorBidi" w:cstheme="minorBidi"/>
          <w:sz w:val="22"/>
          <w:szCs w:val="22"/>
        </w:rPr>
        <w:t>Ageing and Society</w:t>
      </w:r>
      <w:r w:rsidRPr="00151268">
        <w:rPr>
          <w:rFonts w:asciiTheme="minorBidi" w:hAnsiTheme="minorBidi" w:cstheme="minorBidi"/>
          <w:sz w:val="22"/>
          <w:szCs w:val="22"/>
        </w:rPr>
        <w:t>, 25(3), pp. 357–375.</w:t>
      </w:r>
    </w:p>
    <w:p w14:paraId="42631245" w14:textId="77777777" w:rsidR="00E73485" w:rsidRPr="00151268" w:rsidRDefault="00E73485" w:rsidP="00E73485">
      <w:pPr>
        <w:pStyle w:val="NormalWeb"/>
        <w:rPr>
          <w:rFonts w:asciiTheme="minorBidi" w:hAnsiTheme="minorBidi" w:cstheme="minorBidi"/>
          <w:sz w:val="22"/>
          <w:szCs w:val="22"/>
        </w:rPr>
      </w:pPr>
      <w:r w:rsidRPr="00151268">
        <w:rPr>
          <w:rFonts w:asciiTheme="minorBidi" w:hAnsiTheme="minorBidi" w:cstheme="minorBidi"/>
          <w:sz w:val="22"/>
          <w:szCs w:val="22"/>
        </w:rPr>
        <w:t xml:space="preserve">Walker, A. (2002) ‘A strategy for active ageing’, </w:t>
      </w:r>
      <w:r w:rsidRPr="00151268">
        <w:rPr>
          <w:rStyle w:val="Emphasis"/>
          <w:rFonts w:asciiTheme="minorBidi" w:hAnsiTheme="minorBidi" w:cstheme="minorBidi"/>
          <w:sz w:val="22"/>
          <w:szCs w:val="22"/>
        </w:rPr>
        <w:t>International Social Security Review</w:t>
      </w:r>
      <w:r w:rsidRPr="00151268">
        <w:rPr>
          <w:rFonts w:asciiTheme="minorBidi" w:hAnsiTheme="minorBidi" w:cstheme="minorBidi"/>
          <w:sz w:val="22"/>
          <w:szCs w:val="22"/>
        </w:rPr>
        <w:t>, 55(1), pp. 121–139.</w:t>
      </w:r>
    </w:p>
    <w:p w14:paraId="6DC0B56F" w14:textId="77777777" w:rsidR="00E73485" w:rsidRPr="00151268" w:rsidRDefault="00E73485" w:rsidP="00E73485">
      <w:pPr>
        <w:pStyle w:val="NormalWeb"/>
        <w:rPr>
          <w:rFonts w:asciiTheme="minorBidi" w:hAnsiTheme="minorBidi" w:cstheme="minorBidi"/>
          <w:sz w:val="22"/>
          <w:szCs w:val="22"/>
        </w:rPr>
      </w:pPr>
      <w:r w:rsidRPr="00151268">
        <w:rPr>
          <w:rFonts w:asciiTheme="minorBidi" w:hAnsiTheme="minorBidi" w:cstheme="minorBidi"/>
          <w:sz w:val="22"/>
          <w:szCs w:val="22"/>
        </w:rPr>
        <w:t xml:space="preserve">World Health Organization (2015) </w:t>
      </w:r>
      <w:r w:rsidRPr="00151268">
        <w:rPr>
          <w:rStyle w:val="Emphasis"/>
          <w:rFonts w:asciiTheme="minorBidi" w:hAnsiTheme="minorBidi" w:cstheme="minorBidi"/>
          <w:sz w:val="22"/>
          <w:szCs w:val="22"/>
        </w:rPr>
        <w:t>World report on ageing and health</w:t>
      </w:r>
      <w:r w:rsidRPr="00151268">
        <w:rPr>
          <w:rFonts w:asciiTheme="minorBidi" w:hAnsiTheme="minorBidi" w:cstheme="minorBidi"/>
          <w:sz w:val="22"/>
          <w:szCs w:val="22"/>
        </w:rPr>
        <w:t>. Geneva: WHO.</w:t>
      </w:r>
    </w:p>
    <w:p w14:paraId="14FD5166" w14:textId="77777777" w:rsidR="00E73485" w:rsidRPr="00151268" w:rsidRDefault="00E73485" w:rsidP="00E73485">
      <w:pPr>
        <w:pStyle w:val="NormalWeb"/>
        <w:rPr>
          <w:rFonts w:asciiTheme="minorBidi" w:hAnsiTheme="minorBidi" w:cstheme="minorBidi"/>
          <w:sz w:val="22"/>
          <w:szCs w:val="22"/>
        </w:rPr>
      </w:pPr>
      <w:r w:rsidRPr="00151268">
        <w:rPr>
          <w:rFonts w:asciiTheme="minorBidi" w:hAnsiTheme="minorBidi" w:cstheme="minorBidi"/>
          <w:sz w:val="22"/>
          <w:szCs w:val="22"/>
        </w:rPr>
        <w:t xml:space="preserve">World Health Organization (2020) </w:t>
      </w:r>
      <w:r w:rsidRPr="00151268">
        <w:rPr>
          <w:rStyle w:val="Emphasis"/>
          <w:rFonts w:asciiTheme="minorBidi" w:hAnsiTheme="minorBidi" w:cstheme="minorBidi"/>
          <w:sz w:val="22"/>
          <w:szCs w:val="22"/>
        </w:rPr>
        <w:t>Decade of healthy ageing 2020–2030</w:t>
      </w:r>
      <w:r w:rsidRPr="00151268">
        <w:rPr>
          <w:rFonts w:asciiTheme="minorBidi" w:hAnsiTheme="minorBidi" w:cstheme="minorBidi"/>
          <w:sz w:val="22"/>
          <w:szCs w:val="22"/>
        </w:rPr>
        <w:t>. Geneva: WHO.</w:t>
      </w:r>
    </w:p>
    <w:p w14:paraId="55286316" w14:textId="77777777" w:rsidR="00E73485" w:rsidRPr="00151268" w:rsidRDefault="00E73485" w:rsidP="00E73485">
      <w:pPr>
        <w:pStyle w:val="NormalWeb"/>
        <w:rPr>
          <w:rFonts w:asciiTheme="minorBidi" w:hAnsiTheme="minorBidi" w:cstheme="minorBidi"/>
          <w:sz w:val="22"/>
          <w:szCs w:val="22"/>
        </w:rPr>
      </w:pPr>
      <w:r w:rsidRPr="00151268">
        <w:rPr>
          <w:rFonts w:asciiTheme="minorBidi" w:hAnsiTheme="minorBidi" w:cstheme="minorBidi"/>
          <w:sz w:val="22"/>
          <w:szCs w:val="22"/>
        </w:rPr>
        <w:t xml:space="preserve">Zastrow, C. and Kirst-Ashman, K. (2019) </w:t>
      </w:r>
      <w:r w:rsidRPr="00151268">
        <w:rPr>
          <w:rStyle w:val="Emphasis"/>
          <w:rFonts w:asciiTheme="minorBidi" w:hAnsiTheme="minorBidi" w:cstheme="minorBidi"/>
          <w:sz w:val="22"/>
          <w:szCs w:val="22"/>
        </w:rPr>
        <w:t>Understanding human behavior and the social environment</w:t>
      </w:r>
      <w:r w:rsidRPr="00151268">
        <w:rPr>
          <w:rFonts w:asciiTheme="minorBidi" w:hAnsiTheme="minorBidi" w:cstheme="minorBidi"/>
          <w:sz w:val="22"/>
          <w:szCs w:val="22"/>
        </w:rPr>
        <w:t>. 11th edn. Boston: Cengage Learning.</w:t>
      </w:r>
    </w:p>
    <w:p w14:paraId="096E2334" w14:textId="77777777" w:rsidR="006A49E1" w:rsidRPr="00151268" w:rsidRDefault="006A49E1" w:rsidP="006A49E1">
      <w:pPr>
        <w:spacing w:line="360" w:lineRule="auto"/>
        <w:jc w:val="both"/>
        <w:rPr>
          <w:rFonts w:asciiTheme="minorBidi" w:hAnsiTheme="minorBidi"/>
        </w:rPr>
      </w:pPr>
    </w:p>
    <w:sectPr w:rsidR="006A49E1" w:rsidRPr="00151268" w:rsidSect="00893EC8">
      <w:footerReference w:type="default" r:id="rId6"/>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92B058" w14:textId="77777777" w:rsidR="000F381C" w:rsidRDefault="000F381C" w:rsidP="00893EC8">
      <w:pPr>
        <w:spacing w:after="0" w:line="240" w:lineRule="auto"/>
      </w:pPr>
      <w:r>
        <w:separator/>
      </w:r>
    </w:p>
  </w:endnote>
  <w:endnote w:type="continuationSeparator" w:id="0">
    <w:p w14:paraId="5BE2C517" w14:textId="77777777" w:rsidR="000F381C" w:rsidRDefault="000F381C" w:rsidP="00893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058976"/>
      <w:docPartObj>
        <w:docPartGallery w:val="Page Numbers (Bottom of Page)"/>
        <w:docPartUnique/>
      </w:docPartObj>
    </w:sdtPr>
    <w:sdtEndPr/>
    <w:sdtContent>
      <w:p w14:paraId="6666BD1A" w14:textId="77777777" w:rsidR="00893EC8" w:rsidRDefault="00893EC8">
        <w:pPr>
          <w:pStyle w:val="Footer"/>
          <w:jc w:val="right"/>
        </w:pPr>
        <w:r>
          <w:t xml:space="preserve">Page | </w:t>
        </w:r>
        <w:r>
          <w:fldChar w:fldCharType="begin"/>
        </w:r>
        <w:r>
          <w:instrText xml:space="preserve"> PAGE   \* MERGEFORMAT </w:instrText>
        </w:r>
        <w:r>
          <w:fldChar w:fldCharType="separate"/>
        </w:r>
        <w:r w:rsidR="00151268">
          <w:rPr>
            <w:noProof/>
          </w:rPr>
          <w:t>5</w:t>
        </w:r>
        <w:r>
          <w:rPr>
            <w:noProof/>
          </w:rPr>
          <w:fldChar w:fldCharType="end"/>
        </w:r>
        <w:r>
          <w:t xml:space="preserve"> </w:t>
        </w:r>
      </w:p>
    </w:sdtContent>
  </w:sdt>
  <w:p w14:paraId="0E717CBE" w14:textId="77777777" w:rsidR="00893EC8" w:rsidRDefault="00893E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BFD4FE" w14:textId="77777777" w:rsidR="000F381C" w:rsidRDefault="000F381C" w:rsidP="00893EC8">
      <w:pPr>
        <w:spacing w:after="0" w:line="240" w:lineRule="auto"/>
      </w:pPr>
      <w:r>
        <w:separator/>
      </w:r>
    </w:p>
  </w:footnote>
  <w:footnote w:type="continuationSeparator" w:id="0">
    <w:p w14:paraId="2D33493F" w14:textId="77777777" w:rsidR="000F381C" w:rsidRDefault="000F381C" w:rsidP="00893E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49E1"/>
    <w:rsid w:val="000F381C"/>
    <w:rsid w:val="00151268"/>
    <w:rsid w:val="001B01F0"/>
    <w:rsid w:val="002507D3"/>
    <w:rsid w:val="006A49E1"/>
    <w:rsid w:val="00893EC8"/>
    <w:rsid w:val="0099447D"/>
    <w:rsid w:val="00B635A4"/>
    <w:rsid w:val="00C76A48"/>
    <w:rsid w:val="00E7348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F718A"/>
  <w15:chartTrackingRefBased/>
  <w15:docId w15:val="{27F50E7B-3033-4824-AF11-53C106C1D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A49E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6A49E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6A49E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49E1"/>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6A49E1"/>
    <w:rPr>
      <w:rFonts w:ascii="Times New Roman" w:eastAsia="Times New Roman" w:hAnsi="Times New Roman" w:cs="Times New Roman"/>
      <w:b/>
      <w:bCs/>
      <w:sz w:val="36"/>
      <w:szCs w:val="36"/>
    </w:rPr>
  </w:style>
  <w:style w:type="paragraph" w:styleId="NormalWeb">
    <w:name w:val="Normal (Web)"/>
    <w:basedOn w:val="Normal"/>
    <w:uiPriority w:val="99"/>
    <w:unhideWhenUsed/>
    <w:rsid w:val="006A49E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A49E1"/>
    <w:rPr>
      <w:b/>
      <w:bCs/>
    </w:rPr>
  </w:style>
  <w:style w:type="character" w:styleId="Emphasis">
    <w:name w:val="Emphasis"/>
    <w:basedOn w:val="DefaultParagraphFont"/>
    <w:uiPriority w:val="20"/>
    <w:qFormat/>
    <w:rsid w:val="006A49E1"/>
    <w:rPr>
      <w:i/>
      <w:iCs/>
    </w:rPr>
  </w:style>
  <w:style w:type="character" w:customStyle="1" w:styleId="Heading3Char">
    <w:name w:val="Heading 3 Char"/>
    <w:basedOn w:val="DefaultParagraphFont"/>
    <w:link w:val="Heading3"/>
    <w:uiPriority w:val="9"/>
    <w:semiHidden/>
    <w:rsid w:val="006A49E1"/>
    <w:rPr>
      <w:rFonts w:asciiTheme="majorHAnsi" w:eastAsiaTheme="majorEastAsia" w:hAnsiTheme="majorHAnsi" w:cstheme="majorBidi"/>
      <w:color w:val="1F4D78" w:themeColor="accent1" w:themeShade="7F"/>
      <w:sz w:val="24"/>
      <w:szCs w:val="24"/>
    </w:rPr>
  </w:style>
  <w:style w:type="paragraph" w:styleId="Title">
    <w:name w:val="Title"/>
    <w:basedOn w:val="Normal"/>
    <w:next w:val="Normal"/>
    <w:link w:val="TitleChar"/>
    <w:uiPriority w:val="10"/>
    <w:qFormat/>
    <w:rsid w:val="006A49E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49E1"/>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93E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3EC8"/>
  </w:style>
  <w:style w:type="paragraph" w:styleId="Footer">
    <w:name w:val="footer"/>
    <w:basedOn w:val="Normal"/>
    <w:link w:val="FooterChar"/>
    <w:uiPriority w:val="99"/>
    <w:unhideWhenUsed/>
    <w:rsid w:val="00893E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3E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14169">
      <w:bodyDiv w:val="1"/>
      <w:marLeft w:val="0"/>
      <w:marRight w:val="0"/>
      <w:marTop w:val="0"/>
      <w:marBottom w:val="0"/>
      <w:divBdr>
        <w:top w:val="none" w:sz="0" w:space="0" w:color="auto"/>
        <w:left w:val="none" w:sz="0" w:space="0" w:color="auto"/>
        <w:bottom w:val="none" w:sz="0" w:space="0" w:color="auto"/>
        <w:right w:val="none" w:sz="0" w:space="0" w:color="auto"/>
      </w:divBdr>
    </w:div>
    <w:div w:id="570190188">
      <w:bodyDiv w:val="1"/>
      <w:marLeft w:val="0"/>
      <w:marRight w:val="0"/>
      <w:marTop w:val="0"/>
      <w:marBottom w:val="0"/>
      <w:divBdr>
        <w:top w:val="none" w:sz="0" w:space="0" w:color="auto"/>
        <w:left w:val="none" w:sz="0" w:space="0" w:color="auto"/>
        <w:bottom w:val="none" w:sz="0" w:space="0" w:color="auto"/>
        <w:right w:val="none" w:sz="0" w:space="0" w:color="auto"/>
      </w:divBdr>
    </w:div>
    <w:div w:id="1197232792">
      <w:bodyDiv w:val="1"/>
      <w:marLeft w:val="0"/>
      <w:marRight w:val="0"/>
      <w:marTop w:val="0"/>
      <w:marBottom w:val="0"/>
      <w:divBdr>
        <w:top w:val="none" w:sz="0" w:space="0" w:color="auto"/>
        <w:left w:val="none" w:sz="0" w:space="0" w:color="auto"/>
        <w:bottom w:val="none" w:sz="0" w:space="0" w:color="auto"/>
        <w:right w:val="none" w:sz="0" w:space="0" w:color="auto"/>
      </w:divBdr>
    </w:div>
    <w:div w:id="1693992242">
      <w:bodyDiv w:val="1"/>
      <w:marLeft w:val="0"/>
      <w:marRight w:val="0"/>
      <w:marTop w:val="0"/>
      <w:marBottom w:val="0"/>
      <w:divBdr>
        <w:top w:val="none" w:sz="0" w:space="0" w:color="auto"/>
        <w:left w:val="none" w:sz="0" w:space="0" w:color="auto"/>
        <w:bottom w:val="none" w:sz="0" w:space="0" w:color="auto"/>
        <w:right w:val="none" w:sz="0" w:space="0" w:color="auto"/>
      </w:divBdr>
    </w:div>
    <w:div w:id="2007440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1930</Words>
  <Characters>11004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Kirran Zatoon</cp:lastModifiedBy>
  <cp:revision>2</cp:revision>
  <dcterms:created xsi:type="dcterms:W3CDTF">2026-03-22T22:53:00Z</dcterms:created>
  <dcterms:modified xsi:type="dcterms:W3CDTF">2026-03-22T22:53:00Z</dcterms:modified>
</cp:coreProperties>
</file>