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9513D21" w14:textId="561DE4DC" w:rsidR="00EB148C" w:rsidRDefault="00EB148C" w:rsidP="00242C65">
      <w:pPr>
        <w:spacing w:line="360" w:lineRule="auto"/>
        <w:jc w:val="center"/>
        <w:rPr>
          <w:sz w:val="28"/>
        </w:rPr>
      </w:pPr>
      <w:bookmarkStart w:id="0" w:name="_GoBack"/>
      <w:bookmarkEnd w:id="0"/>
      <w:r>
        <w:rPr>
          <w:sz w:val="28"/>
        </w:rPr>
        <w:t>Paper Planes and Pebbles: Explore the evidence for investment in creative approaches intended to enhance the health and well being of children and/or young people in Wales.</w:t>
      </w:r>
    </w:p>
    <w:p w14:paraId="7937F918" w14:textId="77777777" w:rsidR="00B72CF5" w:rsidRDefault="00B72CF5" w:rsidP="00242C65">
      <w:pPr>
        <w:spacing w:line="360" w:lineRule="auto"/>
        <w:jc w:val="center"/>
        <w:rPr>
          <w:sz w:val="28"/>
        </w:rPr>
      </w:pPr>
    </w:p>
    <w:p w14:paraId="735C0946" w14:textId="296BF1E6" w:rsidR="00B72CF5" w:rsidRDefault="00B72CF5" w:rsidP="00B72CF5">
      <w:pPr>
        <w:spacing w:line="360" w:lineRule="auto"/>
        <w:rPr>
          <w:sz w:val="28"/>
        </w:rPr>
      </w:pPr>
      <w:r>
        <w:rPr>
          <w:sz w:val="28"/>
        </w:rPr>
        <w:t>(ECCH7001)</w:t>
      </w:r>
    </w:p>
    <w:p w14:paraId="2CDCB080" w14:textId="2D2BBE67" w:rsidR="00B72CF5" w:rsidRDefault="00B72CF5" w:rsidP="00B72CF5">
      <w:pPr>
        <w:spacing w:line="360" w:lineRule="auto"/>
        <w:rPr>
          <w:sz w:val="28"/>
        </w:rPr>
      </w:pPr>
      <w:r>
        <w:rPr>
          <w:sz w:val="28"/>
        </w:rPr>
        <w:t>(1500933)</w:t>
      </w:r>
    </w:p>
    <w:p w14:paraId="35A93696" w14:textId="77777777" w:rsidR="0066652C" w:rsidRPr="00256F2E" w:rsidRDefault="0066652C" w:rsidP="0066652C">
      <w:pPr>
        <w:spacing w:line="360" w:lineRule="auto"/>
      </w:pPr>
    </w:p>
    <w:p w14:paraId="26374F37" w14:textId="701B242E" w:rsidR="009554E8" w:rsidRDefault="00DA2E54" w:rsidP="00CC064A">
      <w:pPr>
        <w:spacing w:line="360" w:lineRule="auto"/>
      </w:pPr>
      <w:r>
        <w:t xml:space="preserve">I have decided to focus my presentation on a creative approach, where General Practitioners (GPs) </w:t>
      </w:r>
      <w:r w:rsidR="00DA2012">
        <w:t>should</w:t>
      </w:r>
      <w:r>
        <w:t xml:space="preserve"> prescribe p</w:t>
      </w:r>
      <w:r w:rsidR="00483161">
        <w:t>lay for child</w:t>
      </w:r>
      <w:r w:rsidR="00082B5C">
        <w:t>r</w:t>
      </w:r>
      <w:r w:rsidR="003173C3">
        <w:t>en who are overweight or obese. I will be discussing the effectiveness of this approach, looking at the positive and negative aspects and then coming to a conclusion of how this ap</w:t>
      </w:r>
      <w:r w:rsidR="00203420">
        <w:t xml:space="preserve">proach </w:t>
      </w:r>
      <w:r w:rsidR="00AD4925">
        <w:t>will enhance the health and wellbeing of children in Wales.</w:t>
      </w:r>
    </w:p>
    <w:p w14:paraId="718C96CC" w14:textId="77777777" w:rsidR="003609FC" w:rsidRDefault="003609FC" w:rsidP="00CC064A">
      <w:pPr>
        <w:spacing w:line="360" w:lineRule="auto"/>
      </w:pPr>
    </w:p>
    <w:p w14:paraId="489175F1" w14:textId="163AFC02" w:rsidR="00973AB4" w:rsidRDefault="003609FC" w:rsidP="00CC064A">
      <w:pPr>
        <w:spacing w:line="360" w:lineRule="auto"/>
      </w:pPr>
      <w:r>
        <w:t xml:space="preserve">Health and Wellbeing are important aspects of children’s lives, whether it’s a positive impact or a negative impact. </w:t>
      </w:r>
      <w:r w:rsidR="00344AF6">
        <w:t>A range of sources suggest that health and wellbeing are difficult concepts to define</w:t>
      </w:r>
      <w:r w:rsidR="008F6620">
        <w:t xml:space="preserve"> as it can mean different things for different people. </w:t>
      </w:r>
      <w:r w:rsidR="004B2F5A">
        <w:t>However, some of the aspec</w:t>
      </w:r>
      <w:r w:rsidR="00AA00FE">
        <w:t xml:space="preserve">ts that have been found are to be “happy and confident and having good relationships with others to managing emotions and being resilient.” (Rose, Gilbert &amp; Richards, 2016, Page. 2). </w:t>
      </w:r>
      <w:r w:rsidR="000371D9">
        <w:t xml:space="preserve">Other aspects include to </w:t>
      </w:r>
      <w:r w:rsidR="00E20603">
        <w:t>“</w:t>
      </w:r>
      <w:r w:rsidR="000371D9">
        <w:t>feel safe, having basic needs met and to be supported, being free to discover and explore, eating a good meal, and to thrive not surviv</w:t>
      </w:r>
      <w:r w:rsidR="0054162C">
        <w:t>e</w:t>
      </w:r>
      <w:r w:rsidR="00E20603">
        <w:t>”</w:t>
      </w:r>
      <w:r w:rsidR="0054162C">
        <w:t xml:space="preserve"> (</w:t>
      </w:r>
      <w:proofErr w:type="spellStart"/>
      <w:r w:rsidR="0054162C">
        <w:t>Mainstone</w:t>
      </w:r>
      <w:proofErr w:type="spellEnd"/>
      <w:r w:rsidR="0054162C">
        <w:t>-Cotton, 2017, Page,</w:t>
      </w:r>
      <w:r w:rsidR="006E2185">
        <w:t xml:space="preserve"> </w:t>
      </w:r>
      <w:r w:rsidR="000371D9">
        <w:t xml:space="preserve">9-10). </w:t>
      </w:r>
      <w:r w:rsidR="00ED2C3A">
        <w:t>All of these aspects are able to ensure that children</w:t>
      </w:r>
      <w:r w:rsidR="003021AF">
        <w:t xml:space="preserve"> have good health and wellbeing,</w:t>
      </w:r>
      <w:r w:rsidR="00DD0835">
        <w:t xml:space="preserve"> to </w:t>
      </w:r>
      <w:r w:rsidR="003021AF">
        <w:t xml:space="preserve">feel good about themselves and to have positive relationships with their families and others around them. </w:t>
      </w:r>
    </w:p>
    <w:p w14:paraId="1A6B38C5" w14:textId="77777777" w:rsidR="00B455CD" w:rsidRDefault="00B455CD" w:rsidP="00CC064A">
      <w:pPr>
        <w:spacing w:line="360" w:lineRule="auto"/>
      </w:pPr>
    </w:p>
    <w:p w14:paraId="1E6D8B33" w14:textId="78F65418" w:rsidR="00B455CD" w:rsidRDefault="00BD490D" w:rsidP="00CC064A">
      <w:pPr>
        <w:spacing w:line="360" w:lineRule="auto"/>
      </w:pPr>
      <w:r>
        <w:t xml:space="preserve">Bronfenbrenner’s theory </w:t>
      </w:r>
      <w:r w:rsidR="004D1D17">
        <w:t xml:space="preserve">states that </w:t>
      </w:r>
      <w:r w:rsidR="002C54E4">
        <w:t>the environment around the child is essential</w:t>
      </w:r>
      <w:r w:rsidR="00ED08C9">
        <w:t xml:space="preserve"> in their development</w:t>
      </w:r>
      <w:r w:rsidR="002A037A">
        <w:t xml:space="preserve"> and that each layer of his theory has an effect on the child (Aubrey &amp; Riley, 2016). </w:t>
      </w:r>
      <w:r w:rsidR="00D43CDB">
        <w:t>This shows that</w:t>
      </w:r>
      <w:r w:rsidR="00A01C18">
        <w:t xml:space="preserve"> children need a positive environment around them in order for them to </w:t>
      </w:r>
      <w:r w:rsidR="00022E63">
        <w:t>have good health and wellbeing an</w:t>
      </w:r>
      <w:r w:rsidR="006A2104">
        <w:t xml:space="preserve">d for them to develop. </w:t>
      </w:r>
      <w:r w:rsidR="009D15B0">
        <w:t xml:space="preserve">One of the seven core aims in Wales states that children should “have a flying start in life” (Welsh Government, 2015, Paragraph, 6). </w:t>
      </w:r>
      <w:r w:rsidR="000F7F87">
        <w:t xml:space="preserve">This core aim can be met by the environment around the child, by ensuring that the children are healthy and have positive wellbeing. </w:t>
      </w:r>
    </w:p>
    <w:p w14:paraId="1D05192D" w14:textId="77777777" w:rsidR="00664A3E" w:rsidRPr="00664A3E" w:rsidRDefault="00664A3E" w:rsidP="00CC064A">
      <w:pPr>
        <w:spacing w:line="360" w:lineRule="auto"/>
      </w:pPr>
    </w:p>
    <w:p w14:paraId="72B14A09" w14:textId="15C1EBF7" w:rsidR="00B455CD" w:rsidRDefault="003C5E2C" w:rsidP="00CC064A">
      <w:pPr>
        <w:spacing w:line="360" w:lineRule="auto"/>
      </w:pPr>
      <w:r>
        <w:t>The Children’s Commissioner in England believes that General Practitioners (GPs) should offer children play on prescription in order “to combat obesity and poor mental health.” (Savage, 2018, Paragraph</w:t>
      </w:r>
      <w:r w:rsidR="0054162C">
        <w:t>,</w:t>
      </w:r>
      <w:r>
        <w:t xml:space="preserve">1). </w:t>
      </w:r>
      <w:r w:rsidR="0054162C">
        <w:t xml:space="preserve">The Children’s Commissioner states that during the summer holidays, children are “leading a battery hen existence” (Savage, 2018, Paragraph, </w:t>
      </w:r>
      <w:r w:rsidR="00484584">
        <w:t xml:space="preserve">2) </w:t>
      </w:r>
      <w:r w:rsidR="005D5065">
        <w:t>which is resulting i</w:t>
      </w:r>
      <w:r w:rsidR="00DF7706">
        <w:t xml:space="preserve">n damaging their mental health. </w:t>
      </w:r>
      <w:r w:rsidR="004918D1">
        <w:t>It has also been noted that during the summer holidays, children are staying indoors on their computers and phones instead of going out to play, which is resulting in “cardiovascular health and obesity levels deteriorating</w:t>
      </w:r>
      <w:r w:rsidR="00030168">
        <w:t xml:space="preserve">” (Savage, 2018, Paragraph, 5). </w:t>
      </w:r>
      <w:r w:rsidR="00C32603">
        <w:t xml:space="preserve">Article 6 of the United Nations Convention on the Rights of the Child (UNCRC) states that children “have the right to life and to grow up to be healthy” (Children’s Commissioner for Wales, 2018, Paragraph 6), this showing that </w:t>
      </w:r>
      <w:r w:rsidR="009B74D2">
        <w:t xml:space="preserve">there needs to be an approach I place to ensure that children are able to grow up healthy, </w:t>
      </w:r>
      <w:r w:rsidR="000176D9">
        <w:t xml:space="preserve">and not to be overweight or obese as it has a negative impact on their health. </w:t>
      </w:r>
      <w:r w:rsidR="003E0EB5">
        <w:t xml:space="preserve">It is important that children are able to have a healthy diet in order for them to grow and develop and get the nutrients and nourishment that they need. </w:t>
      </w:r>
    </w:p>
    <w:p w14:paraId="64F86506" w14:textId="4B861F1F" w:rsidR="00B455CD" w:rsidRPr="00B455CD" w:rsidRDefault="00B455CD" w:rsidP="00CC064A">
      <w:pPr>
        <w:spacing w:line="360" w:lineRule="auto"/>
        <w:rPr>
          <w:sz w:val="28"/>
        </w:rPr>
      </w:pPr>
    </w:p>
    <w:p w14:paraId="564F3107" w14:textId="77A9CDF7" w:rsidR="00F21724" w:rsidRDefault="00D06E7F" w:rsidP="00CC064A">
      <w:pPr>
        <w:spacing w:line="360" w:lineRule="auto"/>
      </w:pPr>
      <w:r>
        <w:t xml:space="preserve">Public Health Wales NHS Trust has published a </w:t>
      </w:r>
      <w:r w:rsidR="00A517E0">
        <w:t xml:space="preserve">programme </w:t>
      </w:r>
      <w:r w:rsidR="0061590E">
        <w:t xml:space="preserve">called Every Child: The Child </w:t>
      </w:r>
      <w:r w:rsidR="00442F13">
        <w:t xml:space="preserve">Measurement Programme for Wales, which focuses on children aged 4 to 5 years, who live in Wales and are currently in the reception classes (Public Health Wales NHS Trust, 2018). </w:t>
      </w:r>
      <w:r w:rsidR="00CF7C7F">
        <w:t xml:space="preserve">The programme looks at children’s weight, stating the percentage of children aged 4 to 5 years who are a healthy weight, underweight or obese. </w:t>
      </w:r>
      <w:r w:rsidR="00F27031">
        <w:t>One of the findings from the study stated that children at reception age “are significantly more likely than the Welsh average</w:t>
      </w:r>
      <w:r w:rsidR="00D76414">
        <w:t xml:space="preserve"> to be obese, if they liv</w:t>
      </w:r>
      <w:r w:rsidR="00C34C6F">
        <w:t xml:space="preserve">e in areas of higher deprivation” (NHS Wales, 2018, Paragraph, 4). </w:t>
      </w:r>
      <w:r w:rsidR="00D76414">
        <w:t>Another finding</w:t>
      </w:r>
      <w:r w:rsidR="00D07195">
        <w:t xml:space="preserve"> states that in Wales, “27.1% of children … are overweight or obese, compared to 22.6% in England in this age group” (NHS Wales, 2018, Paragraph, 6). </w:t>
      </w:r>
      <w:r w:rsidR="00F21724">
        <w:t>Although 27.1% of children in Wales are overweight or obese, 72.2% of children are either at a</w:t>
      </w:r>
      <w:r w:rsidR="000745D1">
        <w:t xml:space="preserve"> healthy weight or underweight in Wales. </w:t>
      </w:r>
    </w:p>
    <w:p w14:paraId="50AE6191" w14:textId="77777777" w:rsidR="00D72F36" w:rsidRDefault="00D72F36" w:rsidP="00CC064A">
      <w:pPr>
        <w:spacing w:line="360" w:lineRule="auto"/>
      </w:pPr>
    </w:p>
    <w:p w14:paraId="3D4F1D70" w14:textId="50D0FC24" w:rsidR="00992157" w:rsidRDefault="0066371B" w:rsidP="00CC064A">
      <w:pPr>
        <w:spacing w:line="360" w:lineRule="auto"/>
      </w:pPr>
      <w:r>
        <w:t>The Chairman</w:t>
      </w:r>
      <w:r w:rsidR="00422236">
        <w:t xml:space="preserve"> of the Welsh Obesity Society states that </w:t>
      </w:r>
      <w:r w:rsidR="00081693">
        <w:t>“NHS clinics were available for adults but children had to wait until they were 16” (</w:t>
      </w:r>
      <w:proofErr w:type="spellStart"/>
      <w:r w:rsidR="00081693">
        <w:t>Ryall</w:t>
      </w:r>
      <w:proofErr w:type="spellEnd"/>
      <w:r w:rsidR="00081693">
        <w:t xml:space="preserve">, 2017, Paragraph, 3-4). </w:t>
      </w:r>
      <w:r w:rsidR="00EF46DC">
        <w:t xml:space="preserve">Even though obesity rates for children </w:t>
      </w:r>
      <w:r w:rsidR="00F0372A">
        <w:t xml:space="preserve">were high, there was no intervention or approach in place to help this issue until the child reached the age of 16. </w:t>
      </w:r>
      <w:proofErr w:type="spellStart"/>
      <w:r w:rsidR="00257749">
        <w:t>Ryall</w:t>
      </w:r>
      <w:proofErr w:type="spellEnd"/>
      <w:r w:rsidR="00257749">
        <w:t xml:space="preserve"> (2017, Paragraph, 7) states that “obesity in Wales is worse than any other UK nation” which is </w:t>
      </w:r>
      <w:r w:rsidR="00B0777E">
        <w:t>a concern for the children’</w:t>
      </w:r>
      <w:r w:rsidR="00A8473A">
        <w:t xml:space="preserve">s health and wellbeing. </w:t>
      </w:r>
      <w:r w:rsidR="00A05306">
        <w:t>Palmer (2015, Page 17) states that “although nutritionists had ben warning about these developments for years, it wasn’t until the physical effects of the ‘obesity explosion’ were clearly visible in a growing number of children that the media recognised a ‘story’.” The government have published information on healthy eating for many years, but</w:t>
      </w:r>
      <w:r w:rsidR="00EA0598">
        <w:t xml:space="preserve"> still to this day, 27.1% of children in Wales are overweight or obese (NHS Wales, 2018). </w:t>
      </w:r>
    </w:p>
    <w:p w14:paraId="7DC77826" w14:textId="77777777" w:rsidR="00B455CD" w:rsidRDefault="00B455CD" w:rsidP="00CC064A">
      <w:pPr>
        <w:spacing w:line="360" w:lineRule="auto"/>
      </w:pPr>
    </w:p>
    <w:p w14:paraId="74851787" w14:textId="2B35DDF9" w:rsidR="00824175" w:rsidRDefault="00F344D5" w:rsidP="00CC064A">
      <w:pPr>
        <w:spacing w:line="360" w:lineRule="auto"/>
      </w:pPr>
      <w:r>
        <w:t>Owen et al,</w:t>
      </w:r>
      <w:r w:rsidR="009F36E5">
        <w:t xml:space="preserve"> also state</w:t>
      </w:r>
      <w:r w:rsidR="00223D7D">
        <w:t>s</w:t>
      </w:r>
      <w:r w:rsidR="009F36E5">
        <w:t xml:space="preserve"> that the rates of being overweight or obese in childhood is increasing, they state that “with concomitant negative implications for long-term morbidity and mortality in adulthood</w:t>
      </w:r>
      <w:r w:rsidR="00C371DB">
        <w:t>” and that “the high adults burden and developmental profile of adult obesity reinforce the need for prevention during childhood and particularly in early childhood”</w:t>
      </w:r>
      <w:r w:rsidR="00D242E2">
        <w:t xml:space="preserve"> (Owen, Brown, </w:t>
      </w:r>
      <w:proofErr w:type="spellStart"/>
      <w:r w:rsidR="00D242E2">
        <w:t>Kuhlberg</w:t>
      </w:r>
      <w:proofErr w:type="spellEnd"/>
      <w:r w:rsidR="00D242E2">
        <w:t xml:space="preserve">, Millar, Nichols, </w:t>
      </w:r>
      <w:proofErr w:type="spellStart"/>
      <w:r w:rsidR="00D242E2">
        <w:t>Economos</w:t>
      </w:r>
      <w:proofErr w:type="spellEnd"/>
      <w:r w:rsidR="00D242E2">
        <w:t xml:space="preserve"> and</w:t>
      </w:r>
      <w:r w:rsidR="00C371DB">
        <w:t xml:space="preserve"> </w:t>
      </w:r>
      <w:proofErr w:type="spellStart"/>
      <w:r w:rsidR="00C371DB">
        <w:t>Allender</w:t>
      </w:r>
      <w:proofErr w:type="spellEnd"/>
      <w:r w:rsidR="00C371DB">
        <w:t xml:space="preserve">, 2018, Page, 2). </w:t>
      </w:r>
      <w:r w:rsidR="00373CC6">
        <w:t xml:space="preserve">This in hand with the Chairman of the Welsh Obesity Society both show that </w:t>
      </w:r>
      <w:r w:rsidR="00676C99">
        <w:t xml:space="preserve">there is need for an approach for children to combat obesity and help prevent children form being obese in their adulthood. </w:t>
      </w:r>
    </w:p>
    <w:p w14:paraId="68594F36" w14:textId="686AFFB1" w:rsidR="00B455CD" w:rsidRPr="00B455CD" w:rsidRDefault="00B455CD" w:rsidP="00CC064A">
      <w:pPr>
        <w:spacing w:line="360" w:lineRule="auto"/>
        <w:rPr>
          <w:sz w:val="28"/>
        </w:rPr>
      </w:pPr>
    </w:p>
    <w:p w14:paraId="555A4896" w14:textId="3550BA75" w:rsidR="00DC14BB" w:rsidRDefault="00DC14BB" w:rsidP="00CC064A">
      <w:pPr>
        <w:spacing w:line="360" w:lineRule="auto"/>
      </w:pPr>
      <w:r>
        <w:t xml:space="preserve">However, </w:t>
      </w:r>
      <w:r w:rsidR="004F7391">
        <w:t>what are the reasons for children becoming obese in the first place?</w:t>
      </w:r>
    </w:p>
    <w:p w14:paraId="237A6FF6" w14:textId="6BE00CE1" w:rsidR="00B455CD" w:rsidRDefault="00B4557C" w:rsidP="00CC064A">
      <w:pPr>
        <w:spacing w:line="360" w:lineRule="auto"/>
      </w:pPr>
      <w:r>
        <w:t xml:space="preserve">There are a range of factors </w:t>
      </w:r>
      <w:r w:rsidR="00842BB2">
        <w:t xml:space="preserve">that can influence obesity, </w:t>
      </w:r>
      <w:proofErr w:type="spellStart"/>
      <w:r w:rsidR="00842BB2">
        <w:t>Amiri</w:t>
      </w:r>
      <w:proofErr w:type="spellEnd"/>
      <w:r w:rsidR="00842BB2">
        <w:t xml:space="preserve"> et al (2017</w:t>
      </w:r>
      <w:r w:rsidR="004E6C46">
        <w:t>, Page 1212</w:t>
      </w:r>
      <w:r w:rsidR="00842BB2">
        <w:t xml:space="preserve">) states that some of these factors include </w:t>
      </w:r>
      <w:r w:rsidR="004E6C46">
        <w:t xml:space="preserve">“family environment and parental characteristics”. </w:t>
      </w:r>
      <w:r w:rsidR="00D73BF5">
        <w:t>Parents or caregivers of children have an important role in ensuring that their children are healthy and are getting the nutrition that they nee</w:t>
      </w:r>
      <w:r w:rsidR="00245A51">
        <w:t xml:space="preserve">d in order for them to develop and grow. </w:t>
      </w:r>
      <w:proofErr w:type="spellStart"/>
      <w:r w:rsidR="005E1898">
        <w:t>Amiri</w:t>
      </w:r>
      <w:proofErr w:type="spellEnd"/>
      <w:r w:rsidR="005E1898">
        <w:t xml:space="preserve"> et al also states that </w:t>
      </w:r>
      <w:r w:rsidR="009C2EA3">
        <w:t xml:space="preserve">there are a range of factors that have an effect on childhood obesity, not only one factor, however </w:t>
      </w:r>
      <w:r w:rsidR="00AF0E5E">
        <w:t>the focus seems to be on</w:t>
      </w:r>
      <w:r w:rsidR="00250A8E">
        <w:t xml:space="preserve"> the parents or </w:t>
      </w:r>
      <w:proofErr w:type="gramStart"/>
      <w:r w:rsidR="00250A8E">
        <w:t>caregivers</w:t>
      </w:r>
      <w:proofErr w:type="gramEnd"/>
      <w:r w:rsidR="00250A8E">
        <w:t xml:space="preserve"> responsibilities. </w:t>
      </w:r>
      <w:r w:rsidR="0051318F">
        <w:t xml:space="preserve">Townsend (2018) also argues that </w:t>
      </w:r>
      <w:r w:rsidR="00D0339F">
        <w:t>“parents have direct influence over their children’</w:t>
      </w:r>
      <w:r w:rsidR="00A535E7">
        <w:t>s physical</w:t>
      </w:r>
      <w:r w:rsidR="00D0339F">
        <w:t xml:space="preserve"> and social environments”</w:t>
      </w:r>
      <w:r w:rsidR="004E74DC">
        <w:t xml:space="preserve"> (Townsend, </w:t>
      </w:r>
      <w:proofErr w:type="spellStart"/>
      <w:r w:rsidR="004E74DC">
        <w:t>Shilts</w:t>
      </w:r>
      <w:proofErr w:type="spellEnd"/>
      <w:r w:rsidR="004E74DC">
        <w:t xml:space="preserve">, </w:t>
      </w:r>
      <w:proofErr w:type="spellStart"/>
      <w:r w:rsidR="004E74DC">
        <w:t>Styne</w:t>
      </w:r>
      <w:proofErr w:type="spellEnd"/>
      <w:r w:rsidR="004E74DC">
        <w:t xml:space="preserve">, Drake, </w:t>
      </w:r>
      <w:proofErr w:type="spellStart"/>
      <w:r w:rsidR="00792B42">
        <w:t>Lanoue</w:t>
      </w:r>
      <w:proofErr w:type="spellEnd"/>
      <w:r w:rsidR="00792B42">
        <w:t xml:space="preserve"> and </w:t>
      </w:r>
      <w:proofErr w:type="spellStart"/>
      <w:r w:rsidR="00792B42">
        <w:t>Ontai</w:t>
      </w:r>
      <w:proofErr w:type="spellEnd"/>
      <w:r w:rsidR="00792B42">
        <w:t xml:space="preserve">, 2018, Page 705). </w:t>
      </w:r>
      <w:r w:rsidR="003534BC">
        <w:t xml:space="preserve">They argue that although parents have a direct influence on their children, </w:t>
      </w:r>
      <w:r w:rsidR="00754109">
        <w:t>they are led to live an unhealthy lifestyle, resulting i</w:t>
      </w:r>
      <w:r w:rsidR="00547833">
        <w:t xml:space="preserve">n becoming overweight or obese (Townsend et al, 2018). </w:t>
      </w:r>
      <w:r w:rsidR="00AE68D2">
        <w:t>This can link back to Bronfenbrenner’s Theory, as the environment around the child is having an effect on the child’s health and their wellbeing due to them possibly not having healthy meals</w:t>
      </w:r>
      <w:r w:rsidR="009F773B">
        <w:t xml:space="preserve"> and being active. </w:t>
      </w:r>
    </w:p>
    <w:p w14:paraId="0D5AFCF1" w14:textId="77777777" w:rsidR="00664A3E" w:rsidRDefault="00664A3E" w:rsidP="00CC064A">
      <w:pPr>
        <w:spacing w:line="360" w:lineRule="auto"/>
      </w:pPr>
    </w:p>
    <w:p w14:paraId="490344E8" w14:textId="464BBF09" w:rsidR="005517C4" w:rsidRDefault="002373D5" w:rsidP="00CC064A">
      <w:pPr>
        <w:spacing w:line="360" w:lineRule="auto"/>
      </w:pPr>
      <w:r>
        <w:t xml:space="preserve">Another aspect that was mentioned previously is </w:t>
      </w:r>
      <w:r w:rsidR="00824360">
        <w:t xml:space="preserve">children leading a ‘battery hen existence’, where children are more focused on technology rather than going out to play during the summer holidays. </w:t>
      </w:r>
      <w:r w:rsidR="00AF7861">
        <w:t>This can result in obesity and also poor mental health</w:t>
      </w:r>
      <w:r w:rsidR="00216A16">
        <w:t xml:space="preserve">, Palmer (2015, Page, 2) states that “the clash between technological culture and biological heritage is now damaging children’s ability to think, learn and behave.” </w:t>
      </w:r>
      <w:r w:rsidR="00EE7A8F">
        <w:t xml:space="preserve">If children are staying indoors and using technology </w:t>
      </w:r>
      <w:r w:rsidR="0013613D">
        <w:t xml:space="preserve">most of the </w:t>
      </w:r>
      <w:r w:rsidR="0023478A">
        <w:t>time,</w:t>
      </w:r>
      <w:r w:rsidR="0013613D">
        <w:t xml:space="preserve"> then they are not having the </w:t>
      </w:r>
      <w:r w:rsidR="00491E74">
        <w:t xml:space="preserve">social </w:t>
      </w:r>
      <w:r w:rsidR="0013613D">
        <w:t>interactions with their family and friends</w:t>
      </w:r>
      <w:r w:rsidR="00DF536C">
        <w:t>.</w:t>
      </w:r>
      <w:r w:rsidR="0013613D">
        <w:t xml:space="preserve"> It is also stated that children have reduced attention </w:t>
      </w:r>
      <w:r w:rsidR="00E06483">
        <w:t xml:space="preserve">span “since television became widespread in the 1950’s, and over the last twenty </w:t>
      </w:r>
      <w:proofErr w:type="gramStart"/>
      <w:r w:rsidR="00E06483">
        <w:t>years</w:t>
      </w:r>
      <w:proofErr w:type="gramEnd"/>
      <w:r w:rsidR="00E06483">
        <w:t xml:space="preserve"> children’s viewing has escalated wildly as TV became a round-the-clock global presence” (Palmer, 2015, Page, 9). </w:t>
      </w:r>
      <w:r w:rsidR="00BA00C9">
        <w:t xml:space="preserve">Although technology </w:t>
      </w:r>
      <w:r w:rsidR="00CE7467">
        <w:t xml:space="preserve">has an effect on children, some may say that it is still down to the parents or caregivers on the amount of time that children are able to spend on technology, and that they should encourage their children to play and socialise with their family and friends. </w:t>
      </w:r>
    </w:p>
    <w:p w14:paraId="67F60363" w14:textId="76A65DEC" w:rsidR="00B455CD" w:rsidRPr="00B455CD" w:rsidRDefault="00B455CD" w:rsidP="00CC064A">
      <w:pPr>
        <w:spacing w:line="360" w:lineRule="auto"/>
        <w:rPr>
          <w:sz w:val="28"/>
        </w:rPr>
      </w:pPr>
    </w:p>
    <w:p w14:paraId="129884B4" w14:textId="07A7B936" w:rsidR="00B455CD" w:rsidRDefault="00E97F08" w:rsidP="00CC064A">
      <w:pPr>
        <w:spacing w:line="360" w:lineRule="auto"/>
      </w:pPr>
      <w:r>
        <w:t xml:space="preserve">Palmer (2015) states that </w:t>
      </w:r>
      <w:r w:rsidR="00375377">
        <w:t xml:space="preserve">children’s needs are the same as they’ve ever been, they include “physical nature; nourishing food; plenty of exercise and play; adequate sleep” (Palmer, 2015, Page 12). </w:t>
      </w:r>
      <w:r w:rsidR="00960D57">
        <w:t xml:space="preserve">Parents </w:t>
      </w:r>
      <w:r w:rsidR="00D86FB6">
        <w:t>may find it difficult to</w:t>
      </w:r>
      <w:r w:rsidR="00A45307">
        <w:t xml:space="preserve"> buy heal</w:t>
      </w:r>
      <w:r w:rsidR="00E46647">
        <w:t xml:space="preserve">thy food due to the cost, </w:t>
      </w:r>
      <w:r w:rsidR="00D64762">
        <w:t>whereas unhealthy food is cheaper and can be accessed easily, for example from fast food restaurants</w:t>
      </w:r>
      <w:r w:rsidR="00F7614B">
        <w:t xml:space="preserve">. </w:t>
      </w:r>
      <w:r w:rsidR="0003151C">
        <w:t>Palmer suggests that children have developed a taste for unhealthy food resulting in them having a ‘</w:t>
      </w:r>
      <w:proofErr w:type="spellStart"/>
      <w:r w:rsidR="0003151C">
        <w:t>couchpotato</w:t>
      </w:r>
      <w:proofErr w:type="spellEnd"/>
      <w:r w:rsidR="0003151C">
        <w:t xml:space="preserve">’ lifestyle, which is damaging </w:t>
      </w:r>
      <w:r w:rsidR="00814779">
        <w:t xml:space="preserve">for their health and wellbeing (Palmer, 2015). </w:t>
      </w:r>
      <w:r w:rsidR="00E66CA1">
        <w:t>She also states that instead of children having real-life experiences, they “have electronic entertainment and communication at home”</w:t>
      </w:r>
      <w:r w:rsidR="00A472E0">
        <w:t xml:space="preserve"> and “are constantly exposed to manipulative advertising and the excess of celebrity culture” (Palmer, 2015, Page, 13). </w:t>
      </w:r>
      <w:r w:rsidR="0080062C">
        <w:t>Although i</w:t>
      </w:r>
      <w:r w:rsidR="00F166E5">
        <w:t xml:space="preserve">n 2007, the United Kingdom’s Government </w:t>
      </w:r>
      <w:r w:rsidR="00937DC2">
        <w:t>banned junk-food advertisements during children’</w:t>
      </w:r>
      <w:r w:rsidR="0080062C">
        <w:t>s TV programmes</w:t>
      </w:r>
      <w:r w:rsidR="001B654E">
        <w:t xml:space="preserve">, children are still seen to this day to be </w:t>
      </w:r>
      <w:r w:rsidR="00DB4A03">
        <w:t xml:space="preserve">overweight or </w:t>
      </w:r>
      <w:r w:rsidR="001B654E">
        <w:t xml:space="preserve">obese. </w:t>
      </w:r>
      <w:r w:rsidR="00935328">
        <w:t xml:space="preserve">Being obese can result in children ending up with type 2 diabetes, as the Chairman of </w:t>
      </w:r>
      <w:r w:rsidR="00C74246">
        <w:t>the Welsh Obesity Society states that “he knew of nine-year-olds with type 2 diabetes” (</w:t>
      </w:r>
      <w:proofErr w:type="spellStart"/>
      <w:r w:rsidR="00C74246">
        <w:t>Ryall</w:t>
      </w:r>
      <w:proofErr w:type="spellEnd"/>
      <w:r w:rsidR="00C74246">
        <w:t xml:space="preserve">, 2017, Paragraph, 6-7). </w:t>
      </w:r>
      <w:r w:rsidR="00DC4963">
        <w:t xml:space="preserve">This is a concern for children’s health and wellbeing as </w:t>
      </w:r>
      <w:r w:rsidR="00EC6202">
        <w:t xml:space="preserve">it can lead to having a negative impact in their lives as adults. </w:t>
      </w:r>
    </w:p>
    <w:p w14:paraId="487906E9" w14:textId="77777777" w:rsidR="00664A3E" w:rsidRPr="00664A3E" w:rsidRDefault="00664A3E" w:rsidP="00CC064A">
      <w:pPr>
        <w:spacing w:line="360" w:lineRule="auto"/>
      </w:pPr>
    </w:p>
    <w:p w14:paraId="6AB71D96" w14:textId="59B7DB34" w:rsidR="00027F78" w:rsidRDefault="00C6711B" w:rsidP="00CC064A">
      <w:pPr>
        <w:spacing w:line="360" w:lineRule="auto"/>
      </w:pPr>
      <w:r>
        <w:t>As suggested</w:t>
      </w:r>
      <w:r w:rsidR="00EF5A5F">
        <w:t xml:space="preserve"> by the Children’s Commissioner in England, </w:t>
      </w:r>
      <w:r w:rsidR="0082789F">
        <w:t xml:space="preserve">prescribing play </w:t>
      </w:r>
      <w:r w:rsidR="00005B31">
        <w:t>could help to combat obesity</w:t>
      </w:r>
      <w:r w:rsidR="00CE50CA">
        <w:t xml:space="preserve">. </w:t>
      </w:r>
      <w:r w:rsidR="00CC78C3">
        <w:t>Play is seen</w:t>
      </w:r>
      <w:r w:rsidR="00D84632">
        <w:t xml:space="preserve"> both in the seven core aims, stating that children should “have access to play, leisure, sporting and cultural activities” (Welsh Government, 2015, Paragraph 6), and also in the UNCRC Children’s Rights in Article 31, stating that children have the “right to relax and play” (Children’s Commissioner for Wales, 2018, Paragraph, 31). </w:t>
      </w:r>
      <w:r w:rsidR="00C53297">
        <w:t xml:space="preserve">This shows that play is an important part of children’s learning and development. </w:t>
      </w:r>
      <w:r w:rsidR="00512804">
        <w:t>Through play, childre</w:t>
      </w:r>
      <w:r w:rsidR="00F1059E">
        <w:t xml:space="preserve">n are able to learn and explore and develop an understanding of the world around them. </w:t>
      </w:r>
      <w:r w:rsidR="004C2539">
        <w:t xml:space="preserve">Physical activity and outdoor play have been proven </w:t>
      </w:r>
      <w:r w:rsidR="007E3AFB">
        <w:t xml:space="preserve">to have positive outcomes for children’s health (James et al, 2017, Page 519). </w:t>
      </w:r>
      <w:r w:rsidR="009F192A">
        <w:t xml:space="preserve">It has also been researched that </w:t>
      </w:r>
      <w:r w:rsidR="00D764B7">
        <w:t>by children participating in physical activity it can</w:t>
      </w:r>
      <w:r w:rsidR="007815DF">
        <w:t xml:space="preserve"> reduce the risk of conditions, such as “diabetes, … depression and anxiety” (James et al, 2017, Page 523). </w:t>
      </w:r>
      <w:r w:rsidR="006F71E5">
        <w:t>Also by children participating in outdoor activity, it has “been shown to</w:t>
      </w:r>
      <w:r w:rsidR="00DC2CBF">
        <w:t xml:space="preserve"> decrease stress, improve attention” (James et al, 2017, Page, 523). </w:t>
      </w:r>
      <w:r w:rsidR="00E31489">
        <w:t xml:space="preserve">This shows that the possibility of GP’s prescribing play for children </w:t>
      </w:r>
      <w:r w:rsidR="001F78FF">
        <w:t xml:space="preserve">could have a positive impact on children’s health and wellbeing. </w:t>
      </w:r>
    </w:p>
    <w:p w14:paraId="42CAE290" w14:textId="660AFE9F" w:rsidR="00B455CD" w:rsidRPr="00B455CD" w:rsidRDefault="00B455CD" w:rsidP="00CC064A">
      <w:pPr>
        <w:spacing w:line="360" w:lineRule="auto"/>
        <w:rPr>
          <w:sz w:val="28"/>
        </w:rPr>
      </w:pPr>
    </w:p>
    <w:p w14:paraId="14A7E584" w14:textId="51840291" w:rsidR="007B6A43" w:rsidRPr="00615D1E" w:rsidRDefault="001037D6" w:rsidP="007B6A43">
      <w:pPr>
        <w:spacing w:line="360" w:lineRule="auto"/>
      </w:pPr>
      <w:r>
        <w:t xml:space="preserve">As stated previously, </w:t>
      </w:r>
      <w:r w:rsidR="007C5531">
        <w:t xml:space="preserve">that </w:t>
      </w:r>
      <w:r>
        <w:t xml:space="preserve">parents have the direct influence on their children, </w:t>
      </w:r>
      <w:proofErr w:type="spellStart"/>
      <w:r w:rsidR="00F374BE">
        <w:t>Huxtable</w:t>
      </w:r>
      <w:proofErr w:type="spellEnd"/>
      <w:r w:rsidR="00F374BE">
        <w:t xml:space="preserve">, Millar, Love, Bell and Whelan (2018) agree with this also, they state that </w:t>
      </w:r>
      <w:r w:rsidR="00723C72">
        <w:t>“parents play a significant role in the development of their children by shaping physical activity and eating behaviours early in childhood.” (</w:t>
      </w:r>
      <w:proofErr w:type="spellStart"/>
      <w:r w:rsidR="00723C72">
        <w:t>Huxtable</w:t>
      </w:r>
      <w:proofErr w:type="spellEnd"/>
      <w:r w:rsidR="00723C72">
        <w:t xml:space="preserve"> et al, 2018, Page, 1). </w:t>
      </w:r>
      <w:r w:rsidR="00086698">
        <w:t xml:space="preserve">This shows that possibly parents need to be educated on healthy eating and why play is important for their children’s health and wellbeing. </w:t>
      </w:r>
      <w:r w:rsidR="00A37771">
        <w:t xml:space="preserve">Although parents have this responsibility, James et al states that the issue is down to the lack of resources available and also “limited access to safe outdoor space and structured recreational programs” (James, Hess, Perkins, </w:t>
      </w:r>
      <w:proofErr w:type="spellStart"/>
      <w:r w:rsidR="00A37771">
        <w:t>Taveras</w:t>
      </w:r>
      <w:proofErr w:type="spellEnd"/>
      <w:r w:rsidR="00A37771">
        <w:t xml:space="preserve"> and </w:t>
      </w:r>
      <w:proofErr w:type="spellStart"/>
      <w:r w:rsidR="00A37771">
        <w:t>Scirica</w:t>
      </w:r>
      <w:proofErr w:type="spellEnd"/>
      <w:r w:rsidR="00A37771">
        <w:t xml:space="preserve">, 2017, Page. 519). </w:t>
      </w:r>
      <w:r w:rsidR="0003092A">
        <w:t xml:space="preserve">This suggests that the approach of prescribing play for children </w:t>
      </w:r>
      <w:r w:rsidR="009E096F">
        <w:t xml:space="preserve">would be very beneficial for children’s health and wellbeing, as there could be a play scheme approach where children are able to attend, which would be a safe place with the opportunity for them to socialise and take part in physical activities. </w:t>
      </w:r>
      <w:proofErr w:type="spellStart"/>
      <w:r w:rsidR="007B6A43">
        <w:t>Amiri</w:t>
      </w:r>
      <w:proofErr w:type="spellEnd"/>
      <w:r w:rsidR="007B6A43">
        <w:t xml:space="preserve"> et al (2017) states that by finding out “the possible relationship between different clusters of parental factors and incidence of overweight in children may help researchers and policymakers to design more effective intervention strategies so as to tackle this issue more efficiently and with lower cost” (</w:t>
      </w:r>
      <w:proofErr w:type="spellStart"/>
      <w:r w:rsidR="007B6A43">
        <w:t>Amiri</w:t>
      </w:r>
      <w:proofErr w:type="spellEnd"/>
      <w:r w:rsidR="007B6A43">
        <w:t xml:space="preserve"> et al, 2017, Page, 1212). </w:t>
      </w:r>
      <w:r w:rsidR="00EF5F00">
        <w:t xml:space="preserve">The approach of prescribing play is able to address these issues and help reduce the number of children who are overweight or obese. </w:t>
      </w:r>
    </w:p>
    <w:p w14:paraId="0FD8F88D" w14:textId="4ED6FBC4" w:rsidR="00E02073" w:rsidRPr="00B455CD" w:rsidRDefault="00E02073" w:rsidP="00CC064A">
      <w:pPr>
        <w:spacing w:line="360" w:lineRule="auto"/>
        <w:rPr>
          <w:sz w:val="28"/>
        </w:rPr>
      </w:pPr>
    </w:p>
    <w:p w14:paraId="11C3E0CA" w14:textId="4D8B6664" w:rsidR="00E02073" w:rsidRDefault="00E02073" w:rsidP="00CC064A">
      <w:pPr>
        <w:spacing w:line="360" w:lineRule="auto"/>
      </w:pPr>
      <w:r>
        <w:t xml:space="preserve">A play scheme approach would be appropriate as it can be held indoors or outdoors, it is able to provide children with the opportunity to have the physical interaction with others of a similar or different age. </w:t>
      </w:r>
      <w:r w:rsidR="0010156A">
        <w:t xml:space="preserve">It would provide them the opportunity to participate in activities which would be able to benefit their health, and also through some of the activities, the play workers at the play scheme could create sessions about healthy eating and why physical activity is important. </w:t>
      </w:r>
      <w:r w:rsidR="00C12208">
        <w:t xml:space="preserve">The sessions would then not only benefit their physical health, but they would be educated on eating healthy. </w:t>
      </w:r>
      <w:r w:rsidR="001304D7">
        <w:t>Parents may also join in to some of the sessions to learn about healthy eating so that they are able to learn themselves about the dangers of eating unhealthy for children and the risks it</w:t>
      </w:r>
      <w:r w:rsidR="007552A2">
        <w:t xml:space="preserve"> may cause. </w:t>
      </w:r>
    </w:p>
    <w:p w14:paraId="0DD656FF" w14:textId="28857E86" w:rsidR="00B455CD" w:rsidRPr="00B455CD" w:rsidRDefault="00B455CD" w:rsidP="00CC064A">
      <w:pPr>
        <w:spacing w:line="360" w:lineRule="auto"/>
        <w:rPr>
          <w:sz w:val="28"/>
        </w:rPr>
      </w:pPr>
    </w:p>
    <w:p w14:paraId="0D607D0F" w14:textId="3B4054E7" w:rsidR="005675A5" w:rsidRDefault="005F382C" w:rsidP="00CC064A">
      <w:pPr>
        <w:spacing w:line="360" w:lineRule="auto"/>
      </w:pPr>
      <w:r>
        <w:t xml:space="preserve">An aspect that may be a barrier for this approach is the </w:t>
      </w:r>
      <w:r w:rsidR="0025251C">
        <w:t>cost of setting the play schemes up</w:t>
      </w:r>
      <w:r>
        <w:t xml:space="preserve">. </w:t>
      </w:r>
      <w:r w:rsidR="00397A57">
        <w:t>Tremblay et al (2015) argues that</w:t>
      </w:r>
      <w:r w:rsidR="00480B61">
        <w:t xml:space="preserve"> adults try to create play spaces for children, using their own perspective of what they think that the children would like, such as bright colours, and creating an extremely safe place, however, children have a natural preference for the natural world around them and are able to learn and participate in physical activities in the outdoors (Tremblay et al, 2015). </w:t>
      </w:r>
      <w:r w:rsidR="000A481A">
        <w:t>This shows that there is no need for expensive equipment for the children to play with, also by creating a very safe environment for the children, it doesn’t give them the opportunity to t</w:t>
      </w:r>
      <w:r w:rsidR="008F2B2C">
        <w:t xml:space="preserve">ake risks and explore and play. This means that the play schemes would not have to have the cost of buying new expensive equipment as the children are able to learn and exercise in the environment around them. </w:t>
      </w:r>
    </w:p>
    <w:p w14:paraId="5241591E" w14:textId="245398DF" w:rsidR="00B455CD" w:rsidRPr="00B455CD" w:rsidRDefault="00B455CD" w:rsidP="00CC064A">
      <w:pPr>
        <w:spacing w:line="360" w:lineRule="auto"/>
        <w:rPr>
          <w:sz w:val="28"/>
        </w:rPr>
      </w:pPr>
    </w:p>
    <w:p w14:paraId="3196DB12" w14:textId="375B9FB5" w:rsidR="00E81D7F" w:rsidRDefault="00973B94" w:rsidP="00CC064A">
      <w:pPr>
        <w:spacing w:line="360" w:lineRule="auto"/>
      </w:pPr>
      <w:r>
        <w:t xml:space="preserve">Although this could eliminate the cost, there may also be the cost for staff to be paid etc. </w:t>
      </w:r>
      <w:r w:rsidR="005675A5">
        <w:t xml:space="preserve">According to Savage (2018) Anne </w:t>
      </w:r>
      <w:proofErr w:type="spellStart"/>
      <w:r w:rsidR="005675A5">
        <w:t>Longfield</w:t>
      </w:r>
      <w:proofErr w:type="spellEnd"/>
      <w:r w:rsidR="005675A5">
        <w:t>, an observer, suggested that “the funds raised by the government’s ‘sugar tax’ to be used to ensure attractive play schemes were located in the right areas and gave children and parents as</w:t>
      </w:r>
      <w:r w:rsidR="004F7BE7">
        <w:t xml:space="preserve"> </w:t>
      </w:r>
      <w:r w:rsidR="005903C5">
        <w:t>s</w:t>
      </w:r>
      <w:r w:rsidR="005675A5">
        <w:t xml:space="preserve">afe, exciting and affordable facility” (Savage, 2018, Paragraph, 8). </w:t>
      </w:r>
      <w:r w:rsidR="00274359">
        <w:t>This would be a benefit for children and their families in Wales as the NHS Wales provide prescriptions for free, whereas in England they have to be paid for, meaning that</w:t>
      </w:r>
      <w:r w:rsidR="00DA3E1E">
        <w:t xml:space="preserve"> Wales are not provided with that extra money like England are. </w:t>
      </w:r>
      <w:r w:rsidR="00FF4CA5">
        <w:t xml:space="preserve">The Wellbeing of Future Generations (Wales) Act 2015 can be linked in here as it states that </w:t>
      </w:r>
      <w:r w:rsidR="00054295">
        <w:t>public bodies, such as the Welsh Ministers and the Local Authority</w:t>
      </w:r>
      <w:r w:rsidR="00E6115C">
        <w:t xml:space="preserve">, should “think more about the long-term, work better with people and communities and each other, look to prevent problems and take a more joined-up approach.” Welsh Government, 2015, Page, 3). </w:t>
      </w:r>
      <w:r w:rsidR="007D4C6A">
        <w:t xml:space="preserve">This approach is able to ensure that obesity can be tackled </w:t>
      </w:r>
      <w:r w:rsidR="00681938">
        <w:t xml:space="preserve">in the long term by educating children and their parents, ensuring that future generations are informed about the importance of healthy eating and participating in physical activity. </w:t>
      </w:r>
    </w:p>
    <w:p w14:paraId="776F17B3" w14:textId="361C73B6" w:rsidR="00B455CD" w:rsidRPr="00B455CD" w:rsidRDefault="00B455CD" w:rsidP="00CC064A">
      <w:pPr>
        <w:spacing w:line="360" w:lineRule="auto"/>
        <w:rPr>
          <w:sz w:val="28"/>
        </w:rPr>
      </w:pPr>
    </w:p>
    <w:p w14:paraId="3EF254B9" w14:textId="752AE6D3" w:rsidR="0083789F" w:rsidRDefault="00AA4C6F" w:rsidP="00CC064A">
      <w:pPr>
        <w:spacing w:line="360" w:lineRule="auto"/>
      </w:pPr>
      <w:r>
        <w:t xml:space="preserve">It has been shown that the approach for GP’s prescribing play for children who are overweight or obese would be very beneficial as it would encourage the children to participate in physical activity and learn about healthy eating and why it is important. Also by involving the parents, it can help them to understand </w:t>
      </w:r>
      <w:r w:rsidR="00A00F50">
        <w:t xml:space="preserve">why it is important for children to eat healthy food rather than unhealthy foods. </w:t>
      </w:r>
      <w:r w:rsidR="00D41428">
        <w:t xml:space="preserve">The approach would also be beneficial for children’s wellbeing as they would be socialising with other children, rather than sitting indoors using technology. </w:t>
      </w:r>
      <w:r w:rsidR="00744374">
        <w:t xml:space="preserve">Bronfenbrenner’s theory shows that </w:t>
      </w:r>
      <w:r w:rsidR="00CB2985">
        <w:t>the environments around the child</w:t>
      </w:r>
      <w:r w:rsidR="00C41849">
        <w:t xml:space="preserve">, steers their development </w:t>
      </w:r>
      <w:r w:rsidR="00716E81">
        <w:t xml:space="preserve">(Aubrey &amp; Riley, 2016), </w:t>
      </w:r>
      <w:r w:rsidR="00C41849">
        <w:t xml:space="preserve">as by the parents and caregivers </w:t>
      </w:r>
      <w:r w:rsidR="00DF26B9">
        <w:t xml:space="preserve">being informed about the risks of obesity and healthy eating, it has an influence on the child as the parents or caregivers are the ones who pick the foods for them to eat. </w:t>
      </w:r>
      <w:r w:rsidR="008F2C05">
        <w:t>Which shows that</w:t>
      </w:r>
      <w:r w:rsidR="00635E5D">
        <w:t xml:space="preserve"> by the play workers supporting the parents, it benefits the child’s health and wellbeing. </w:t>
      </w:r>
      <w:r w:rsidR="00E20603">
        <w:t>This approach to combat obesity in childhood is able to ensure that children are able to “have basic needs met and to be supported, being free to discover and explore, eating a good meal, and to thrive not survive</w:t>
      </w:r>
      <w:r w:rsidR="00B2519D">
        <w:t>” (</w:t>
      </w:r>
      <w:proofErr w:type="spellStart"/>
      <w:r w:rsidR="00B2519D">
        <w:t>Mainstone</w:t>
      </w:r>
      <w:proofErr w:type="spellEnd"/>
      <w:r w:rsidR="00B2519D">
        <w:t xml:space="preserve">-Cotton, 2017, Page, 9-10). </w:t>
      </w:r>
      <w:r w:rsidR="00415E89">
        <w:t>This is able to ensure that children grow up to be healthy and to be aware of the importance of health</w:t>
      </w:r>
      <w:r w:rsidR="0070285A">
        <w:t xml:space="preserve">y eating and physical activity, it also ensures that the child’s right to play is met and that they are able to “have a flying start in life” (Welsh Government, 2015, Paragraph 6). </w:t>
      </w:r>
    </w:p>
    <w:p w14:paraId="34F67B19" w14:textId="77777777" w:rsidR="00B455CD" w:rsidRDefault="00B455CD" w:rsidP="00CC064A">
      <w:pPr>
        <w:spacing w:line="360" w:lineRule="auto"/>
      </w:pPr>
    </w:p>
    <w:p w14:paraId="7C8FD8A4" w14:textId="77777777" w:rsidR="00664A3E" w:rsidRDefault="00664A3E" w:rsidP="00CC064A">
      <w:pPr>
        <w:spacing w:line="360" w:lineRule="auto"/>
      </w:pPr>
    </w:p>
    <w:p w14:paraId="35770F61" w14:textId="77777777" w:rsidR="00664A3E" w:rsidRDefault="00664A3E" w:rsidP="00CC064A">
      <w:pPr>
        <w:spacing w:line="360" w:lineRule="auto"/>
      </w:pPr>
    </w:p>
    <w:p w14:paraId="3395C332" w14:textId="77777777" w:rsidR="00664A3E" w:rsidRDefault="00664A3E" w:rsidP="00CC064A">
      <w:pPr>
        <w:spacing w:line="360" w:lineRule="auto"/>
      </w:pPr>
    </w:p>
    <w:p w14:paraId="76B989A0" w14:textId="037FA38A" w:rsidR="00BF71CD" w:rsidRDefault="000D5795" w:rsidP="00CC064A">
      <w:pPr>
        <w:spacing w:line="360" w:lineRule="auto"/>
      </w:pPr>
      <w:r>
        <w:t>Reference List</w:t>
      </w:r>
    </w:p>
    <w:p w14:paraId="1727F46C" w14:textId="77777777" w:rsidR="00634760" w:rsidRPr="00634760" w:rsidRDefault="00634760" w:rsidP="00634760">
      <w:pPr>
        <w:spacing w:line="360" w:lineRule="auto"/>
      </w:pPr>
    </w:p>
    <w:p w14:paraId="72D88476" w14:textId="77777777" w:rsidR="00634760" w:rsidRDefault="00634760" w:rsidP="00634760">
      <w:pPr>
        <w:spacing w:line="360" w:lineRule="auto"/>
        <w:rPr>
          <w:rFonts w:eastAsia="Times New Roman" w:cs="Arial"/>
          <w:color w:val="000000"/>
          <w:shd w:val="clear" w:color="auto" w:fill="FFFFFF"/>
          <w:lang w:eastAsia="en-GB"/>
        </w:rPr>
      </w:pPr>
      <w:proofErr w:type="spellStart"/>
      <w:r w:rsidRPr="00E76CAE">
        <w:rPr>
          <w:rFonts w:eastAsia="Times New Roman" w:cs="Arial"/>
          <w:color w:val="000000"/>
          <w:shd w:val="clear" w:color="auto" w:fill="FFFFFF"/>
          <w:lang w:eastAsia="en-GB"/>
        </w:rPr>
        <w:t>Amiri</w:t>
      </w:r>
      <w:proofErr w:type="spellEnd"/>
      <w:r w:rsidRPr="00E76CAE">
        <w:rPr>
          <w:rFonts w:eastAsia="Times New Roman" w:cs="Arial"/>
          <w:color w:val="000000"/>
          <w:shd w:val="clear" w:color="auto" w:fill="FFFFFF"/>
          <w:lang w:eastAsia="en-GB"/>
        </w:rPr>
        <w:t xml:space="preserve">, P., </w:t>
      </w:r>
      <w:proofErr w:type="spellStart"/>
      <w:r w:rsidRPr="00E76CAE">
        <w:rPr>
          <w:rFonts w:eastAsia="Times New Roman" w:cs="Arial"/>
          <w:color w:val="000000"/>
          <w:shd w:val="clear" w:color="auto" w:fill="FFFFFF"/>
          <w:lang w:eastAsia="en-GB"/>
        </w:rPr>
        <w:t>Jalali-Farahani</w:t>
      </w:r>
      <w:proofErr w:type="spellEnd"/>
      <w:r w:rsidRPr="00E76CAE">
        <w:rPr>
          <w:rFonts w:eastAsia="Times New Roman" w:cs="Arial"/>
          <w:color w:val="000000"/>
          <w:shd w:val="clear" w:color="auto" w:fill="FFFFFF"/>
          <w:lang w:eastAsia="en-GB"/>
        </w:rPr>
        <w:t xml:space="preserve">, S., </w:t>
      </w:r>
      <w:proofErr w:type="spellStart"/>
      <w:r w:rsidRPr="00E76CAE">
        <w:rPr>
          <w:rFonts w:eastAsia="Times New Roman" w:cs="Arial"/>
          <w:color w:val="000000"/>
          <w:shd w:val="clear" w:color="auto" w:fill="FFFFFF"/>
          <w:lang w:eastAsia="en-GB"/>
        </w:rPr>
        <w:t>Abbasi</w:t>
      </w:r>
      <w:proofErr w:type="spellEnd"/>
      <w:r w:rsidRPr="00E76CAE">
        <w:rPr>
          <w:rFonts w:eastAsia="Times New Roman" w:cs="Arial"/>
          <w:color w:val="000000"/>
          <w:shd w:val="clear" w:color="auto" w:fill="FFFFFF"/>
          <w:lang w:eastAsia="en-GB"/>
        </w:rPr>
        <w:t xml:space="preserve">, B., </w:t>
      </w:r>
      <w:proofErr w:type="spellStart"/>
      <w:r w:rsidRPr="00E76CAE">
        <w:rPr>
          <w:rFonts w:eastAsia="Times New Roman" w:cs="Arial"/>
          <w:color w:val="000000"/>
          <w:shd w:val="clear" w:color="auto" w:fill="FFFFFF"/>
          <w:lang w:eastAsia="en-GB"/>
        </w:rPr>
        <w:t>Karimi</w:t>
      </w:r>
      <w:proofErr w:type="spellEnd"/>
      <w:r w:rsidRPr="00E76CAE">
        <w:rPr>
          <w:rFonts w:eastAsia="Times New Roman" w:cs="Arial"/>
          <w:color w:val="000000"/>
          <w:shd w:val="clear" w:color="auto" w:fill="FFFFFF"/>
          <w:lang w:eastAsia="en-GB"/>
        </w:rPr>
        <w:t xml:space="preserve">, M., </w:t>
      </w:r>
      <w:proofErr w:type="spellStart"/>
      <w:r w:rsidRPr="00E76CAE">
        <w:rPr>
          <w:rFonts w:eastAsia="Times New Roman" w:cs="Arial"/>
          <w:color w:val="000000"/>
          <w:shd w:val="clear" w:color="auto" w:fill="FFFFFF"/>
          <w:lang w:eastAsia="en-GB"/>
        </w:rPr>
        <w:t>Cheraghi</w:t>
      </w:r>
      <w:proofErr w:type="spellEnd"/>
      <w:r w:rsidRPr="00E76CAE">
        <w:rPr>
          <w:rFonts w:eastAsia="Times New Roman" w:cs="Arial"/>
          <w:color w:val="000000"/>
          <w:shd w:val="clear" w:color="auto" w:fill="FFFFFF"/>
          <w:lang w:eastAsia="en-GB"/>
        </w:rPr>
        <w:t xml:space="preserve">, L., </w:t>
      </w:r>
      <w:proofErr w:type="spellStart"/>
      <w:r w:rsidRPr="00E76CAE">
        <w:rPr>
          <w:rFonts w:eastAsia="Times New Roman" w:cs="Arial"/>
          <w:color w:val="000000"/>
          <w:shd w:val="clear" w:color="auto" w:fill="FFFFFF"/>
          <w:lang w:eastAsia="en-GB"/>
        </w:rPr>
        <w:t>Daneshpour</w:t>
      </w:r>
      <w:proofErr w:type="spellEnd"/>
      <w:r w:rsidRPr="00E76CAE">
        <w:rPr>
          <w:rFonts w:eastAsia="Times New Roman" w:cs="Arial"/>
          <w:color w:val="000000"/>
          <w:shd w:val="clear" w:color="auto" w:fill="FFFFFF"/>
          <w:lang w:eastAsia="en-GB"/>
        </w:rPr>
        <w:t xml:space="preserve">, M. and </w:t>
      </w:r>
      <w:proofErr w:type="spellStart"/>
      <w:r w:rsidRPr="00E76CAE">
        <w:rPr>
          <w:rFonts w:eastAsia="Times New Roman" w:cs="Arial"/>
          <w:color w:val="000000"/>
          <w:shd w:val="clear" w:color="auto" w:fill="FFFFFF"/>
          <w:lang w:eastAsia="en-GB"/>
        </w:rPr>
        <w:t>Azizi</w:t>
      </w:r>
      <w:proofErr w:type="spellEnd"/>
      <w:r w:rsidRPr="00E76CAE">
        <w:rPr>
          <w:rFonts w:eastAsia="Times New Roman" w:cs="Arial"/>
          <w:color w:val="000000"/>
          <w:shd w:val="clear" w:color="auto" w:fill="FFFFFF"/>
          <w:lang w:eastAsia="en-GB"/>
        </w:rPr>
        <w:t>, F. (2017). Maternal Characteristics and Incidence of Overweight/Obesity in Children: A 13-Year Follow-up Study in an Eastern Mediterranean Population.</w:t>
      </w:r>
      <w:r w:rsidRPr="00634760">
        <w:rPr>
          <w:rFonts w:eastAsia="Times New Roman" w:cs="Arial"/>
          <w:color w:val="000000"/>
          <w:shd w:val="clear" w:color="auto" w:fill="FFFFFF"/>
          <w:lang w:eastAsia="en-GB"/>
        </w:rPr>
        <w:t> </w:t>
      </w:r>
      <w:r w:rsidRPr="00E76CAE">
        <w:rPr>
          <w:rFonts w:eastAsia="Times New Roman" w:cs="Arial"/>
          <w:i/>
          <w:iCs/>
          <w:color w:val="000000"/>
          <w:lang w:eastAsia="en-GB"/>
        </w:rPr>
        <w:t>Maternal and Child Health Journal</w:t>
      </w:r>
      <w:r w:rsidRPr="00E76CAE">
        <w:rPr>
          <w:rFonts w:eastAsia="Times New Roman" w:cs="Arial"/>
          <w:color w:val="000000"/>
          <w:shd w:val="clear" w:color="auto" w:fill="FFFFFF"/>
          <w:lang w:eastAsia="en-GB"/>
        </w:rPr>
        <w:t>, [online] 21(5), pp.1211-1220. Available at: https://link-springer-com.ezproxy.uwtsd.ac.uk/content/pdf/10.1007/s10995-016-2222-7.pdf [Accessed 16 Dec. 2018].</w:t>
      </w:r>
    </w:p>
    <w:p w14:paraId="084AE679" w14:textId="77777777" w:rsidR="00634760" w:rsidRPr="00E76CAE" w:rsidRDefault="00634760" w:rsidP="00634760">
      <w:pPr>
        <w:spacing w:line="360" w:lineRule="auto"/>
        <w:rPr>
          <w:rFonts w:ascii="Times New Roman" w:eastAsia="Times New Roman" w:hAnsi="Times New Roman" w:cs="Times New Roman"/>
          <w:lang w:eastAsia="en-GB"/>
        </w:rPr>
      </w:pPr>
    </w:p>
    <w:p w14:paraId="775E89AA" w14:textId="77777777" w:rsidR="00634760" w:rsidRDefault="00634760" w:rsidP="00634760">
      <w:pPr>
        <w:spacing w:line="360" w:lineRule="auto"/>
        <w:rPr>
          <w:rFonts w:eastAsia="Times New Roman" w:cs="Arial"/>
          <w:color w:val="000000"/>
          <w:shd w:val="clear" w:color="auto" w:fill="FFFFFF"/>
          <w:lang w:eastAsia="en-GB"/>
        </w:rPr>
      </w:pPr>
      <w:r w:rsidRPr="00F269B1">
        <w:rPr>
          <w:rFonts w:eastAsia="Times New Roman" w:cs="Arial"/>
          <w:color w:val="000000"/>
          <w:shd w:val="clear" w:color="auto" w:fill="FFFFFF"/>
          <w:lang w:eastAsia="en-GB"/>
        </w:rPr>
        <w:t>Aubrey, K. and Riley, A. (2016).</w:t>
      </w:r>
      <w:r w:rsidRPr="00634760">
        <w:rPr>
          <w:rFonts w:eastAsia="Times New Roman" w:cs="Arial"/>
          <w:color w:val="000000"/>
          <w:shd w:val="clear" w:color="auto" w:fill="FFFFFF"/>
          <w:lang w:eastAsia="en-GB"/>
        </w:rPr>
        <w:t> </w:t>
      </w:r>
      <w:r w:rsidRPr="00F269B1">
        <w:rPr>
          <w:rFonts w:eastAsia="Times New Roman" w:cs="Arial"/>
          <w:i/>
          <w:iCs/>
          <w:color w:val="000000"/>
          <w:lang w:eastAsia="en-GB"/>
        </w:rPr>
        <w:t>Understanding and using educational theories</w:t>
      </w:r>
      <w:r w:rsidRPr="00F269B1">
        <w:rPr>
          <w:rFonts w:eastAsia="Times New Roman" w:cs="Arial"/>
          <w:color w:val="000000"/>
          <w:shd w:val="clear" w:color="auto" w:fill="FFFFFF"/>
          <w:lang w:eastAsia="en-GB"/>
        </w:rPr>
        <w:t>. London: SAGE.</w:t>
      </w:r>
    </w:p>
    <w:p w14:paraId="3C785233" w14:textId="77777777" w:rsidR="00634760" w:rsidRPr="00F269B1" w:rsidRDefault="00634760" w:rsidP="00634760">
      <w:pPr>
        <w:spacing w:line="360" w:lineRule="auto"/>
        <w:rPr>
          <w:rFonts w:ascii="Times New Roman" w:eastAsia="Times New Roman" w:hAnsi="Times New Roman" w:cs="Times New Roman"/>
          <w:lang w:eastAsia="en-GB"/>
        </w:rPr>
      </w:pPr>
    </w:p>
    <w:p w14:paraId="00D4470E" w14:textId="77777777" w:rsidR="00634760" w:rsidRDefault="00634760" w:rsidP="00634760">
      <w:pPr>
        <w:spacing w:line="360" w:lineRule="auto"/>
        <w:rPr>
          <w:rFonts w:eastAsia="Times New Roman" w:cs="Arial"/>
          <w:color w:val="000000"/>
          <w:shd w:val="clear" w:color="auto" w:fill="FFFFFF"/>
          <w:lang w:eastAsia="en-GB"/>
        </w:rPr>
      </w:pPr>
      <w:r w:rsidRPr="009E6619">
        <w:rPr>
          <w:rFonts w:eastAsia="Times New Roman" w:cs="Arial"/>
          <w:color w:val="000000"/>
          <w:shd w:val="clear" w:color="auto" w:fill="FFFFFF"/>
          <w:lang w:eastAsia="en-GB"/>
        </w:rPr>
        <w:t>Children’s Commissioner for Wales. (2018).</w:t>
      </w:r>
      <w:r w:rsidRPr="00634760">
        <w:rPr>
          <w:rFonts w:eastAsia="Times New Roman" w:cs="Arial"/>
          <w:color w:val="000000"/>
          <w:shd w:val="clear" w:color="auto" w:fill="FFFFFF"/>
          <w:lang w:eastAsia="en-GB"/>
        </w:rPr>
        <w:t> </w:t>
      </w:r>
      <w:r w:rsidRPr="009E6619">
        <w:rPr>
          <w:rFonts w:eastAsia="Times New Roman" w:cs="Arial"/>
          <w:i/>
          <w:iCs/>
          <w:color w:val="000000"/>
          <w:lang w:eastAsia="en-GB"/>
        </w:rPr>
        <w:t>UNCRC - Children’s Commissioner for Wales</w:t>
      </w:r>
      <w:r w:rsidRPr="009E6619">
        <w:rPr>
          <w:rFonts w:eastAsia="Times New Roman" w:cs="Arial"/>
          <w:color w:val="000000"/>
          <w:shd w:val="clear" w:color="auto" w:fill="FFFFFF"/>
          <w:lang w:eastAsia="en-GB"/>
        </w:rPr>
        <w:t>. [online] Available at: https://www.childcomwales.org.uk/uncrc-childrens-rights/uncrc/ [Accessed 12 Dec. 2018].</w:t>
      </w:r>
    </w:p>
    <w:p w14:paraId="6EF648BD" w14:textId="77777777" w:rsidR="00634760" w:rsidRPr="009E6619" w:rsidRDefault="00634760" w:rsidP="00634760">
      <w:pPr>
        <w:spacing w:line="360" w:lineRule="auto"/>
        <w:rPr>
          <w:rFonts w:ascii="Times New Roman" w:eastAsia="Times New Roman" w:hAnsi="Times New Roman" w:cs="Times New Roman"/>
          <w:lang w:eastAsia="en-GB"/>
        </w:rPr>
      </w:pPr>
    </w:p>
    <w:p w14:paraId="6AB6A725" w14:textId="77777777" w:rsidR="00634760" w:rsidRDefault="00634760" w:rsidP="00634760">
      <w:pPr>
        <w:spacing w:line="360" w:lineRule="auto"/>
        <w:rPr>
          <w:rFonts w:eastAsia="Times New Roman" w:cs="Arial"/>
          <w:color w:val="000000"/>
          <w:shd w:val="clear" w:color="auto" w:fill="FFFFFF"/>
          <w:lang w:eastAsia="en-GB"/>
        </w:rPr>
      </w:pPr>
      <w:proofErr w:type="spellStart"/>
      <w:r w:rsidRPr="00AB6E14">
        <w:rPr>
          <w:rFonts w:eastAsia="Times New Roman" w:cs="Arial"/>
          <w:color w:val="000000"/>
          <w:shd w:val="clear" w:color="auto" w:fill="FFFFFF"/>
          <w:lang w:eastAsia="en-GB"/>
        </w:rPr>
        <w:t>Huxtable</w:t>
      </w:r>
      <w:proofErr w:type="spellEnd"/>
      <w:r w:rsidRPr="00AB6E14">
        <w:rPr>
          <w:rFonts w:eastAsia="Times New Roman" w:cs="Arial"/>
          <w:color w:val="000000"/>
          <w:shd w:val="clear" w:color="auto" w:fill="FFFFFF"/>
          <w:lang w:eastAsia="en-GB"/>
        </w:rPr>
        <w:t>, A., Millar, L., Love, P., Bell, C. and Whelan, J. (2018). Parental Translation into Practice of Healthy Eating and Active Play Messages and the Impact on Childhood Obesity: A Mixed Methods Study.</w:t>
      </w:r>
      <w:r w:rsidRPr="00634760">
        <w:rPr>
          <w:rFonts w:eastAsia="Times New Roman" w:cs="Arial"/>
          <w:color w:val="000000"/>
          <w:shd w:val="clear" w:color="auto" w:fill="FFFFFF"/>
          <w:lang w:eastAsia="en-GB"/>
        </w:rPr>
        <w:t> </w:t>
      </w:r>
      <w:r w:rsidRPr="00AB6E14">
        <w:rPr>
          <w:rFonts w:eastAsia="Times New Roman" w:cs="Arial"/>
          <w:i/>
          <w:iCs/>
          <w:color w:val="000000"/>
          <w:lang w:eastAsia="en-GB"/>
        </w:rPr>
        <w:t>Nutrients</w:t>
      </w:r>
      <w:r w:rsidRPr="00AB6E14">
        <w:rPr>
          <w:rFonts w:eastAsia="Times New Roman" w:cs="Arial"/>
          <w:color w:val="000000"/>
          <w:shd w:val="clear" w:color="auto" w:fill="FFFFFF"/>
          <w:lang w:eastAsia="en-GB"/>
        </w:rPr>
        <w:t>, [online] 10(5), p.545. Available at: https://www.ncbi.nlm.nih.gov/pmc/articles/PMC5986425/ [Accessed 14 Dec. 2018].</w:t>
      </w:r>
    </w:p>
    <w:p w14:paraId="79516F2C" w14:textId="77777777" w:rsidR="00634760" w:rsidRPr="00AB6E14" w:rsidRDefault="00634760" w:rsidP="00634760">
      <w:pPr>
        <w:spacing w:line="360" w:lineRule="auto"/>
        <w:rPr>
          <w:rFonts w:ascii="Times New Roman" w:eastAsia="Times New Roman" w:hAnsi="Times New Roman" w:cs="Times New Roman"/>
          <w:lang w:eastAsia="en-GB"/>
        </w:rPr>
      </w:pPr>
    </w:p>
    <w:p w14:paraId="7C372615" w14:textId="77777777" w:rsidR="00634760" w:rsidRDefault="00634760" w:rsidP="00634760">
      <w:pPr>
        <w:spacing w:line="360" w:lineRule="auto"/>
        <w:rPr>
          <w:rFonts w:eastAsia="Times New Roman" w:cs="Arial"/>
          <w:color w:val="000000"/>
          <w:shd w:val="clear" w:color="auto" w:fill="FFFFFF"/>
          <w:lang w:eastAsia="en-GB"/>
        </w:rPr>
      </w:pPr>
      <w:r w:rsidRPr="00A3082F">
        <w:rPr>
          <w:rFonts w:eastAsia="Times New Roman" w:cs="Arial"/>
          <w:color w:val="000000"/>
          <w:shd w:val="clear" w:color="auto" w:fill="FFFFFF"/>
          <w:lang w:eastAsia="en-GB"/>
        </w:rPr>
        <w:t xml:space="preserve">James, A., Hess, P., Perkins, M., </w:t>
      </w:r>
      <w:proofErr w:type="spellStart"/>
      <w:r w:rsidRPr="00A3082F">
        <w:rPr>
          <w:rFonts w:eastAsia="Times New Roman" w:cs="Arial"/>
          <w:color w:val="000000"/>
          <w:shd w:val="clear" w:color="auto" w:fill="FFFFFF"/>
          <w:lang w:eastAsia="en-GB"/>
        </w:rPr>
        <w:t>Taveras</w:t>
      </w:r>
      <w:proofErr w:type="spellEnd"/>
      <w:r w:rsidRPr="00A3082F">
        <w:rPr>
          <w:rFonts w:eastAsia="Times New Roman" w:cs="Arial"/>
          <w:color w:val="000000"/>
          <w:shd w:val="clear" w:color="auto" w:fill="FFFFFF"/>
          <w:lang w:eastAsia="en-GB"/>
        </w:rPr>
        <w:t xml:space="preserve">, E. and </w:t>
      </w:r>
      <w:proofErr w:type="spellStart"/>
      <w:r w:rsidRPr="00A3082F">
        <w:rPr>
          <w:rFonts w:eastAsia="Times New Roman" w:cs="Arial"/>
          <w:color w:val="000000"/>
          <w:shd w:val="clear" w:color="auto" w:fill="FFFFFF"/>
          <w:lang w:eastAsia="en-GB"/>
        </w:rPr>
        <w:t>Scirica</w:t>
      </w:r>
      <w:proofErr w:type="spellEnd"/>
      <w:r w:rsidRPr="00A3082F">
        <w:rPr>
          <w:rFonts w:eastAsia="Times New Roman" w:cs="Arial"/>
          <w:color w:val="000000"/>
          <w:shd w:val="clear" w:color="auto" w:fill="FFFFFF"/>
          <w:lang w:eastAsia="en-GB"/>
        </w:rPr>
        <w:t>, C. (2016). Prescribing Outdoor Play: Outdoors Rx.</w:t>
      </w:r>
      <w:r w:rsidRPr="00634760">
        <w:rPr>
          <w:rFonts w:eastAsia="Times New Roman" w:cs="Arial"/>
          <w:color w:val="000000"/>
          <w:shd w:val="clear" w:color="auto" w:fill="FFFFFF"/>
          <w:lang w:eastAsia="en-GB"/>
        </w:rPr>
        <w:t> </w:t>
      </w:r>
      <w:r w:rsidRPr="00A3082F">
        <w:rPr>
          <w:rFonts w:eastAsia="Times New Roman" w:cs="Arial"/>
          <w:i/>
          <w:iCs/>
          <w:color w:val="000000"/>
          <w:lang w:eastAsia="en-GB"/>
        </w:rPr>
        <w:t xml:space="preserve">Clinical </w:t>
      </w:r>
      <w:proofErr w:type="spellStart"/>
      <w:r w:rsidRPr="00A3082F">
        <w:rPr>
          <w:rFonts w:eastAsia="Times New Roman" w:cs="Arial"/>
          <w:i/>
          <w:iCs/>
          <w:color w:val="000000"/>
          <w:lang w:eastAsia="en-GB"/>
        </w:rPr>
        <w:t>Pediatrics</w:t>
      </w:r>
      <w:proofErr w:type="spellEnd"/>
      <w:r w:rsidRPr="00A3082F">
        <w:rPr>
          <w:rFonts w:eastAsia="Times New Roman" w:cs="Arial"/>
          <w:color w:val="000000"/>
          <w:shd w:val="clear" w:color="auto" w:fill="FFFFFF"/>
          <w:lang w:eastAsia="en-GB"/>
        </w:rPr>
        <w:t>, [online] 56(6), pp.519-524. Available at: https://journals-sagepub-com.ezproxy.uwtsd.ac.uk/doi/pdf/10.1177/0009922816677805 [Accessed 16 Dec. 2018].</w:t>
      </w:r>
    </w:p>
    <w:p w14:paraId="0ED761C6" w14:textId="77777777" w:rsidR="00AF5DF7" w:rsidRPr="00A3082F" w:rsidRDefault="00AF5DF7" w:rsidP="00634760">
      <w:pPr>
        <w:spacing w:line="360" w:lineRule="auto"/>
        <w:rPr>
          <w:rFonts w:ascii="Times New Roman" w:eastAsia="Times New Roman" w:hAnsi="Times New Roman" w:cs="Times New Roman"/>
          <w:lang w:eastAsia="en-GB"/>
        </w:rPr>
      </w:pPr>
    </w:p>
    <w:p w14:paraId="6ABCF1A8" w14:textId="77777777" w:rsidR="00634760" w:rsidRDefault="00634760" w:rsidP="00634760">
      <w:pPr>
        <w:spacing w:line="360" w:lineRule="auto"/>
        <w:rPr>
          <w:rFonts w:eastAsia="Times New Roman" w:cs="Arial"/>
          <w:color w:val="000000"/>
          <w:shd w:val="clear" w:color="auto" w:fill="FFFFFF"/>
          <w:lang w:eastAsia="en-GB"/>
        </w:rPr>
      </w:pPr>
      <w:proofErr w:type="spellStart"/>
      <w:r w:rsidRPr="00C62DCD">
        <w:rPr>
          <w:rFonts w:eastAsia="Times New Roman" w:cs="Arial"/>
          <w:color w:val="000000"/>
          <w:shd w:val="clear" w:color="auto" w:fill="FFFFFF"/>
          <w:lang w:eastAsia="en-GB"/>
        </w:rPr>
        <w:t>Mainstone</w:t>
      </w:r>
      <w:proofErr w:type="spellEnd"/>
      <w:r w:rsidRPr="00C62DCD">
        <w:rPr>
          <w:rFonts w:eastAsia="Times New Roman" w:cs="Arial"/>
          <w:color w:val="000000"/>
          <w:shd w:val="clear" w:color="auto" w:fill="FFFFFF"/>
          <w:lang w:eastAsia="en-GB"/>
        </w:rPr>
        <w:t>-cotton, S. (2017).</w:t>
      </w:r>
      <w:r w:rsidRPr="00634760">
        <w:rPr>
          <w:rFonts w:eastAsia="Times New Roman" w:cs="Arial"/>
          <w:color w:val="000000"/>
          <w:shd w:val="clear" w:color="auto" w:fill="FFFFFF"/>
          <w:lang w:eastAsia="en-GB"/>
        </w:rPr>
        <w:t> </w:t>
      </w:r>
      <w:r w:rsidRPr="00C62DCD">
        <w:rPr>
          <w:rFonts w:eastAsia="Times New Roman" w:cs="Arial"/>
          <w:i/>
          <w:iCs/>
          <w:color w:val="000000"/>
          <w:lang w:eastAsia="en-GB"/>
        </w:rPr>
        <w:t xml:space="preserve">Promoting young </w:t>
      </w:r>
      <w:proofErr w:type="spellStart"/>
      <w:r w:rsidRPr="00C62DCD">
        <w:rPr>
          <w:rFonts w:eastAsia="Times New Roman" w:cs="Arial"/>
          <w:i/>
          <w:iCs/>
          <w:color w:val="000000"/>
          <w:lang w:eastAsia="en-GB"/>
        </w:rPr>
        <w:t>childrens</w:t>
      </w:r>
      <w:proofErr w:type="spellEnd"/>
      <w:r w:rsidRPr="00C62DCD">
        <w:rPr>
          <w:rFonts w:eastAsia="Times New Roman" w:cs="Arial"/>
          <w:i/>
          <w:iCs/>
          <w:color w:val="000000"/>
          <w:lang w:eastAsia="en-GB"/>
        </w:rPr>
        <w:t xml:space="preserve"> emotional health and wellbeing - a Practical Guide for Professionals and Parents</w:t>
      </w:r>
      <w:r w:rsidRPr="00C62DCD">
        <w:rPr>
          <w:rFonts w:eastAsia="Times New Roman" w:cs="Arial"/>
          <w:color w:val="000000"/>
          <w:shd w:val="clear" w:color="auto" w:fill="FFFFFF"/>
          <w:lang w:eastAsia="en-GB"/>
        </w:rPr>
        <w:t>. London: Jessica Kingsley Publishers.</w:t>
      </w:r>
    </w:p>
    <w:p w14:paraId="77CE9A01" w14:textId="77777777" w:rsidR="00AF5DF7" w:rsidRPr="00C62DCD" w:rsidRDefault="00AF5DF7" w:rsidP="00634760">
      <w:pPr>
        <w:spacing w:line="360" w:lineRule="auto"/>
        <w:rPr>
          <w:rFonts w:ascii="Times New Roman" w:eastAsia="Times New Roman" w:hAnsi="Times New Roman" w:cs="Times New Roman"/>
          <w:lang w:eastAsia="en-GB"/>
        </w:rPr>
      </w:pPr>
    </w:p>
    <w:p w14:paraId="6D8FA7F3" w14:textId="77777777" w:rsidR="00634760" w:rsidRDefault="00634760" w:rsidP="00634760">
      <w:pPr>
        <w:spacing w:line="360" w:lineRule="auto"/>
        <w:rPr>
          <w:rFonts w:eastAsia="Times New Roman" w:cs="Arial"/>
          <w:color w:val="000000"/>
          <w:shd w:val="clear" w:color="auto" w:fill="FFFFFF"/>
          <w:lang w:eastAsia="en-GB"/>
        </w:rPr>
      </w:pPr>
      <w:r w:rsidRPr="002C4A05">
        <w:rPr>
          <w:rFonts w:eastAsia="Times New Roman" w:cs="Arial"/>
          <w:color w:val="000000"/>
          <w:shd w:val="clear" w:color="auto" w:fill="FFFFFF"/>
          <w:lang w:eastAsia="en-GB"/>
        </w:rPr>
        <w:t>NHS Wales. (2018).</w:t>
      </w:r>
      <w:r w:rsidRPr="00634760">
        <w:rPr>
          <w:rFonts w:eastAsia="Times New Roman" w:cs="Arial"/>
          <w:color w:val="000000"/>
          <w:shd w:val="clear" w:color="auto" w:fill="FFFFFF"/>
          <w:lang w:eastAsia="en-GB"/>
        </w:rPr>
        <w:t> </w:t>
      </w:r>
      <w:r w:rsidRPr="002C4A05">
        <w:rPr>
          <w:rFonts w:eastAsia="Times New Roman" w:cs="Arial"/>
          <w:i/>
          <w:iCs/>
          <w:color w:val="000000"/>
          <w:lang w:eastAsia="en-GB"/>
        </w:rPr>
        <w:t>Public Health Wales | Annual Report</w:t>
      </w:r>
      <w:r w:rsidRPr="002C4A05">
        <w:rPr>
          <w:rFonts w:eastAsia="Times New Roman" w:cs="Arial"/>
          <w:color w:val="000000"/>
          <w:shd w:val="clear" w:color="auto" w:fill="FFFFFF"/>
          <w:lang w:eastAsia="en-GB"/>
        </w:rPr>
        <w:t>. [online] Available at: http://www.wales.nhs.uk/sitesplus/888/page/67795 [Accessed 16 Dec. 2018].</w:t>
      </w:r>
    </w:p>
    <w:p w14:paraId="4BF71797" w14:textId="77777777" w:rsidR="00AF5DF7" w:rsidRPr="002C4A05" w:rsidRDefault="00AF5DF7" w:rsidP="00634760">
      <w:pPr>
        <w:spacing w:line="360" w:lineRule="auto"/>
        <w:rPr>
          <w:rFonts w:ascii="Times New Roman" w:eastAsia="Times New Roman" w:hAnsi="Times New Roman" w:cs="Times New Roman"/>
          <w:lang w:eastAsia="en-GB"/>
        </w:rPr>
      </w:pPr>
    </w:p>
    <w:p w14:paraId="3B2B0106" w14:textId="77777777" w:rsidR="00634760" w:rsidRDefault="00634760" w:rsidP="00634760">
      <w:pPr>
        <w:spacing w:line="360" w:lineRule="auto"/>
        <w:rPr>
          <w:rFonts w:eastAsia="Times New Roman" w:cs="Arial"/>
          <w:color w:val="000000"/>
          <w:shd w:val="clear" w:color="auto" w:fill="FFFFFF"/>
          <w:lang w:eastAsia="en-GB"/>
        </w:rPr>
      </w:pPr>
      <w:r w:rsidRPr="001B275E">
        <w:rPr>
          <w:rFonts w:eastAsia="Times New Roman" w:cs="Arial"/>
          <w:color w:val="000000"/>
          <w:shd w:val="clear" w:color="auto" w:fill="FFFFFF"/>
          <w:lang w:eastAsia="en-GB"/>
        </w:rPr>
        <w:t xml:space="preserve">Owen, B., Brown, A., </w:t>
      </w:r>
      <w:proofErr w:type="spellStart"/>
      <w:r w:rsidRPr="001B275E">
        <w:rPr>
          <w:rFonts w:eastAsia="Times New Roman" w:cs="Arial"/>
          <w:color w:val="000000"/>
          <w:shd w:val="clear" w:color="auto" w:fill="FFFFFF"/>
          <w:lang w:eastAsia="en-GB"/>
        </w:rPr>
        <w:t>Kuhlberg</w:t>
      </w:r>
      <w:proofErr w:type="spellEnd"/>
      <w:r w:rsidRPr="001B275E">
        <w:rPr>
          <w:rFonts w:eastAsia="Times New Roman" w:cs="Arial"/>
          <w:color w:val="000000"/>
          <w:shd w:val="clear" w:color="auto" w:fill="FFFFFF"/>
          <w:lang w:eastAsia="en-GB"/>
        </w:rPr>
        <w:t xml:space="preserve">, J., Millar, L., Nichols, M., </w:t>
      </w:r>
      <w:proofErr w:type="spellStart"/>
      <w:r w:rsidRPr="001B275E">
        <w:rPr>
          <w:rFonts w:eastAsia="Times New Roman" w:cs="Arial"/>
          <w:color w:val="000000"/>
          <w:shd w:val="clear" w:color="auto" w:fill="FFFFFF"/>
          <w:lang w:eastAsia="en-GB"/>
        </w:rPr>
        <w:t>Economos</w:t>
      </w:r>
      <w:proofErr w:type="spellEnd"/>
      <w:r w:rsidRPr="001B275E">
        <w:rPr>
          <w:rFonts w:eastAsia="Times New Roman" w:cs="Arial"/>
          <w:color w:val="000000"/>
          <w:shd w:val="clear" w:color="auto" w:fill="FFFFFF"/>
          <w:lang w:eastAsia="en-GB"/>
        </w:rPr>
        <w:t xml:space="preserve">, C. and </w:t>
      </w:r>
      <w:proofErr w:type="spellStart"/>
      <w:r w:rsidRPr="001B275E">
        <w:rPr>
          <w:rFonts w:eastAsia="Times New Roman" w:cs="Arial"/>
          <w:color w:val="000000"/>
          <w:shd w:val="clear" w:color="auto" w:fill="FFFFFF"/>
          <w:lang w:eastAsia="en-GB"/>
        </w:rPr>
        <w:t>Allender</w:t>
      </w:r>
      <w:proofErr w:type="spellEnd"/>
      <w:r w:rsidRPr="001B275E">
        <w:rPr>
          <w:rFonts w:eastAsia="Times New Roman" w:cs="Arial"/>
          <w:color w:val="000000"/>
          <w:shd w:val="clear" w:color="auto" w:fill="FFFFFF"/>
          <w:lang w:eastAsia="en-GB"/>
        </w:rPr>
        <w:t>, S. (2018). Understanding a successful obesity prevention initiative in children under 5 from a systems perspective.</w:t>
      </w:r>
      <w:r w:rsidRPr="00634760">
        <w:rPr>
          <w:rFonts w:eastAsia="Times New Roman" w:cs="Arial"/>
          <w:color w:val="000000"/>
          <w:shd w:val="clear" w:color="auto" w:fill="FFFFFF"/>
          <w:lang w:eastAsia="en-GB"/>
        </w:rPr>
        <w:t> </w:t>
      </w:r>
      <w:r w:rsidRPr="001B275E">
        <w:rPr>
          <w:rFonts w:eastAsia="Times New Roman" w:cs="Arial"/>
          <w:i/>
          <w:iCs/>
          <w:color w:val="000000"/>
          <w:lang w:eastAsia="en-GB"/>
        </w:rPr>
        <w:t>PLOS ONE</w:t>
      </w:r>
      <w:r w:rsidRPr="001B275E">
        <w:rPr>
          <w:rFonts w:eastAsia="Times New Roman" w:cs="Arial"/>
          <w:color w:val="000000"/>
          <w:shd w:val="clear" w:color="auto" w:fill="FFFFFF"/>
          <w:lang w:eastAsia="en-GB"/>
        </w:rPr>
        <w:t xml:space="preserve">, [online] 13(3), </w:t>
      </w:r>
      <w:proofErr w:type="gramStart"/>
      <w:r w:rsidRPr="001B275E">
        <w:rPr>
          <w:rFonts w:eastAsia="Times New Roman" w:cs="Arial"/>
          <w:color w:val="000000"/>
          <w:shd w:val="clear" w:color="auto" w:fill="FFFFFF"/>
          <w:lang w:eastAsia="en-GB"/>
        </w:rPr>
        <w:t>p.e</w:t>
      </w:r>
      <w:proofErr w:type="gramEnd"/>
      <w:r w:rsidRPr="001B275E">
        <w:rPr>
          <w:rFonts w:eastAsia="Times New Roman" w:cs="Arial"/>
          <w:color w:val="000000"/>
          <w:shd w:val="clear" w:color="auto" w:fill="FFFFFF"/>
          <w:lang w:eastAsia="en-GB"/>
        </w:rPr>
        <w:t>0195141. Available at: https://web-b-ebscohost-com.ezproxy.uwtsd.ac.uk/ehost/pdfviewer/pdfviewer?vid=4&amp;sid=51720f4c-34ad-4bf1-8dc4-a4c67a99c1dd%40pdc-v-sessmgr03 [Accessed 15 Dec. 2018].</w:t>
      </w:r>
    </w:p>
    <w:p w14:paraId="6150E62D" w14:textId="77777777" w:rsidR="00AF5DF7" w:rsidRPr="001B275E" w:rsidRDefault="00AF5DF7" w:rsidP="00634760">
      <w:pPr>
        <w:spacing w:line="360" w:lineRule="auto"/>
        <w:rPr>
          <w:rFonts w:ascii="Times New Roman" w:eastAsia="Times New Roman" w:hAnsi="Times New Roman" w:cs="Times New Roman"/>
          <w:lang w:eastAsia="en-GB"/>
        </w:rPr>
      </w:pPr>
    </w:p>
    <w:p w14:paraId="7BD324CF" w14:textId="77777777" w:rsidR="00634760" w:rsidRDefault="00634760" w:rsidP="00634760">
      <w:pPr>
        <w:spacing w:line="360" w:lineRule="auto"/>
        <w:rPr>
          <w:rFonts w:eastAsia="Times New Roman" w:cs="Arial"/>
          <w:color w:val="000000"/>
          <w:shd w:val="clear" w:color="auto" w:fill="FFFFFF"/>
          <w:lang w:eastAsia="en-GB"/>
        </w:rPr>
      </w:pPr>
      <w:r w:rsidRPr="00F269B1">
        <w:rPr>
          <w:rFonts w:eastAsia="Times New Roman" w:cs="Arial"/>
          <w:color w:val="000000"/>
          <w:shd w:val="clear" w:color="auto" w:fill="FFFFFF"/>
          <w:lang w:eastAsia="en-GB"/>
        </w:rPr>
        <w:t>Palmer, S. (2015).</w:t>
      </w:r>
      <w:r w:rsidRPr="00634760">
        <w:rPr>
          <w:rFonts w:eastAsia="Times New Roman" w:cs="Arial"/>
          <w:color w:val="000000"/>
          <w:shd w:val="clear" w:color="auto" w:fill="FFFFFF"/>
          <w:lang w:eastAsia="en-GB"/>
        </w:rPr>
        <w:t> </w:t>
      </w:r>
      <w:r w:rsidRPr="00F269B1">
        <w:rPr>
          <w:rFonts w:eastAsia="Times New Roman" w:cs="Arial"/>
          <w:i/>
          <w:iCs/>
          <w:color w:val="000000"/>
          <w:lang w:eastAsia="en-GB"/>
        </w:rPr>
        <w:t xml:space="preserve">Toxic Childhood: How the Modern World is </w:t>
      </w:r>
      <w:proofErr w:type="spellStart"/>
      <w:r w:rsidRPr="00F269B1">
        <w:rPr>
          <w:rFonts w:eastAsia="Times New Roman" w:cs="Arial"/>
          <w:i/>
          <w:iCs/>
          <w:color w:val="000000"/>
          <w:lang w:eastAsia="en-GB"/>
        </w:rPr>
        <w:t>Damaing</w:t>
      </w:r>
      <w:proofErr w:type="spellEnd"/>
      <w:r w:rsidRPr="00F269B1">
        <w:rPr>
          <w:rFonts w:eastAsia="Times New Roman" w:cs="Arial"/>
          <w:i/>
          <w:iCs/>
          <w:color w:val="000000"/>
          <w:lang w:eastAsia="en-GB"/>
        </w:rPr>
        <w:t xml:space="preserve"> our Children and What we can do about it</w:t>
      </w:r>
      <w:r w:rsidRPr="00F269B1">
        <w:rPr>
          <w:rFonts w:eastAsia="Times New Roman" w:cs="Arial"/>
          <w:color w:val="000000"/>
          <w:shd w:val="clear" w:color="auto" w:fill="FFFFFF"/>
          <w:lang w:eastAsia="en-GB"/>
        </w:rPr>
        <w:t>. London: Orion Publishers.</w:t>
      </w:r>
    </w:p>
    <w:p w14:paraId="779B42E2" w14:textId="77777777" w:rsidR="00AF5DF7" w:rsidRPr="00F269B1" w:rsidRDefault="00AF5DF7" w:rsidP="00634760">
      <w:pPr>
        <w:spacing w:line="360" w:lineRule="auto"/>
        <w:rPr>
          <w:rFonts w:ascii="Times New Roman" w:eastAsia="Times New Roman" w:hAnsi="Times New Roman" w:cs="Times New Roman"/>
          <w:lang w:eastAsia="en-GB"/>
        </w:rPr>
      </w:pPr>
    </w:p>
    <w:p w14:paraId="6E380D09" w14:textId="77777777" w:rsidR="00634760" w:rsidRDefault="00634760" w:rsidP="00634760">
      <w:pPr>
        <w:spacing w:line="360" w:lineRule="auto"/>
        <w:rPr>
          <w:rFonts w:eastAsia="Times New Roman" w:cs="Arial"/>
          <w:color w:val="000000"/>
          <w:shd w:val="clear" w:color="auto" w:fill="FFFFFF"/>
          <w:lang w:eastAsia="en-GB"/>
        </w:rPr>
      </w:pPr>
      <w:r w:rsidRPr="00634760">
        <w:rPr>
          <w:rFonts w:eastAsia="Times New Roman" w:cs="Arial"/>
          <w:color w:val="000000"/>
          <w:shd w:val="clear" w:color="auto" w:fill="FFFFFF"/>
          <w:lang w:eastAsia="en-GB"/>
        </w:rPr>
        <w:t>Public Health Wales NHS Trust</w:t>
      </w:r>
      <w:r w:rsidRPr="00D50A7F">
        <w:rPr>
          <w:rFonts w:eastAsia="Times New Roman" w:cs="Arial"/>
          <w:color w:val="000000"/>
          <w:shd w:val="clear" w:color="auto" w:fill="FFFFFF"/>
          <w:lang w:eastAsia="en-GB"/>
        </w:rPr>
        <w:t xml:space="preserve">. (2018). </w:t>
      </w:r>
      <w:r w:rsidRPr="00634760">
        <w:rPr>
          <w:rFonts w:eastAsia="Times New Roman" w:cs="Arial"/>
          <w:color w:val="000000"/>
          <w:shd w:val="clear" w:color="auto" w:fill="FFFFFF"/>
          <w:lang w:eastAsia="en-GB"/>
        </w:rPr>
        <w:t>[PDF</w:t>
      </w:r>
      <w:r w:rsidRPr="00D50A7F">
        <w:rPr>
          <w:rFonts w:eastAsia="Times New Roman" w:cs="Arial"/>
          <w:color w:val="000000"/>
          <w:shd w:val="clear" w:color="auto" w:fill="FFFFFF"/>
          <w:lang w:eastAsia="en-GB"/>
        </w:rPr>
        <w:t>] Wales: Public Health Wales NHS Trust. Available at: http://www.wales.nhs.uk/sitesplus/documents/888/12743%20PHW%20CMP%20Report%20%28Eng%29.pdf [Accessed 16 Dec. 2018].</w:t>
      </w:r>
    </w:p>
    <w:p w14:paraId="1A61BF95" w14:textId="77777777" w:rsidR="00AF5DF7" w:rsidRPr="00D50A7F" w:rsidRDefault="00AF5DF7" w:rsidP="00634760">
      <w:pPr>
        <w:spacing w:line="360" w:lineRule="auto"/>
        <w:rPr>
          <w:rFonts w:ascii="Times New Roman" w:eastAsia="Times New Roman" w:hAnsi="Times New Roman" w:cs="Times New Roman"/>
          <w:lang w:eastAsia="en-GB"/>
        </w:rPr>
      </w:pPr>
    </w:p>
    <w:p w14:paraId="77590B93" w14:textId="77777777" w:rsidR="00634760" w:rsidRDefault="00634760" w:rsidP="00634760">
      <w:pPr>
        <w:spacing w:line="360" w:lineRule="auto"/>
        <w:rPr>
          <w:rFonts w:eastAsia="Times New Roman" w:cs="Arial"/>
          <w:color w:val="000000"/>
          <w:shd w:val="clear" w:color="auto" w:fill="FFFFFF"/>
          <w:lang w:eastAsia="en-GB"/>
        </w:rPr>
      </w:pPr>
      <w:r w:rsidRPr="001F1676">
        <w:rPr>
          <w:rFonts w:eastAsia="Times New Roman" w:cs="Arial"/>
          <w:color w:val="000000"/>
          <w:shd w:val="clear" w:color="auto" w:fill="FFFFFF"/>
          <w:lang w:eastAsia="en-GB"/>
        </w:rPr>
        <w:t>Rose, J., Gilbert, L. and Richards, V. (2016).</w:t>
      </w:r>
      <w:r w:rsidRPr="00634760">
        <w:rPr>
          <w:rFonts w:eastAsia="Times New Roman" w:cs="Arial"/>
          <w:color w:val="000000"/>
          <w:shd w:val="clear" w:color="auto" w:fill="FFFFFF"/>
          <w:lang w:eastAsia="en-GB"/>
        </w:rPr>
        <w:t> </w:t>
      </w:r>
      <w:r w:rsidRPr="001F1676">
        <w:rPr>
          <w:rFonts w:eastAsia="Times New Roman" w:cs="Arial"/>
          <w:i/>
          <w:iCs/>
          <w:color w:val="000000"/>
          <w:lang w:eastAsia="en-GB"/>
        </w:rPr>
        <w:t>Health and well-being in early childhood</w:t>
      </w:r>
      <w:r w:rsidRPr="001F1676">
        <w:rPr>
          <w:rFonts w:eastAsia="Times New Roman" w:cs="Arial"/>
          <w:color w:val="000000"/>
          <w:shd w:val="clear" w:color="auto" w:fill="FFFFFF"/>
          <w:lang w:eastAsia="en-GB"/>
        </w:rPr>
        <w:t>. London: SAGE.</w:t>
      </w:r>
    </w:p>
    <w:p w14:paraId="32FF64C3" w14:textId="77777777" w:rsidR="00AF5DF7" w:rsidRPr="001F1676" w:rsidRDefault="00AF5DF7" w:rsidP="00634760">
      <w:pPr>
        <w:spacing w:line="360" w:lineRule="auto"/>
        <w:rPr>
          <w:rFonts w:ascii="Times New Roman" w:eastAsia="Times New Roman" w:hAnsi="Times New Roman" w:cs="Times New Roman"/>
          <w:lang w:eastAsia="en-GB"/>
        </w:rPr>
      </w:pPr>
    </w:p>
    <w:p w14:paraId="2E1E099A" w14:textId="77777777" w:rsidR="00634760" w:rsidRDefault="00634760" w:rsidP="00634760">
      <w:pPr>
        <w:spacing w:line="360" w:lineRule="auto"/>
        <w:rPr>
          <w:rFonts w:eastAsia="Times New Roman" w:cs="Arial"/>
          <w:color w:val="000000"/>
          <w:shd w:val="clear" w:color="auto" w:fill="FFFFFF"/>
          <w:lang w:eastAsia="en-GB"/>
        </w:rPr>
      </w:pPr>
      <w:proofErr w:type="spellStart"/>
      <w:r w:rsidRPr="002C4A05">
        <w:rPr>
          <w:rFonts w:eastAsia="Times New Roman" w:cs="Arial"/>
          <w:color w:val="000000"/>
          <w:shd w:val="clear" w:color="auto" w:fill="FFFFFF"/>
          <w:lang w:eastAsia="en-GB"/>
        </w:rPr>
        <w:t>Ryall</w:t>
      </w:r>
      <w:proofErr w:type="spellEnd"/>
      <w:r w:rsidRPr="002C4A05">
        <w:rPr>
          <w:rFonts w:eastAsia="Times New Roman" w:cs="Arial"/>
          <w:color w:val="000000"/>
          <w:shd w:val="clear" w:color="auto" w:fill="FFFFFF"/>
          <w:lang w:eastAsia="en-GB"/>
        </w:rPr>
        <w:t>, G. (2017).</w:t>
      </w:r>
      <w:r w:rsidRPr="00634760">
        <w:rPr>
          <w:rFonts w:eastAsia="Times New Roman" w:cs="Arial"/>
          <w:color w:val="000000"/>
          <w:shd w:val="clear" w:color="auto" w:fill="FFFFFF"/>
          <w:lang w:eastAsia="en-GB"/>
        </w:rPr>
        <w:t> </w:t>
      </w:r>
      <w:r w:rsidRPr="002C4A05">
        <w:rPr>
          <w:rFonts w:eastAsia="Times New Roman" w:cs="Arial"/>
          <w:i/>
          <w:iCs/>
          <w:color w:val="000000"/>
          <w:lang w:eastAsia="en-GB"/>
        </w:rPr>
        <w:t>Children with obesity 'need NHS help'</w:t>
      </w:r>
      <w:r w:rsidRPr="002C4A05">
        <w:rPr>
          <w:rFonts w:eastAsia="Times New Roman" w:cs="Arial"/>
          <w:color w:val="000000"/>
          <w:shd w:val="clear" w:color="auto" w:fill="FFFFFF"/>
          <w:lang w:eastAsia="en-GB"/>
        </w:rPr>
        <w:t>. [online] BBC News. Available at: https://www.bbc.co.uk/news/uk-wales-41051600 [Accessed 16 Dec. 2018].</w:t>
      </w:r>
    </w:p>
    <w:p w14:paraId="0AC95812" w14:textId="77777777" w:rsidR="00AF5DF7" w:rsidRPr="002C4A05" w:rsidRDefault="00AF5DF7" w:rsidP="00634760">
      <w:pPr>
        <w:spacing w:line="360" w:lineRule="auto"/>
        <w:rPr>
          <w:rFonts w:ascii="Times New Roman" w:eastAsia="Times New Roman" w:hAnsi="Times New Roman" w:cs="Times New Roman"/>
          <w:lang w:eastAsia="en-GB"/>
        </w:rPr>
      </w:pPr>
    </w:p>
    <w:p w14:paraId="516334E2" w14:textId="77777777" w:rsidR="00634760" w:rsidRDefault="00634760" w:rsidP="00634760">
      <w:pPr>
        <w:spacing w:line="360" w:lineRule="auto"/>
        <w:rPr>
          <w:rFonts w:eastAsia="Times New Roman" w:cs="Arial"/>
          <w:color w:val="000000"/>
          <w:shd w:val="clear" w:color="auto" w:fill="FFFFFF"/>
          <w:lang w:eastAsia="en-GB"/>
        </w:rPr>
      </w:pPr>
      <w:r w:rsidRPr="002C4A05">
        <w:rPr>
          <w:rFonts w:eastAsia="Times New Roman" w:cs="Arial"/>
          <w:color w:val="000000"/>
          <w:shd w:val="clear" w:color="auto" w:fill="FFFFFF"/>
          <w:lang w:eastAsia="en-GB"/>
        </w:rPr>
        <w:t>Savage, M. (2018).</w:t>
      </w:r>
      <w:r w:rsidRPr="00634760">
        <w:rPr>
          <w:rFonts w:eastAsia="Times New Roman" w:cs="Arial"/>
          <w:color w:val="000000"/>
          <w:shd w:val="clear" w:color="auto" w:fill="FFFFFF"/>
          <w:lang w:eastAsia="en-GB"/>
        </w:rPr>
        <w:t> </w:t>
      </w:r>
      <w:r w:rsidRPr="002C4A05">
        <w:rPr>
          <w:rFonts w:eastAsia="Times New Roman" w:cs="Arial"/>
          <w:i/>
          <w:iCs/>
          <w:color w:val="000000"/>
          <w:lang w:eastAsia="en-GB"/>
        </w:rPr>
        <w:t>Call for action to end children’s ‘battery-hen existence’ in summer holidays</w:t>
      </w:r>
      <w:r w:rsidRPr="002C4A05">
        <w:rPr>
          <w:rFonts w:eastAsia="Times New Roman" w:cs="Arial"/>
          <w:color w:val="000000"/>
          <w:shd w:val="clear" w:color="auto" w:fill="FFFFFF"/>
          <w:lang w:eastAsia="en-GB"/>
        </w:rPr>
        <w:t>. [online] the Guardian. Available at: https://www.theguardian.com/society/2018/aug/25/end-battery-hen-existence-in-summer-holidays-childrens-commissioner [Accessed 15 Dec. 2018].</w:t>
      </w:r>
    </w:p>
    <w:p w14:paraId="69446C19" w14:textId="77777777" w:rsidR="00AF5DF7" w:rsidRPr="002C4A05" w:rsidRDefault="00AF5DF7" w:rsidP="00634760">
      <w:pPr>
        <w:spacing w:line="360" w:lineRule="auto"/>
        <w:rPr>
          <w:rFonts w:ascii="Times New Roman" w:eastAsia="Times New Roman" w:hAnsi="Times New Roman" w:cs="Times New Roman"/>
          <w:lang w:eastAsia="en-GB"/>
        </w:rPr>
      </w:pPr>
    </w:p>
    <w:p w14:paraId="65F09711" w14:textId="77777777" w:rsidR="00634760" w:rsidRDefault="00634760" w:rsidP="00634760">
      <w:pPr>
        <w:spacing w:line="360" w:lineRule="auto"/>
        <w:rPr>
          <w:rFonts w:eastAsia="Times New Roman" w:cs="Arial"/>
          <w:color w:val="000000"/>
          <w:shd w:val="clear" w:color="auto" w:fill="FFFFFF"/>
          <w:lang w:eastAsia="en-GB"/>
        </w:rPr>
      </w:pPr>
      <w:r w:rsidRPr="00485250">
        <w:rPr>
          <w:rFonts w:eastAsia="Times New Roman" w:cs="Arial"/>
          <w:color w:val="000000"/>
          <w:shd w:val="clear" w:color="auto" w:fill="FFFFFF"/>
          <w:lang w:eastAsia="en-GB"/>
        </w:rPr>
        <w:t xml:space="preserve">Townsend, M., </w:t>
      </w:r>
      <w:proofErr w:type="spellStart"/>
      <w:r w:rsidRPr="00485250">
        <w:rPr>
          <w:rFonts w:eastAsia="Times New Roman" w:cs="Arial"/>
          <w:color w:val="000000"/>
          <w:shd w:val="clear" w:color="auto" w:fill="FFFFFF"/>
          <w:lang w:eastAsia="en-GB"/>
        </w:rPr>
        <w:t>Shilts</w:t>
      </w:r>
      <w:proofErr w:type="spellEnd"/>
      <w:r w:rsidRPr="00485250">
        <w:rPr>
          <w:rFonts w:eastAsia="Times New Roman" w:cs="Arial"/>
          <w:color w:val="000000"/>
          <w:shd w:val="clear" w:color="auto" w:fill="FFFFFF"/>
          <w:lang w:eastAsia="en-GB"/>
        </w:rPr>
        <w:t xml:space="preserve">, M., </w:t>
      </w:r>
      <w:proofErr w:type="spellStart"/>
      <w:r w:rsidRPr="00485250">
        <w:rPr>
          <w:rFonts w:eastAsia="Times New Roman" w:cs="Arial"/>
          <w:color w:val="000000"/>
          <w:shd w:val="clear" w:color="auto" w:fill="FFFFFF"/>
          <w:lang w:eastAsia="en-GB"/>
        </w:rPr>
        <w:t>Styne</w:t>
      </w:r>
      <w:proofErr w:type="spellEnd"/>
      <w:r w:rsidRPr="00485250">
        <w:rPr>
          <w:rFonts w:eastAsia="Times New Roman" w:cs="Arial"/>
          <w:color w:val="000000"/>
          <w:shd w:val="clear" w:color="auto" w:fill="FFFFFF"/>
          <w:lang w:eastAsia="en-GB"/>
        </w:rPr>
        <w:t xml:space="preserve">, D., Drake, C., </w:t>
      </w:r>
      <w:proofErr w:type="spellStart"/>
      <w:r w:rsidRPr="00485250">
        <w:rPr>
          <w:rFonts w:eastAsia="Times New Roman" w:cs="Arial"/>
          <w:color w:val="000000"/>
          <w:shd w:val="clear" w:color="auto" w:fill="FFFFFF"/>
          <w:lang w:eastAsia="en-GB"/>
        </w:rPr>
        <w:t>Lanoue</w:t>
      </w:r>
      <w:proofErr w:type="spellEnd"/>
      <w:r w:rsidRPr="00485250">
        <w:rPr>
          <w:rFonts w:eastAsia="Times New Roman" w:cs="Arial"/>
          <w:color w:val="000000"/>
          <w:shd w:val="clear" w:color="auto" w:fill="FFFFFF"/>
          <w:lang w:eastAsia="en-GB"/>
        </w:rPr>
        <w:t xml:space="preserve">, L. and </w:t>
      </w:r>
      <w:proofErr w:type="spellStart"/>
      <w:r w:rsidRPr="00485250">
        <w:rPr>
          <w:rFonts w:eastAsia="Times New Roman" w:cs="Arial"/>
          <w:color w:val="000000"/>
          <w:shd w:val="clear" w:color="auto" w:fill="FFFFFF"/>
          <w:lang w:eastAsia="en-GB"/>
        </w:rPr>
        <w:t>Ontai</w:t>
      </w:r>
      <w:proofErr w:type="spellEnd"/>
      <w:r w:rsidRPr="00485250">
        <w:rPr>
          <w:rFonts w:eastAsia="Times New Roman" w:cs="Arial"/>
          <w:color w:val="000000"/>
          <w:shd w:val="clear" w:color="auto" w:fill="FFFFFF"/>
          <w:lang w:eastAsia="en-GB"/>
        </w:rPr>
        <w:t xml:space="preserve">, L. (2018). An Obesity Risk Assessment Tool for Young Children: Validity </w:t>
      </w:r>
      <w:proofErr w:type="gramStart"/>
      <w:r w:rsidRPr="00485250">
        <w:rPr>
          <w:rFonts w:eastAsia="Times New Roman" w:cs="Arial"/>
          <w:color w:val="000000"/>
          <w:shd w:val="clear" w:color="auto" w:fill="FFFFFF"/>
          <w:lang w:eastAsia="en-GB"/>
        </w:rPr>
        <w:t>With</w:t>
      </w:r>
      <w:proofErr w:type="gramEnd"/>
      <w:r w:rsidRPr="00485250">
        <w:rPr>
          <w:rFonts w:eastAsia="Times New Roman" w:cs="Arial"/>
          <w:color w:val="000000"/>
          <w:shd w:val="clear" w:color="auto" w:fill="FFFFFF"/>
          <w:lang w:eastAsia="en-GB"/>
        </w:rPr>
        <w:t xml:space="preserve"> BMI and Nutrient Values.</w:t>
      </w:r>
      <w:r w:rsidRPr="00634760">
        <w:rPr>
          <w:rFonts w:eastAsia="Times New Roman" w:cs="Arial"/>
          <w:color w:val="000000"/>
          <w:shd w:val="clear" w:color="auto" w:fill="FFFFFF"/>
          <w:lang w:eastAsia="en-GB"/>
        </w:rPr>
        <w:t> </w:t>
      </w:r>
      <w:r w:rsidRPr="00485250">
        <w:rPr>
          <w:rFonts w:eastAsia="Times New Roman" w:cs="Arial"/>
          <w:i/>
          <w:iCs/>
          <w:color w:val="000000"/>
          <w:lang w:eastAsia="en-GB"/>
        </w:rPr>
        <w:t xml:space="preserve">Journal of Nutrition Education and </w:t>
      </w:r>
      <w:proofErr w:type="spellStart"/>
      <w:r w:rsidRPr="00485250">
        <w:rPr>
          <w:rFonts w:eastAsia="Times New Roman" w:cs="Arial"/>
          <w:i/>
          <w:iCs/>
          <w:color w:val="000000"/>
          <w:lang w:eastAsia="en-GB"/>
        </w:rPr>
        <w:t>Behavior</w:t>
      </w:r>
      <w:proofErr w:type="spellEnd"/>
      <w:r w:rsidRPr="00485250">
        <w:rPr>
          <w:rFonts w:eastAsia="Times New Roman" w:cs="Arial"/>
          <w:color w:val="000000"/>
          <w:shd w:val="clear" w:color="auto" w:fill="FFFFFF"/>
          <w:lang w:eastAsia="en-GB"/>
        </w:rPr>
        <w:t>, [online] 50(7), pp.705-717. Available at: https://ac-els-cdn-com.ezproxy.uwtsd.ac.uk/S1499404618300873/1-s2.0-S1499404618300873-main.pdf?_tid=4146dd7f-443a-4e07-a54c-b6d2f2db9698&amp;acdnat=1544801105_baa107848da6ad3bdc47c46f1bb9baae [Accessed 16 Dec. 2018].</w:t>
      </w:r>
    </w:p>
    <w:p w14:paraId="00F3F8D1" w14:textId="77777777" w:rsidR="00AF5DF7" w:rsidRPr="00485250" w:rsidRDefault="00AF5DF7" w:rsidP="00634760">
      <w:pPr>
        <w:spacing w:line="360" w:lineRule="auto"/>
        <w:rPr>
          <w:rFonts w:ascii="Times New Roman" w:eastAsia="Times New Roman" w:hAnsi="Times New Roman" w:cs="Times New Roman"/>
          <w:lang w:eastAsia="en-GB"/>
        </w:rPr>
      </w:pPr>
    </w:p>
    <w:p w14:paraId="59E066A1" w14:textId="77777777" w:rsidR="00634760" w:rsidRDefault="00634760" w:rsidP="00634760">
      <w:pPr>
        <w:spacing w:line="360" w:lineRule="auto"/>
        <w:rPr>
          <w:rFonts w:eastAsia="Times New Roman" w:cs="Arial"/>
          <w:color w:val="000000"/>
          <w:shd w:val="clear" w:color="auto" w:fill="FFFFFF"/>
          <w:lang w:eastAsia="en-GB"/>
        </w:rPr>
      </w:pPr>
      <w:r w:rsidRPr="00AB6E14">
        <w:rPr>
          <w:rFonts w:eastAsia="Times New Roman" w:cs="Arial"/>
          <w:color w:val="000000"/>
          <w:shd w:val="clear" w:color="auto" w:fill="FFFFFF"/>
          <w:lang w:eastAsia="en-GB"/>
        </w:rPr>
        <w:t xml:space="preserve">Tremblay, M., </w:t>
      </w:r>
      <w:proofErr w:type="spellStart"/>
      <w:r w:rsidRPr="00AB6E14">
        <w:rPr>
          <w:rFonts w:eastAsia="Times New Roman" w:cs="Arial"/>
          <w:color w:val="000000"/>
          <w:shd w:val="clear" w:color="auto" w:fill="FFFFFF"/>
          <w:lang w:eastAsia="en-GB"/>
        </w:rPr>
        <w:t>Gray</w:t>
      </w:r>
      <w:proofErr w:type="spellEnd"/>
      <w:r w:rsidRPr="00AB6E14">
        <w:rPr>
          <w:rFonts w:eastAsia="Times New Roman" w:cs="Arial"/>
          <w:color w:val="000000"/>
          <w:shd w:val="clear" w:color="auto" w:fill="FFFFFF"/>
          <w:lang w:eastAsia="en-GB"/>
        </w:rPr>
        <w:t xml:space="preserve">, C., Babcock, S., Barnes, J., Bradstreet, C., </w:t>
      </w:r>
      <w:proofErr w:type="spellStart"/>
      <w:r w:rsidRPr="00AB6E14">
        <w:rPr>
          <w:rFonts w:eastAsia="Times New Roman" w:cs="Arial"/>
          <w:color w:val="000000"/>
          <w:shd w:val="clear" w:color="auto" w:fill="FFFFFF"/>
          <w:lang w:eastAsia="en-GB"/>
        </w:rPr>
        <w:t>Carr</w:t>
      </w:r>
      <w:proofErr w:type="spellEnd"/>
      <w:r w:rsidRPr="00AB6E14">
        <w:rPr>
          <w:rFonts w:eastAsia="Times New Roman" w:cs="Arial"/>
          <w:color w:val="000000"/>
          <w:shd w:val="clear" w:color="auto" w:fill="FFFFFF"/>
          <w:lang w:eastAsia="en-GB"/>
        </w:rPr>
        <w:t xml:space="preserve">, D., Chabot, G., </w:t>
      </w:r>
      <w:proofErr w:type="spellStart"/>
      <w:r w:rsidRPr="00AB6E14">
        <w:rPr>
          <w:rFonts w:eastAsia="Times New Roman" w:cs="Arial"/>
          <w:color w:val="000000"/>
          <w:shd w:val="clear" w:color="auto" w:fill="FFFFFF"/>
          <w:lang w:eastAsia="en-GB"/>
        </w:rPr>
        <w:t>Choquette</w:t>
      </w:r>
      <w:proofErr w:type="spellEnd"/>
      <w:r w:rsidRPr="00AB6E14">
        <w:rPr>
          <w:rFonts w:eastAsia="Times New Roman" w:cs="Arial"/>
          <w:color w:val="000000"/>
          <w:shd w:val="clear" w:color="auto" w:fill="FFFFFF"/>
          <w:lang w:eastAsia="en-GB"/>
        </w:rPr>
        <w:t xml:space="preserve">, L., </w:t>
      </w:r>
      <w:proofErr w:type="spellStart"/>
      <w:r w:rsidRPr="00AB6E14">
        <w:rPr>
          <w:rFonts w:eastAsia="Times New Roman" w:cs="Arial"/>
          <w:color w:val="000000"/>
          <w:shd w:val="clear" w:color="auto" w:fill="FFFFFF"/>
          <w:lang w:eastAsia="en-GB"/>
        </w:rPr>
        <w:t>Chorney</w:t>
      </w:r>
      <w:proofErr w:type="spellEnd"/>
      <w:r w:rsidRPr="00AB6E14">
        <w:rPr>
          <w:rFonts w:eastAsia="Times New Roman" w:cs="Arial"/>
          <w:color w:val="000000"/>
          <w:shd w:val="clear" w:color="auto" w:fill="FFFFFF"/>
          <w:lang w:eastAsia="en-GB"/>
        </w:rPr>
        <w:t xml:space="preserve">, D., </w:t>
      </w:r>
      <w:proofErr w:type="spellStart"/>
      <w:r w:rsidRPr="00AB6E14">
        <w:rPr>
          <w:rFonts w:eastAsia="Times New Roman" w:cs="Arial"/>
          <w:color w:val="000000"/>
          <w:shd w:val="clear" w:color="auto" w:fill="FFFFFF"/>
          <w:lang w:eastAsia="en-GB"/>
        </w:rPr>
        <w:t>Collyer</w:t>
      </w:r>
      <w:proofErr w:type="spellEnd"/>
      <w:r w:rsidRPr="00AB6E14">
        <w:rPr>
          <w:rFonts w:eastAsia="Times New Roman" w:cs="Arial"/>
          <w:color w:val="000000"/>
          <w:shd w:val="clear" w:color="auto" w:fill="FFFFFF"/>
          <w:lang w:eastAsia="en-GB"/>
        </w:rPr>
        <w:t xml:space="preserve">, C., Herrington, S., </w:t>
      </w:r>
      <w:proofErr w:type="spellStart"/>
      <w:r w:rsidRPr="00AB6E14">
        <w:rPr>
          <w:rFonts w:eastAsia="Times New Roman" w:cs="Arial"/>
          <w:color w:val="000000"/>
          <w:shd w:val="clear" w:color="auto" w:fill="FFFFFF"/>
          <w:lang w:eastAsia="en-GB"/>
        </w:rPr>
        <w:t>Janson</w:t>
      </w:r>
      <w:proofErr w:type="spellEnd"/>
      <w:r w:rsidRPr="00AB6E14">
        <w:rPr>
          <w:rFonts w:eastAsia="Times New Roman" w:cs="Arial"/>
          <w:color w:val="000000"/>
          <w:shd w:val="clear" w:color="auto" w:fill="FFFFFF"/>
          <w:lang w:eastAsia="en-GB"/>
        </w:rPr>
        <w:t xml:space="preserve">, K., Janssen, I., </w:t>
      </w:r>
      <w:proofErr w:type="spellStart"/>
      <w:r w:rsidRPr="00AB6E14">
        <w:rPr>
          <w:rFonts w:eastAsia="Times New Roman" w:cs="Arial"/>
          <w:color w:val="000000"/>
          <w:shd w:val="clear" w:color="auto" w:fill="FFFFFF"/>
          <w:lang w:eastAsia="en-GB"/>
        </w:rPr>
        <w:t>Larouche</w:t>
      </w:r>
      <w:proofErr w:type="spellEnd"/>
      <w:r w:rsidRPr="00AB6E14">
        <w:rPr>
          <w:rFonts w:eastAsia="Times New Roman" w:cs="Arial"/>
          <w:color w:val="000000"/>
          <w:shd w:val="clear" w:color="auto" w:fill="FFFFFF"/>
          <w:lang w:eastAsia="en-GB"/>
        </w:rPr>
        <w:t xml:space="preserve">, R., Pickett, W., Power, M., </w:t>
      </w:r>
      <w:proofErr w:type="spellStart"/>
      <w:r w:rsidRPr="00AB6E14">
        <w:rPr>
          <w:rFonts w:eastAsia="Times New Roman" w:cs="Arial"/>
          <w:color w:val="000000"/>
          <w:shd w:val="clear" w:color="auto" w:fill="FFFFFF"/>
          <w:lang w:eastAsia="en-GB"/>
        </w:rPr>
        <w:t>Sandseter</w:t>
      </w:r>
      <w:proofErr w:type="spellEnd"/>
      <w:r w:rsidRPr="00AB6E14">
        <w:rPr>
          <w:rFonts w:eastAsia="Times New Roman" w:cs="Arial"/>
          <w:color w:val="000000"/>
          <w:shd w:val="clear" w:color="auto" w:fill="FFFFFF"/>
          <w:lang w:eastAsia="en-GB"/>
        </w:rPr>
        <w:t xml:space="preserve">, E., Simon, B. and </w:t>
      </w:r>
      <w:proofErr w:type="spellStart"/>
      <w:r w:rsidRPr="00AB6E14">
        <w:rPr>
          <w:rFonts w:eastAsia="Times New Roman" w:cs="Arial"/>
          <w:color w:val="000000"/>
          <w:shd w:val="clear" w:color="auto" w:fill="FFFFFF"/>
          <w:lang w:eastAsia="en-GB"/>
        </w:rPr>
        <w:t>Brussoni</w:t>
      </w:r>
      <w:proofErr w:type="spellEnd"/>
      <w:r w:rsidRPr="00AB6E14">
        <w:rPr>
          <w:rFonts w:eastAsia="Times New Roman" w:cs="Arial"/>
          <w:color w:val="000000"/>
          <w:shd w:val="clear" w:color="auto" w:fill="FFFFFF"/>
          <w:lang w:eastAsia="en-GB"/>
        </w:rPr>
        <w:t>, M. (2015). Position Statement on Active Outdoor Play.</w:t>
      </w:r>
      <w:r w:rsidRPr="00634760">
        <w:rPr>
          <w:rFonts w:eastAsia="Times New Roman" w:cs="Arial"/>
          <w:color w:val="000000"/>
          <w:shd w:val="clear" w:color="auto" w:fill="FFFFFF"/>
          <w:lang w:eastAsia="en-GB"/>
        </w:rPr>
        <w:t> </w:t>
      </w:r>
      <w:r w:rsidRPr="00AB6E14">
        <w:rPr>
          <w:rFonts w:eastAsia="Times New Roman" w:cs="Arial"/>
          <w:i/>
          <w:iCs/>
          <w:color w:val="000000"/>
          <w:lang w:eastAsia="en-GB"/>
        </w:rPr>
        <w:t>International Journal of Environmental Research and Public Health</w:t>
      </w:r>
      <w:r w:rsidRPr="00AB6E14">
        <w:rPr>
          <w:rFonts w:eastAsia="Times New Roman" w:cs="Arial"/>
          <w:color w:val="000000"/>
          <w:shd w:val="clear" w:color="auto" w:fill="FFFFFF"/>
          <w:lang w:eastAsia="en-GB"/>
        </w:rPr>
        <w:t>, [online] 12(6), pp.6475-6505. Available at: https://browzine.com/libraries/1422/articles/55448127/full-text-file?utm_source=api_311 [Accessed 15 Dec. 2018].</w:t>
      </w:r>
    </w:p>
    <w:p w14:paraId="2A9D1576" w14:textId="77777777" w:rsidR="00AF5DF7" w:rsidRPr="00AB6E14" w:rsidRDefault="00AF5DF7" w:rsidP="00634760">
      <w:pPr>
        <w:spacing w:line="360" w:lineRule="auto"/>
        <w:rPr>
          <w:rFonts w:ascii="Times New Roman" w:eastAsia="Times New Roman" w:hAnsi="Times New Roman" w:cs="Times New Roman"/>
          <w:lang w:eastAsia="en-GB"/>
        </w:rPr>
      </w:pPr>
    </w:p>
    <w:p w14:paraId="10CE0735" w14:textId="77777777" w:rsidR="00634760" w:rsidRDefault="00634760" w:rsidP="00634760">
      <w:pPr>
        <w:spacing w:line="360" w:lineRule="auto"/>
        <w:rPr>
          <w:rFonts w:eastAsia="Times New Roman" w:cs="Arial"/>
          <w:color w:val="000000"/>
          <w:shd w:val="clear" w:color="auto" w:fill="FFFFFF"/>
          <w:lang w:eastAsia="en-GB"/>
        </w:rPr>
      </w:pPr>
      <w:r w:rsidRPr="00A25D4A">
        <w:rPr>
          <w:rFonts w:eastAsia="Times New Roman" w:cs="Arial"/>
          <w:color w:val="000000"/>
          <w:shd w:val="clear" w:color="auto" w:fill="FFFFFF"/>
          <w:lang w:eastAsia="en-GB"/>
        </w:rPr>
        <w:t>Well-being of Future Generations (Wales) Act 201</w:t>
      </w:r>
      <w:r w:rsidRPr="00634760">
        <w:rPr>
          <w:rFonts w:eastAsia="Times New Roman" w:cs="Arial"/>
          <w:color w:val="000000"/>
          <w:shd w:val="clear" w:color="auto" w:fill="FFFFFF"/>
          <w:lang w:eastAsia="en-GB"/>
        </w:rPr>
        <w:t>5 The Essentials. (2015). [PDF</w:t>
      </w:r>
      <w:r w:rsidRPr="00A25D4A">
        <w:rPr>
          <w:rFonts w:eastAsia="Times New Roman" w:cs="Arial"/>
          <w:color w:val="000000"/>
          <w:shd w:val="clear" w:color="auto" w:fill="FFFFFF"/>
          <w:lang w:eastAsia="en-GB"/>
        </w:rPr>
        <w:t>] Cardiff: Welsh Government. Available at: https://gov.wales/docs/dsjlg/publications/150623-guide-to-the-fg-act-en.pdf [Accessed 15 Dec. 2018].</w:t>
      </w:r>
    </w:p>
    <w:p w14:paraId="674D17CC" w14:textId="77777777" w:rsidR="00AF5DF7" w:rsidRPr="00A25D4A" w:rsidRDefault="00AF5DF7" w:rsidP="00634760">
      <w:pPr>
        <w:spacing w:line="360" w:lineRule="auto"/>
        <w:rPr>
          <w:rFonts w:ascii="Times New Roman" w:eastAsia="Times New Roman" w:hAnsi="Times New Roman" w:cs="Times New Roman"/>
          <w:lang w:eastAsia="en-GB"/>
        </w:rPr>
      </w:pPr>
    </w:p>
    <w:p w14:paraId="4AF73221" w14:textId="77777777" w:rsidR="00634760" w:rsidRPr="00F269B1" w:rsidRDefault="00634760" w:rsidP="00634760">
      <w:pPr>
        <w:spacing w:line="360" w:lineRule="auto"/>
        <w:rPr>
          <w:rFonts w:ascii="Times New Roman" w:eastAsia="Times New Roman" w:hAnsi="Times New Roman" w:cs="Times New Roman"/>
          <w:lang w:eastAsia="en-GB"/>
        </w:rPr>
      </w:pPr>
      <w:r w:rsidRPr="00634760">
        <w:rPr>
          <w:rFonts w:eastAsia="Times New Roman" w:cs="Arial"/>
          <w:color w:val="000000"/>
          <w:shd w:val="clear" w:color="auto" w:fill="FFFFFF"/>
          <w:lang w:eastAsia="en-GB"/>
        </w:rPr>
        <w:t>Welsh Government</w:t>
      </w:r>
      <w:r w:rsidRPr="00F269B1">
        <w:rPr>
          <w:rFonts w:eastAsia="Times New Roman" w:cs="Arial"/>
          <w:color w:val="000000"/>
          <w:shd w:val="clear" w:color="auto" w:fill="FFFFFF"/>
          <w:lang w:eastAsia="en-GB"/>
        </w:rPr>
        <w:t>, (2015).</w:t>
      </w:r>
      <w:r w:rsidRPr="00634760">
        <w:rPr>
          <w:rFonts w:eastAsia="Times New Roman" w:cs="Arial"/>
          <w:color w:val="000000"/>
          <w:shd w:val="clear" w:color="auto" w:fill="FFFFFF"/>
          <w:lang w:eastAsia="en-GB"/>
        </w:rPr>
        <w:t> </w:t>
      </w:r>
      <w:r w:rsidRPr="00F269B1">
        <w:rPr>
          <w:rFonts w:eastAsia="Times New Roman" w:cs="Arial"/>
          <w:i/>
          <w:iCs/>
          <w:color w:val="000000"/>
          <w:lang w:eastAsia="en-GB"/>
        </w:rPr>
        <w:t xml:space="preserve">Welsh </w:t>
      </w:r>
      <w:proofErr w:type="spellStart"/>
      <w:r w:rsidRPr="00F269B1">
        <w:rPr>
          <w:rFonts w:eastAsia="Times New Roman" w:cs="Arial"/>
          <w:i/>
          <w:iCs/>
          <w:color w:val="000000"/>
          <w:lang w:eastAsia="en-GB"/>
        </w:rPr>
        <w:t>Government|Implementation</w:t>
      </w:r>
      <w:proofErr w:type="spellEnd"/>
      <w:r w:rsidRPr="00F269B1">
        <w:rPr>
          <w:rFonts w:eastAsia="Times New Roman" w:cs="Arial"/>
          <w:i/>
          <w:iCs/>
          <w:color w:val="000000"/>
          <w:lang w:eastAsia="en-GB"/>
        </w:rPr>
        <w:t xml:space="preserve"> of children's rights in Wales</w:t>
      </w:r>
      <w:r w:rsidRPr="00F269B1">
        <w:rPr>
          <w:rFonts w:eastAsia="Times New Roman" w:cs="Arial"/>
          <w:color w:val="000000"/>
          <w:shd w:val="clear" w:color="auto" w:fill="FFFFFF"/>
          <w:lang w:eastAsia="en-GB"/>
        </w:rPr>
        <w:t>. [online] Available at: https://gov.wales/topics/people-and-communities/people/children-and-young-people/rights/implementation-of-childrens-rights/?lang=en [Accessed 15 Dec. 2018].</w:t>
      </w:r>
    </w:p>
    <w:p w14:paraId="3A50C34C" w14:textId="77777777" w:rsidR="00692EA8" w:rsidRDefault="00692EA8" w:rsidP="00CC064A">
      <w:pPr>
        <w:spacing w:line="360" w:lineRule="auto"/>
      </w:pPr>
    </w:p>
    <w:p w14:paraId="73FB1EB2" w14:textId="6C3C5A51" w:rsidR="00692EA8" w:rsidRPr="00615D1E" w:rsidRDefault="00692EA8" w:rsidP="00CC064A">
      <w:pPr>
        <w:spacing w:line="360" w:lineRule="auto"/>
      </w:pPr>
    </w:p>
    <w:sectPr w:rsidR="00692EA8" w:rsidRPr="00615D1E" w:rsidSect="000143D2">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AB74689"/>
    <w:multiLevelType w:val="hybridMultilevel"/>
    <w:tmpl w:val="89621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148C"/>
    <w:rsid w:val="00005B31"/>
    <w:rsid w:val="000143D2"/>
    <w:rsid w:val="000176D9"/>
    <w:rsid w:val="0002294B"/>
    <w:rsid w:val="00022E63"/>
    <w:rsid w:val="00027F78"/>
    <w:rsid w:val="00030168"/>
    <w:rsid w:val="0003092A"/>
    <w:rsid w:val="0003151C"/>
    <w:rsid w:val="000371D9"/>
    <w:rsid w:val="00041BF9"/>
    <w:rsid w:val="000475C2"/>
    <w:rsid w:val="00054295"/>
    <w:rsid w:val="000745D1"/>
    <w:rsid w:val="00081693"/>
    <w:rsid w:val="00082B5C"/>
    <w:rsid w:val="00086698"/>
    <w:rsid w:val="000A481A"/>
    <w:rsid w:val="000A4B32"/>
    <w:rsid w:val="000B202A"/>
    <w:rsid w:val="000B74D0"/>
    <w:rsid w:val="000C54B9"/>
    <w:rsid w:val="000D56FC"/>
    <w:rsid w:val="000D5795"/>
    <w:rsid w:val="000E4382"/>
    <w:rsid w:val="000E6DEB"/>
    <w:rsid w:val="000F7F87"/>
    <w:rsid w:val="0010156A"/>
    <w:rsid w:val="001037D6"/>
    <w:rsid w:val="00107770"/>
    <w:rsid w:val="00107C48"/>
    <w:rsid w:val="0012083C"/>
    <w:rsid w:val="001304D7"/>
    <w:rsid w:val="00134FB4"/>
    <w:rsid w:val="0013613D"/>
    <w:rsid w:val="00147BC7"/>
    <w:rsid w:val="00160A0F"/>
    <w:rsid w:val="001701BD"/>
    <w:rsid w:val="001B275E"/>
    <w:rsid w:val="001B654E"/>
    <w:rsid w:val="001F1676"/>
    <w:rsid w:val="001F78FF"/>
    <w:rsid w:val="00203420"/>
    <w:rsid w:val="00216A16"/>
    <w:rsid w:val="00223D7D"/>
    <w:rsid w:val="0023478A"/>
    <w:rsid w:val="002373D5"/>
    <w:rsid w:val="00242C65"/>
    <w:rsid w:val="00245A51"/>
    <w:rsid w:val="00250A8E"/>
    <w:rsid w:val="0025251C"/>
    <w:rsid w:val="00256F2E"/>
    <w:rsid w:val="00257749"/>
    <w:rsid w:val="00274359"/>
    <w:rsid w:val="002A037A"/>
    <w:rsid w:val="002A2189"/>
    <w:rsid w:val="002C3034"/>
    <w:rsid w:val="002C4A05"/>
    <w:rsid w:val="002C54E4"/>
    <w:rsid w:val="002D3601"/>
    <w:rsid w:val="002E3984"/>
    <w:rsid w:val="002E4FC7"/>
    <w:rsid w:val="003021AF"/>
    <w:rsid w:val="0030586D"/>
    <w:rsid w:val="003070C6"/>
    <w:rsid w:val="003070E7"/>
    <w:rsid w:val="003173C3"/>
    <w:rsid w:val="00325F9B"/>
    <w:rsid w:val="00344AF6"/>
    <w:rsid w:val="003534BC"/>
    <w:rsid w:val="003609FC"/>
    <w:rsid w:val="0037068A"/>
    <w:rsid w:val="00373CC6"/>
    <w:rsid w:val="00375377"/>
    <w:rsid w:val="00375F18"/>
    <w:rsid w:val="00397A57"/>
    <w:rsid w:val="003C5E2C"/>
    <w:rsid w:val="003E0EB5"/>
    <w:rsid w:val="003E7BF9"/>
    <w:rsid w:val="00415E89"/>
    <w:rsid w:val="004178C0"/>
    <w:rsid w:val="00422236"/>
    <w:rsid w:val="004230C9"/>
    <w:rsid w:val="00436EF0"/>
    <w:rsid w:val="00442F13"/>
    <w:rsid w:val="004536A0"/>
    <w:rsid w:val="00453BC8"/>
    <w:rsid w:val="00480B61"/>
    <w:rsid w:val="00483161"/>
    <w:rsid w:val="00484584"/>
    <w:rsid w:val="00485250"/>
    <w:rsid w:val="004918D1"/>
    <w:rsid w:val="00491E74"/>
    <w:rsid w:val="004B2F5A"/>
    <w:rsid w:val="004C2539"/>
    <w:rsid w:val="004C5139"/>
    <w:rsid w:val="004D1D17"/>
    <w:rsid w:val="004D27ED"/>
    <w:rsid w:val="004E6C46"/>
    <w:rsid w:val="004E74DC"/>
    <w:rsid w:val="004E778C"/>
    <w:rsid w:val="004F7391"/>
    <w:rsid w:val="004F7BE7"/>
    <w:rsid w:val="00512804"/>
    <w:rsid w:val="0051318F"/>
    <w:rsid w:val="00516A4B"/>
    <w:rsid w:val="005175E6"/>
    <w:rsid w:val="00527CA7"/>
    <w:rsid w:val="0054162C"/>
    <w:rsid w:val="00547833"/>
    <w:rsid w:val="005517C4"/>
    <w:rsid w:val="005675A5"/>
    <w:rsid w:val="005903C5"/>
    <w:rsid w:val="00595291"/>
    <w:rsid w:val="005A314F"/>
    <w:rsid w:val="005A7D56"/>
    <w:rsid w:val="005C1973"/>
    <w:rsid w:val="005D2C6E"/>
    <w:rsid w:val="005D5065"/>
    <w:rsid w:val="005E1898"/>
    <w:rsid w:val="005F382C"/>
    <w:rsid w:val="006013C5"/>
    <w:rsid w:val="0061590E"/>
    <w:rsid w:val="00615D1E"/>
    <w:rsid w:val="00617FCD"/>
    <w:rsid w:val="00634760"/>
    <w:rsid w:val="00635180"/>
    <w:rsid w:val="00635E5D"/>
    <w:rsid w:val="006568B2"/>
    <w:rsid w:val="0066371B"/>
    <w:rsid w:val="00664A3E"/>
    <w:rsid w:val="0066652C"/>
    <w:rsid w:val="00674132"/>
    <w:rsid w:val="00674958"/>
    <w:rsid w:val="00676C99"/>
    <w:rsid w:val="00681938"/>
    <w:rsid w:val="00692EA8"/>
    <w:rsid w:val="006A2104"/>
    <w:rsid w:val="006B2CD8"/>
    <w:rsid w:val="006E2185"/>
    <w:rsid w:val="006E4C76"/>
    <w:rsid w:val="006F71E5"/>
    <w:rsid w:val="0070049C"/>
    <w:rsid w:val="00700B0F"/>
    <w:rsid w:val="0070285A"/>
    <w:rsid w:val="00716E81"/>
    <w:rsid w:val="00723C72"/>
    <w:rsid w:val="0073224C"/>
    <w:rsid w:val="007360D3"/>
    <w:rsid w:val="00743FA4"/>
    <w:rsid w:val="00744374"/>
    <w:rsid w:val="00754109"/>
    <w:rsid w:val="007552A2"/>
    <w:rsid w:val="007815DF"/>
    <w:rsid w:val="00782C82"/>
    <w:rsid w:val="00792B42"/>
    <w:rsid w:val="00797F3E"/>
    <w:rsid w:val="007A7562"/>
    <w:rsid w:val="007B6A43"/>
    <w:rsid w:val="007C1AC0"/>
    <w:rsid w:val="007C1C29"/>
    <w:rsid w:val="007C5531"/>
    <w:rsid w:val="007D4C6A"/>
    <w:rsid w:val="007E3AFB"/>
    <w:rsid w:val="0080062C"/>
    <w:rsid w:val="00814779"/>
    <w:rsid w:val="00824175"/>
    <w:rsid w:val="00824360"/>
    <w:rsid w:val="0082789F"/>
    <w:rsid w:val="0083789F"/>
    <w:rsid w:val="00842BB2"/>
    <w:rsid w:val="00896194"/>
    <w:rsid w:val="008C7338"/>
    <w:rsid w:val="008F2B2C"/>
    <w:rsid w:val="008F2C05"/>
    <w:rsid w:val="008F6620"/>
    <w:rsid w:val="00906649"/>
    <w:rsid w:val="00915C1A"/>
    <w:rsid w:val="00935328"/>
    <w:rsid w:val="00937DC2"/>
    <w:rsid w:val="009554E8"/>
    <w:rsid w:val="00960D57"/>
    <w:rsid w:val="00973AB4"/>
    <w:rsid w:val="00973B94"/>
    <w:rsid w:val="00992157"/>
    <w:rsid w:val="009B5C91"/>
    <w:rsid w:val="009B74D2"/>
    <w:rsid w:val="009C2EA3"/>
    <w:rsid w:val="009D0774"/>
    <w:rsid w:val="009D15B0"/>
    <w:rsid w:val="009E096F"/>
    <w:rsid w:val="009E47A3"/>
    <w:rsid w:val="009E5B50"/>
    <w:rsid w:val="009E6619"/>
    <w:rsid w:val="009E7495"/>
    <w:rsid w:val="009F192A"/>
    <w:rsid w:val="009F36E5"/>
    <w:rsid w:val="009F773B"/>
    <w:rsid w:val="00A00F50"/>
    <w:rsid w:val="00A01C18"/>
    <w:rsid w:val="00A05306"/>
    <w:rsid w:val="00A25D4A"/>
    <w:rsid w:val="00A3082F"/>
    <w:rsid w:val="00A37771"/>
    <w:rsid w:val="00A440BC"/>
    <w:rsid w:val="00A45307"/>
    <w:rsid w:val="00A472E0"/>
    <w:rsid w:val="00A517E0"/>
    <w:rsid w:val="00A535E7"/>
    <w:rsid w:val="00A70C7C"/>
    <w:rsid w:val="00A8473A"/>
    <w:rsid w:val="00AA00FE"/>
    <w:rsid w:val="00AA4C6F"/>
    <w:rsid w:val="00AB6E14"/>
    <w:rsid w:val="00AD4925"/>
    <w:rsid w:val="00AE68D2"/>
    <w:rsid w:val="00AE7C7B"/>
    <w:rsid w:val="00AF0E5E"/>
    <w:rsid w:val="00AF51EF"/>
    <w:rsid w:val="00AF5DF7"/>
    <w:rsid w:val="00AF63D5"/>
    <w:rsid w:val="00AF7861"/>
    <w:rsid w:val="00B0777E"/>
    <w:rsid w:val="00B127AF"/>
    <w:rsid w:val="00B2519D"/>
    <w:rsid w:val="00B4557C"/>
    <w:rsid w:val="00B455CD"/>
    <w:rsid w:val="00B6722D"/>
    <w:rsid w:val="00B72CF5"/>
    <w:rsid w:val="00B94074"/>
    <w:rsid w:val="00B97E42"/>
    <w:rsid w:val="00BA00C9"/>
    <w:rsid w:val="00BA6C4E"/>
    <w:rsid w:val="00BB0442"/>
    <w:rsid w:val="00BB0BAB"/>
    <w:rsid w:val="00BD490D"/>
    <w:rsid w:val="00BE5E22"/>
    <w:rsid w:val="00BF34E8"/>
    <w:rsid w:val="00BF4012"/>
    <w:rsid w:val="00BF71CD"/>
    <w:rsid w:val="00BF7815"/>
    <w:rsid w:val="00C0442B"/>
    <w:rsid w:val="00C12208"/>
    <w:rsid w:val="00C15BDB"/>
    <w:rsid w:val="00C220FF"/>
    <w:rsid w:val="00C32603"/>
    <w:rsid w:val="00C34C6F"/>
    <w:rsid w:val="00C371DB"/>
    <w:rsid w:val="00C41849"/>
    <w:rsid w:val="00C41D71"/>
    <w:rsid w:val="00C53297"/>
    <w:rsid w:val="00C62DCD"/>
    <w:rsid w:val="00C6711B"/>
    <w:rsid w:val="00C74246"/>
    <w:rsid w:val="00CB2985"/>
    <w:rsid w:val="00CC064A"/>
    <w:rsid w:val="00CC78C3"/>
    <w:rsid w:val="00CD56EB"/>
    <w:rsid w:val="00CE50CA"/>
    <w:rsid w:val="00CE7467"/>
    <w:rsid w:val="00CF7C7F"/>
    <w:rsid w:val="00D0339F"/>
    <w:rsid w:val="00D06E7F"/>
    <w:rsid w:val="00D07195"/>
    <w:rsid w:val="00D242E2"/>
    <w:rsid w:val="00D340E0"/>
    <w:rsid w:val="00D346EE"/>
    <w:rsid w:val="00D34FBB"/>
    <w:rsid w:val="00D41428"/>
    <w:rsid w:val="00D43CDB"/>
    <w:rsid w:val="00D50A7F"/>
    <w:rsid w:val="00D644A7"/>
    <w:rsid w:val="00D64762"/>
    <w:rsid w:val="00D6659F"/>
    <w:rsid w:val="00D72F36"/>
    <w:rsid w:val="00D73BF5"/>
    <w:rsid w:val="00D74AAD"/>
    <w:rsid w:val="00D76414"/>
    <w:rsid w:val="00D764B7"/>
    <w:rsid w:val="00D84632"/>
    <w:rsid w:val="00D86FB6"/>
    <w:rsid w:val="00D934A8"/>
    <w:rsid w:val="00DA0AEB"/>
    <w:rsid w:val="00DA2012"/>
    <w:rsid w:val="00DA2E54"/>
    <w:rsid w:val="00DA3E1E"/>
    <w:rsid w:val="00DA53B3"/>
    <w:rsid w:val="00DB2666"/>
    <w:rsid w:val="00DB4A03"/>
    <w:rsid w:val="00DC112F"/>
    <w:rsid w:val="00DC14BB"/>
    <w:rsid w:val="00DC2CBF"/>
    <w:rsid w:val="00DC4963"/>
    <w:rsid w:val="00DD0835"/>
    <w:rsid w:val="00DF26B9"/>
    <w:rsid w:val="00DF536C"/>
    <w:rsid w:val="00DF7706"/>
    <w:rsid w:val="00E02073"/>
    <w:rsid w:val="00E02455"/>
    <w:rsid w:val="00E06483"/>
    <w:rsid w:val="00E1042C"/>
    <w:rsid w:val="00E14790"/>
    <w:rsid w:val="00E20603"/>
    <w:rsid w:val="00E31489"/>
    <w:rsid w:val="00E430E5"/>
    <w:rsid w:val="00E46647"/>
    <w:rsid w:val="00E6115C"/>
    <w:rsid w:val="00E66CA1"/>
    <w:rsid w:val="00E67433"/>
    <w:rsid w:val="00E76CAE"/>
    <w:rsid w:val="00E81D7F"/>
    <w:rsid w:val="00E97F08"/>
    <w:rsid w:val="00EA0598"/>
    <w:rsid w:val="00EB148C"/>
    <w:rsid w:val="00EC6202"/>
    <w:rsid w:val="00ED08C9"/>
    <w:rsid w:val="00ED24A2"/>
    <w:rsid w:val="00ED2C3A"/>
    <w:rsid w:val="00EE7A8F"/>
    <w:rsid w:val="00EF1F3E"/>
    <w:rsid w:val="00EF46DC"/>
    <w:rsid w:val="00EF5A5F"/>
    <w:rsid w:val="00EF5F00"/>
    <w:rsid w:val="00F0372A"/>
    <w:rsid w:val="00F1059E"/>
    <w:rsid w:val="00F166E5"/>
    <w:rsid w:val="00F21724"/>
    <w:rsid w:val="00F269B1"/>
    <w:rsid w:val="00F27031"/>
    <w:rsid w:val="00F344D5"/>
    <w:rsid w:val="00F374BE"/>
    <w:rsid w:val="00F430C7"/>
    <w:rsid w:val="00F44AA3"/>
    <w:rsid w:val="00F6223A"/>
    <w:rsid w:val="00F7614B"/>
    <w:rsid w:val="00F92C3C"/>
    <w:rsid w:val="00F93600"/>
    <w:rsid w:val="00FC7171"/>
    <w:rsid w:val="00FF4C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DD0FFC8"/>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Theme="minorHAnsi" w:hAnsi="Arial"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A7562"/>
    <w:pPr>
      <w:ind w:left="720"/>
      <w:contextualSpacing/>
    </w:pPr>
  </w:style>
  <w:style w:type="character" w:styleId="Hyperlink">
    <w:name w:val="Hyperlink"/>
    <w:basedOn w:val="DefaultParagraphFont"/>
    <w:uiPriority w:val="99"/>
    <w:unhideWhenUsed/>
    <w:rsid w:val="0030586D"/>
    <w:rPr>
      <w:color w:val="0563C1" w:themeColor="hyperlink"/>
      <w:u w:val="single"/>
    </w:rPr>
  </w:style>
  <w:style w:type="character" w:customStyle="1" w:styleId="apple-converted-space">
    <w:name w:val="apple-converted-space"/>
    <w:basedOn w:val="DefaultParagraphFont"/>
    <w:rsid w:val="001F16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4918363">
      <w:bodyDiv w:val="1"/>
      <w:marLeft w:val="0"/>
      <w:marRight w:val="0"/>
      <w:marTop w:val="0"/>
      <w:marBottom w:val="0"/>
      <w:divBdr>
        <w:top w:val="none" w:sz="0" w:space="0" w:color="auto"/>
        <w:left w:val="none" w:sz="0" w:space="0" w:color="auto"/>
        <w:bottom w:val="none" w:sz="0" w:space="0" w:color="auto"/>
        <w:right w:val="none" w:sz="0" w:space="0" w:color="auto"/>
      </w:divBdr>
    </w:div>
    <w:div w:id="425999326">
      <w:bodyDiv w:val="1"/>
      <w:marLeft w:val="0"/>
      <w:marRight w:val="0"/>
      <w:marTop w:val="0"/>
      <w:marBottom w:val="0"/>
      <w:divBdr>
        <w:top w:val="none" w:sz="0" w:space="0" w:color="auto"/>
        <w:left w:val="none" w:sz="0" w:space="0" w:color="auto"/>
        <w:bottom w:val="none" w:sz="0" w:space="0" w:color="auto"/>
        <w:right w:val="none" w:sz="0" w:space="0" w:color="auto"/>
      </w:divBdr>
    </w:div>
    <w:div w:id="698513255">
      <w:bodyDiv w:val="1"/>
      <w:marLeft w:val="0"/>
      <w:marRight w:val="0"/>
      <w:marTop w:val="0"/>
      <w:marBottom w:val="0"/>
      <w:divBdr>
        <w:top w:val="none" w:sz="0" w:space="0" w:color="auto"/>
        <w:left w:val="none" w:sz="0" w:space="0" w:color="auto"/>
        <w:bottom w:val="none" w:sz="0" w:space="0" w:color="auto"/>
        <w:right w:val="none" w:sz="0" w:space="0" w:color="auto"/>
      </w:divBdr>
    </w:div>
    <w:div w:id="796532729">
      <w:bodyDiv w:val="1"/>
      <w:marLeft w:val="0"/>
      <w:marRight w:val="0"/>
      <w:marTop w:val="0"/>
      <w:marBottom w:val="0"/>
      <w:divBdr>
        <w:top w:val="none" w:sz="0" w:space="0" w:color="auto"/>
        <w:left w:val="none" w:sz="0" w:space="0" w:color="auto"/>
        <w:bottom w:val="none" w:sz="0" w:space="0" w:color="auto"/>
        <w:right w:val="none" w:sz="0" w:space="0" w:color="auto"/>
      </w:divBdr>
    </w:div>
    <w:div w:id="824514554">
      <w:bodyDiv w:val="1"/>
      <w:marLeft w:val="0"/>
      <w:marRight w:val="0"/>
      <w:marTop w:val="0"/>
      <w:marBottom w:val="0"/>
      <w:divBdr>
        <w:top w:val="none" w:sz="0" w:space="0" w:color="auto"/>
        <w:left w:val="none" w:sz="0" w:space="0" w:color="auto"/>
        <w:bottom w:val="none" w:sz="0" w:space="0" w:color="auto"/>
        <w:right w:val="none" w:sz="0" w:space="0" w:color="auto"/>
      </w:divBdr>
    </w:div>
    <w:div w:id="1077556455">
      <w:bodyDiv w:val="1"/>
      <w:marLeft w:val="0"/>
      <w:marRight w:val="0"/>
      <w:marTop w:val="0"/>
      <w:marBottom w:val="0"/>
      <w:divBdr>
        <w:top w:val="none" w:sz="0" w:space="0" w:color="auto"/>
        <w:left w:val="none" w:sz="0" w:space="0" w:color="auto"/>
        <w:bottom w:val="none" w:sz="0" w:space="0" w:color="auto"/>
        <w:right w:val="none" w:sz="0" w:space="0" w:color="auto"/>
      </w:divBdr>
    </w:div>
    <w:div w:id="1199321303">
      <w:bodyDiv w:val="1"/>
      <w:marLeft w:val="0"/>
      <w:marRight w:val="0"/>
      <w:marTop w:val="0"/>
      <w:marBottom w:val="0"/>
      <w:divBdr>
        <w:top w:val="none" w:sz="0" w:space="0" w:color="auto"/>
        <w:left w:val="none" w:sz="0" w:space="0" w:color="auto"/>
        <w:bottom w:val="none" w:sz="0" w:space="0" w:color="auto"/>
        <w:right w:val="none" w:sz="0" w:space="0" w:color="auto"/>
      </w:divBdr>
    </w:div>
    <w:div w:id="1200043799">
      <w:bodyDiv w:val="1"/>
      <w:marLeft w:val="0"/>
      <w:marRight w:val="0"/>
      <w:marTop w:val="0"/>
      <w:marBottom w:val="0"/>
      <w:divBdr>
        <w:top w:val="none" w:sz="0" w:space="0" w:color="auto"/>
        <w:left w:val="none" w:sz="0" w:space="0" w:color="auto"/>
        <w:bottom w:val="none" w:sz="0" w:space="0" w:color="auto"/>
        <w:right w:val="none" w:sz="0" w:space="0" w:color="auto"/>
      </w:divBdr>
    </w:div>
    <w:div w:id="1229615498">
      <w:bodyDiv w:val="1"/>
      <w:marLeft w:val="0"/>
      <w:marRight w:val="0"/>
      <w:marTop w:val="0"/>
      <w:marBottom w:val="0"/>
      <w:divBdr>
        <w:top w:val="none" w:sz="0" w:space="0" w:color="auto"/>
        <w:left w:val="none" w:sz="0" w:space="0" w:color="auto"/>
        <w:bottom w:val="none" w:sz="0" w:space="0" w:color="auto"/>
        <w:right w:val="none" w:sz="0" w:space="0" w:color="auto"/>
      </w:divBdr>
    </w:div>
    <w:div w:id="1363938382">
      <w:bodyDiv w:val="1"/>
      <w:marLeft w:val="0"/>
      <w:marRight w:val="0"/>
      <w:marTop w:val="0"/>
      <w:marBottom w:val="0"/>
      <w:divBdr>
        <w:top w:val="none" w:sz="0" w:space="0" w:color="auto"/>
        <w:left w:val="none" w:sz="0" w:space="0" w:color="auto"/>
        <w:bottom w:val="none" w:sz="0" w:space="0" w:color="auto"/>
        <w:right w:val="none" w:sz="0" w:space="0" w:color="auto"/>
      </w:divBdr>
    </w:div>
    <w:div w:id="1384981800">
      <w:bodyDiv w:val="1"/>
      <w:marLeft w:val="0"/>
      <w:marRight w:val="0"/>
      <w:marTop w:val="0"/>
      <w:marBottom w:val="0"/>
      <w:divBdr>
        <w:top w:val="none" w:sz="0" w:space="0" w:color="auto"/>
        <w:left w:val="none" w:sz="0" w:space="0" w:color="auto"/>
        <w:bottom w:val="none" w:sz="0" w:space="0" w:color="auto"/>
        <w:right w:val="none" w:sz="0" w:space="0" w:color="auto"/>
      </w:divBdr>
    </w:div>
    <w:div w:id="1393964228">
      <w:bodyDiv w:val="1"/>
      <w:marLeft w:val="0"/>
      <w:marRight w:val="0"/>
      <w:marTop w:val="0"/>
      <w:marBottom w:val="0"/>
      <w:divBdr>
        <w:top w:val="none" w:sz="0" w:space="0" w:color="auto"/>
        <w:left w:val="none" w:sz="0" w:space="0" w:color="auto"/>
        <w:bottom w:val="none" w:sz="0" w:space="0" w:color="auto"/>
        <w:right w:val="none" w:sz="0" w:space="0" w:color="auto"/>
      </w:divBdr>
    </w:div>
    <w:div w:id="1494838207">
      <w:bodyDiv w:val="1"/>
      <w:marLeft w:val="0"/>
      <w:marRight w:val="0"/>
      <w:marTop w:val="0"/>
      <w:marBottom w:val="0"/>
      <w:divBdr>
        <w:top w:val="none" w:sz="0" w:space="0" w:color="auto"/>
        <w:left w:val="none" w:sz="0" w:space="0" w:color="auto"/>
        <w:bottom w:val="none" w:sz="0" w:space="0" w:color="auto"/>
        <w:right w:val="none" w:sz="0" w:space="0" w:color="auto"/>
      </w:divBdr>
    </w:div>
    <w:div w:id="1509709646">
      <w:bodyDiv w:val="1"/>
      <w:marLeft w:val="0"/>
      <w:marRight w:val="0"/>
      <w:marTop w:val="0"/>
      <w:marBottom w:val="0"/>
      <w:divBdr>
        <w:top w:val="none" w:sz="0" w:space="0" w:color="auto"/>
        <w:left w:val="none" w:sz="0" w:space="0" w:color="auto"/>
        <w:bottom w:val="none" w:sz="0" w:space="0" w:color="auto"/>
        <w:right w:val="none" w:sz="0" w:space="0" w:color="auto"/>
      </w:divBdr>
    </w:div>
    <w:div w:id="1823547045">
      <w:bodyDiv w:val="1"/>
      <w:marLeft w:val="0"/>
      <w:marRight w:val="0"/>
      <w:marTop w:val="0"/>
      <w:marBottom w:val="0"/>
      <w:divBdr>
        <w:top w:val="none" w:sz="0" w:space="0" w:color="auto"/>
        <w:left w:val="none" w:sz="0" w:space="0" w:color="auto"/>
        <w:bottom w:val="none" w:sz="0" w:space="0" w:color="auto"/>
        <w:right w:val="none" w:sz="0" w:space="0" w:color="auto"/>
      </w:divBdr>
    </w:div>
    <w:div w:id="1871213038">
      <w:bodyDiv w:val="1"/>
      <w:marLeft w:val="0"/>
      <w:marRight w:val="0"/>
      <w:marTop w:val="0"/>
      <w:marBottom w:val="0"/>
      <w:divBdr>
        <w:top w:val="none" w:sz="0" w:space="0" w:color="auto"/>
        <w:left w:val="none" w:sz="0" w:space="0" w:color="auto"/>
        <w:bottom w:val="none" w:sz="0" w:space="0" w:color="auto"/>
        <w:right w:val="none" w:sz="0" w:space="0" w:color="auto"/>
      </w:divBdr>
    </w:div>
    <w:div w:id="206104761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3149</Words>
  <Characters>17953</Characters>
  <Application>Microsoft Macintosh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21060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cp:lastPrinted>2019-01-07T14:53:00Z</cp:lastPrinted>
  <dcterms:created xsi:type="dcterms:W3CDTF">2019-01-07T17:03:00Z</dcterms:created>
  <dcterms:modified xsi:type="dcterms:W3CDTF">2019-01-07T17:03:00Z</dcterms:modified>
</cp:coreProperties>
</file>