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63486147"/>
        <w:docPartObj>
          <w:docPartGallery w:val="Cover Pages"/>
          <w:docPartUnique/>
        </w:docPartObj>
      </w:sdtPr>
      <w:sdtEndPr>
        <w:rPr>
          <w:rStyle w:val="normaltextrun"/>
          <w:rFonts w:ascii="Aptos" w:eastAsiaTheme="majorEastAsia" w:hAnsi="Aptos" w:cs="Segoe UI"/>
          <w:b/>
          <w:bCs/>
          <w:kern w:val="0"/>
          <w:sz w:val="32"/>
          <w:szCs w:val="32"/>
          <w:lang w:eastAsia="en-GB"/>
          <w14:ligatures w14:val="none"/>
        </w:rPr>
      </w:sdtEndPr>
      <w:sdtContent>
        <w:p w14:paraId="31067EC3" w14:textId="36CC8D1E" w:rsidR="0059284F" w:rsidRDefault="0059284F"/>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59284F" w14:paraId="7FED42E7" w14:textId="77777777">
            <w:sdt>
              <w:sdtPr>
                <w:rPr>
                  <w:color w:val="0F4761" w:themeColor="accent1" w:themeShade="BF"/>
                  <w:sz w:val="24"/>
                  <w:szCs w:val="24"/>
                </w:rPr>
                <w:alias w:val="Company"/>
                <w:id w:val="13406915"/>
                <w:placeholder>
                  <w:docPart w:val="16463015CA5440ACB2ACDA9DEAF85B9F"/>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6139C2A6" w14:textId="08731095" w:rsidR="0059284F" w:rsidRDefault="0044686A">
                    <w:pPr>
                      <w:pStyle w:val="NoSpacing"/>
                      <w:rPr>
                        <w:color w:val="0F4761" w:themeColor="accent1" w:themeShade="BF"/>
                        <w:sz w:val="24"/>
                      </w:rPr>
                    </w:pPr>
                    <w:r>
                      <w:rPr>
                        <w:color w:val="0F4761" w:themeColor="accent1" w:themeShade="BF"/>
                        <w:sz w:val="24"/>
                        <w:szCs w:val="24"/>
                      </w:rPr>
                      <w:t>Living Well</w:t>
                    </w:r>
                  </w:p>
                </w:tc>
              </w:sdtContent>
            </w:sdt>
          </w:tr>
          <w:tr w:rsidR="0059284F" w14:paraId="635C4B75" w14:textId="77777777">
            <w:tc>
              <w:tcPr>
                <w:tcW w:w="7672" w:type="dxa"/>
              </w:tcPr>
              <w:sdt>
                <w:sdtPr>
                  <w:rPr>
                    <w:rStyle w:val="normaltextrun"/>
                    <w:rFonts w:ascii="Calibri" w:hAnsi="Calibri" w:cs="Calibri"/>
                    <w:b/>
                    <w:bCs/>
                    <w:color w:val="000000"/>
                    <w:sz w:val="36"/>
                    <w:szCs w:val="36"/>
                    <w:shd w:val="clear" w:color="auto" w:fill="FFFFFF"/>
                  </w:rPr>
                  <w:alias w:val="Title"/>
                  <w:id w:val="13406919"/>
                  <w:placeholder>
                    <w:docPart w:val="161BED30403B4A19BC7101349361A533"/>
                  </w:placeholder>
                  <w:dataBinding w:prefixMappings="xmlns:ns0='http://schemas.openxmlformats.org/package/2006/metadata/core-properties' xmlns:ns1='http://purl.org/dc/elements/1.1/'" w:xpath="/ns0:coreProperties[1]/ns1:title[1]" w:storeItemID="{6C3C8BC8-F283-45AE-878A-BAB7291924A1}"/>
                  <w:text/>
                </w:sdtPr>
                <w:sdtContent>
                  <w:p w14:paraId="4C2C87A3" w14:textId="4FF5A647" w:rsidR="0059284F" w:rsidRPr="00143087" w:rsidRDefault="000F19B0">
                    <w:pPr>
                      <w:pStyle w:val="NoSpacing"/>
                      <w:spacing w:line="216" w:lineRule="auto"/>
                      <w:rPr>
                        <w:rFonts w:asciiTheme="majorHAnsi" w:eastAsiaTheme="majorEastAsia" w:hAnsiTheme="majorHAnsi" w:cstheme="majorBidi"/>
                        <w:color w:val="156082" w:themeColor="accent1"/>
                        <w:sz w:val="36"/>
                        <w:szCs w:val="36"/>
                      </w:rPr>
                    </w:pPr>
                    <w:r>
                      <w:rPr>
                        <w:rStyle w:val="normaltextrun"/>
                        <w:rFonts w:ascii="Calibri" w:hAnsi="Calibri" w:cs="Calibri"/>
                        <w:b/>
                        <w:bCs/>
                        <w:color w:val="000000"/>
                        <w:sz w:val="36"/>
                        <w:szCs w:val="36"/>
                        <w:shd w:val="clear" w:color="auto" w:fill="FFFFFF"/>
                      </w:rPr>
                      <w:t>Thriving in Later Years: The older person and the obstacles encountered.</w:t>
                    </w:r>
                  </w:p>
                </w:sdtContent>
              </w:sdt>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59284F" w14:paraId="5CA65E05" w14:textId="77777777" w:rsidTr="008077FA">
            <w:tc>
              <w:tcPr>
                <w:tcW w:w="6963" w:type="dxa"/>
                <w:tcMar>
                  <w:top w:w="216" w:type="dxa"/>
                  <w:left w:w="115" w:type="dxa"/>
                  <w:bottom w:w="216" w:type="dxa"/>
                  <w:right w:w="115" w:type="dxa"/>
                </w:tcMar>
              </w:tcPr>
              <w:sdt>
                <w:sdtPr>
                  <w:rPr>
                    <w:color w:val="156082" w:themeColor="accent1"/>
                    <w:sz w:val="28"/>
                    <w:szCs w:val="28"/>
                  </w:rPr>
                  <w:alias w:val="Author"/>
                  <w:id w:val="13406928"/>
                  <w:placeholder>
                    <w:docPart w:val="5B7F4EDD54724C63ABE8D1234F86E27D"/>
                  </w:placeholder>
                  <w:dataBinding w:prefixMappings="xmlns:ns0='http://schemas.openxmlformats.org/package/2006/metadata/core-properties' xmlns:ns1='http://purl.org/dc/elements/1.1/'" w:xpath="/ns0:coreProperties[1]/ns1:creator[1]" w:storeItemID="{6C3C8BC8-F283-45AE-878A-BAB7291924A1}"/>
                  <w:text/>
                </w:sdtPr>
                <w:sdtContent>
                  <w:p w14:paraId="0E643409" w14:textId="17300D41" w:rsidR="0059284F" w:rsidRDefault="0059284F">
                    <w:pPr>
                      <w:pStyle w:val="NoSpacing"/>
                      <w:rPr>
                        <w:color w:val="156082" w:themeColor="accent1"/>
                        <w:sz w:val="28"/>
                        <w:szCs w:val="28"/>
                      </w:rPr>
                    </w:pPr>
                    <w:r>
                      <w:rPr>
                        <w:color w:val="156082" w:themeColor="accent1"/>
                        <w:sz w:val="28"/>
                        <w:szCs w:val="28"/>
                      </w:rPr>
                      <w:t>Cristina Sandu</w:t>
                    </w:r>
                  </w:p>
                </w:sdtContent>
              </w:sdt>
              <w:sdt>
                <w:sdtPr>
                  <w:rPr>
                    <w:color w:val="156082" w:themeColor="accent1"/>
                    <w:sz w:val="28"/>
                    <w:szCs w:val="28"/>
                  </w:rPr>
                  <w:alias w:val="Date"/>
                  <w:tag w:val="Date"/>
                  <w:id w:val="13406932"/>
                  <w:placeholder>
                    <w:docPart w:val="84594ADA915C42589E8333908061AB77"/>
                  </w:placeholder>
                  <w:dataBinding w:prefixMappings="xmlns:ns0='http://schemas.microsoft.com/office/2006/coverPageProps'" w:xpath="/ns0:CoverPageProperties[1]/ns0:PublishDate[1]" w:storeItemID="{55AF091B-3C7A-41E3-B477-F2FDAA23CFDA}"/>
                  <w:date w:fullDate="2023-05-03T00:00:00Z">
                    <w:dateFormat w:val="dd/MM/yyyy"/>
                    <w:lid w:val="en-GB"/>
                    <w:storeMappedDataAs w:val="dateTime"/>
                    <w:calendar w:val="gregorian"/>
                  </w:date>
                </w:sdtPr>
                <w:sdtContent>
                  <w:p w14:paraId="352CE5A8" w14:textId="2D3EAD06" w:rsidR="0059284F" w:rsidRDefault="006702BD">
                    <w:pPr>
                      <w:pStyle w:val="NoSpacing"/>
                      <w:rPr>
                        <w:color w:val="156082" w:themeColor="accent1"/>
                        <w:sz w:val="28"/>
                        <w:szCs w:val="28"/>
                      </w:rPr>
                    </w:pPr>
                    <w:r>
                      <w:rPr>
                        <w:color w:val="156082" w:themeColor="accent1"/>
                        <w:sz w:val="28"/>
                        <w:szCs w:val="28"/>
                      </w:rPr>
                      <w:t>03/05/2023</w:t>
                    </w:r>
                  </w:p>
                </w:sdtContent>
              </w:sdt>
              <w:p w14:paraId="16733434" w14:textId="1F6350B9" w:rsidR="0059284F" w:rsidRDefault="0059284F">
                <w:pPr>
                  <w:pStyle w:val="NoSpacing"/>
                  <w:rPr>
                    <w:color w:val="156082" w:themeColor="accent1"/>
                  </w:rPr>
                </w:pPr>
              </w:p>
            </w:tc>
          </w:tr>
        </w:tbl>
        <w:p w14:paraId="048CA3CC" w14:textId="77777777" w:rsidR="00E1410C" w:rsidRDefault="00E1410C" w:rsidP="00E1410C">
          <w:pPr>
            <w:rPr>
              <w:rFonts w:ascii="Aptos" w:eastAsiaTheme="majorEastAsia" w:hAnsi="Aptos" w:cs="Segoe UI"/>
              <w:b/>
              <w:bCs/>
              <w:kern w:val="0"/>
              <w:sz w:val="32"/>
              <w:szCs w:val="32"/>
              <w:lang w:eastAsia="en-GB"/>
              <w14:ligatures w14:val="none"/>
            </w:rPr>
          </w:pPr>
        </w:p>
        <w:p w14:paraId="69C27953" w14:textId="77777777" w:rsidR="00E1410C" w:rsidRDefault="00E1410C">
          <w:pPr>
            <w:rPr>
              <w:rFonts w:ascii="Aptos" w:eastAsiaTheme="majorEastAsia" w:hAnsi="Aptos" w:cs="Segoe UI"/>
              <w:b/>
              <w:bCs/>
              <w:kern w:val="0"/>
              <w:sz w:val="32"/>
              <w:szCs w:val="32"/>
              <w:lang w:eastAsia="en-GB"/>
              <w14:ligatures w14:val="none"/>
            </w:rPr>
          </w:pPr>
          <w:r>
            <w:rPr>
              <w:rFonts w:ascii="Aptos" w:eastAsiaTheme="majorEastAsia" w:hAnsi="Aptos" w:cs="Segoe UI"/>
              <w:b/>
              <w:bCs/>
              <w:kern w:val="0"/>
              <w:sz w:val="32"/>
              <w:szCs w:val="32"/>
              <w:lang w:eastAsia="en-GB"/>
              <w14:ligatures w14:val="none"/>
            </w:rPr>
            <w:br w:type="page"/>
          </w:r>
        </w:p>
        <w:sdt>
          <w:sdtPr>
            <w:rPr>
              <w:rFonts w:asciiTheme="minorHAnsi" w:eastAsiaTheme="minorEastAsia" w:hAnsiTheme="minorHAnsi" w:cs="Times New Roman"/>
              <w:color w:val="auto"/>
              <w:sz w:val="22"/>
              <w:szCs w:val="22"/>
            </w:rPr>
            <w:id w:val="1778136262"/>
            <w:docPartObj>
              <w:docPartGallery w:val="Table of Contents"/>
              <w:docPartUnique/>
            </w:docPartObj>
          </w:sdtPr>
          <w:sdtContent>
            <w:p w14:paraId="23991EFD" w14:textId="282BD7B0" w:rsidR="007F43AA" w:rsidRDefault="007F43AA">
              <w:pPr>
                <w:pStyle w:val="TOCHeading"/>
              </w:pPr>
              <w:r>
                <w:t>Table of Contents</w:t>
              </w:r>
            </w:p>
            <w:p w14:paraId="44469D29" w14:textId="0D3FE2A2" w:rsidR="007F43AA" w:rsidRDefault="007F43AA" w:rsidP="007F43AA">
              <w:pPr>
                <w:pStyle w:val="TOC1"/>
                <w:numPr>
                  <w:ilvl w:val="0"/>
                  <w:numId w:val="8"/>
                </w:numPr>
              </w:pPr>
              <w:r>
                <w:rPr>
                  <w:b/>
                  <w:bCs/>
                </w:rPr>
                <w:t>Abstract</w:t>
              </w:r>
              <w:r>
                <w:ptab w:relativeTo="margin" w:alignment="right" w:leader="dot"/>
              </w:r>
              <w:r w:rsidR="002C3445">
                <w:rPr>
                  <w:b/>
                  <w:bCs/>
                </w:rPr>
                <w:t>2</w:t>
              </w:r>
            </w:p>
            <w:p w14:paraId="64081226" w14:textId="39F47D38" w:rsidR="007F43AA" w:rsidRDefault="00427EE5">
              <w:pPr>
                <w:pStyle w:val="TOC2"/>
                <w:ind w:left="216"/>
              </w:pPr>
              <w:r>
                <w:t>2.Introdu</w:t>
              </w:r>
              <w:r w:rsidR="00711771">
                <w:t>ction</w:t>
              </w:r>
              <w:r w:rsidR="007F43AA">
                <w:ptab w:relativeTo="margin" w:alignment="right" w:leader="dot"/>
              </w:r>
              <w:r w:rsidR="00711771">
                <w:t>3</w:t>
              </w:r>
            </w:p>
            <w:p w14:paraId="24AD16FF" w14:textId="7899B394" w:rsidR="007F43AA" w:rsidRDefault="00711771">
              <w:pPr>
                <w:pStyle w:val="TOC3"/>
                <w:ind w:left="446"/>
              </w:pPr>
              <w:r>
                <w:t>3. Main Findings</w:t>
              </w:r>
              <w:r w:rsidR="007F43AA">
                <w:ptab w:relativeTo="margin" w:alignment="right" w:leader="dot"/>
              </w:r>
              <w:r w:rsidR="00ED16DB">
                <w:t>4-7</w:t>
              </w:r>
            </w:p>
            <w:p w14:paraId="1F57EA4A" w14:textId="2A93600C" w:rsidR="007F43AA" w:rsidRDefault="00ED16DB">
              <w:pPr>
                <w:pStyle w:val="TOC1"/>
              </w:pPr>
              <w:r>
                <w:rPr>
                  <w:b/>
                  <w:bCs/>
                </w:rPr>
                <w:t xml:space="preserve">4. </w:t>
              </w:r>
              <w:r w:rsidR="00F65998">
                <w:rPr>
                  <w:b/>
                  <w:bCs/>
                </w:rPr>
                <w:t>Recommendations</w:t>
              </w:r>
              <w:r w:rsidR="007F43AA">
                <w:ptab w:relativeTo="margin" w:alignment="right" w:leader="dot"/>
              </w:r>
              <w:r w:rsidR="00F65998">
                <w:rPr>
                  <w:b/>
                  <w:bCs/>
                </w:rPr>
                <w:t>8</w:t>
              </w:r>
            </w:p>
            <w:p w14:paraId="0AC3CE76" w14:textId="5E533106" w:rsidR="007F43AA" w:rsidRDefault="00F65998">
              <w:pPr>
                <w:pStyle w:val="TOC2"/>
                <w:ind w:left="216"/>
              </w:pPr>
              <w:r>
                <w:t>5. Conclusion</w:t>
              </w:r>
              <w:r w:rsidR="007F43AA">
                <w:ptab w:relativeTo="margin" w:alignment="right" w:leader="dot"/>
              </w:r>
              <w:r>
                <w:t>9</w:t>
              </w:r>
            </w:p>
            <w:p w14:paraId="14D4337A" w14:textId="5BE6937B" w:rsidR="007F43AA" w:rsidRDefault="005D39F0" w:rsidP="00F65998">
              <w:pPr>
                <w:pStyle w:val="TOC3"/>
              </w:pPr>
              <w:r>
                <w:t>6. References</w:t>
              </w:r>
              <w:r w:rsidR="007F43AA">
                <w:ptab w:relativeTo="margin" w:alignment="right" w:leader="dot"/>
              </w:r>
              <w:r>
                <w:t>10-12</w:t>
              </w:r>
            </w:p>
          </w:sdtContent>
        </w:sdt>
        <w:p w14:paraId="392AC9CD" w14:textId="14B8C271" w:rsidR="00E1410C" w:rsidRPr="00E1410C" w:rsidRDefault="00E1410C" w:rsidP="00E1410C">
          <w:pPr>
            <w:rPr>
              <w:rFonts w:ascii="Aptos" w:eastAsiaTheme="majorEastAsia" w:hAnsi="Aptos" w:cs="Segoe UI"/>
              <w:b/>
              <w:bCs/>
              <w:kern w:val="0"/>
              <w:sz w:val="32"/>
              <w:szCs w:val="32"/>
              <w:lang w:eastAsia="en-GB"/>
              <w14:ligatures w14:val="none"/>
            </w:rPr>
          </w:pPr>
        </w:p>
        <w:p w14:paraId="13164168" w14:textId="32D52261" w:rsidR="00E5271E" w:rsidRPr="00773BF7" w:rsidRDefault="006702BD" w:rsidP="005A432C">
          <w:pPr>
            <w:pStyle w:val="Heading2"/>
            <w:rPr>
              <w:rFonts w:ascii="Segoe UI" w:hAnsi="Segoe UI"/>
              <w:sz w:val="18"/>
              <w:szCs w:val="18"/>
            </w:rPr>
          </w:pPr>
          <w:r>
            <w:rPr>
              <w:rStyle w:val="normaltextrun"/>
              <w:rFonts w:ascii="Aptos" w:hAnsi="Aptos" w:cs="Segoe UI"/>
              <w:b/>
              <w:bCs/>
              <w:kern w:val="0"/>
              <w:lang w:eastAsia="en-GB"/>
              <w14:ligatures w14:val="none"/>
            </w:rPr>
            <w:br w:type="page"/>
          </w:r>
          <w:r w:rsidR="008D7F31" w:rsidRPr="00773BF7">
            <w:rPr>
              <w:rFonts w:ascii="Segoe UI" w:hAnsi="Segoe UI"/>
              <w:sz w:val="18"/>
              <w:szCs w:val="18"/>
            </w:rPr>
            <w:lastRenderedPageBreak/>
            <w:t xml:space="preserve"> </w:t>
          </w:r>
        </w:p>
        <w:p w14:paraId="0B62BF92" w14:textId="0037AA9E" w:rsidR="00E5271E" w:rsidRDefault="00E5271E" w:rsidP="00CE00E0">
          <w:pPr>
            <w:pStyle w:val="TOC3"/>
            <w:ind w:left="0"/>
          </w:pPr>
        </w:p>
        <w:p w14:paraId="0D964411" w14:textId="712AD40F" w:rsidR="005A432C" w:rsidRPr="00773BF7" w:rsidRDefault="005A432C" w:rsidP="005A432C">
          <w:pPr>
            <w:pStyle w:val="Heading2"/>
            <w:rPr>
              <w:rFonts w:ascii="Segoe UI" w:hAnsi="Segoe UI"/>
              <w:sz w:val="18"/>
              <w:szCs w:val="18"/>
            </w:rPr>
          </w:pPr>
        </w:p>
        <w:p w14:paraId="0A923B56" w14:textId="2A44B628" w:rsidR="005A432C" w:rsidRDefault="005A432C" w:rsidP="00E5271E">
          <w:pPr>
            <w:pStyle w:val="TOCHeading"/>
          </w:pPr>
        </w:p>
        <w:p w14:paraId="1959474B" w14:textId="503EA03E" w:rsidR="00773BF7" w:rsidRPr="00773BF7" w:rsidRDefault="00773BF7" w:rsidP="005A432C">
          <w:pPr>
            <w:pStyle w:val="Heading2"/>
            <w:rPr>
              <w:rFonts w:ascii="Segoe UI" w:hAnsi="Segoe UI"/>
              <w:sz w:val="18"/>
              <w:szCs w:val="18"/>
            </w:rPr>
          </w:pPr>
        </w:p>
        <w:p w14:paraId="5E40F0BE" w14:textId="26A3160E" w:rsidR="00B562A1" w:rsidRDefault="00B562A1" w:rsidP="00B562A1">
          <w:pPr>
            <w:pStyle w:val="paragraph"/>
            <w:spacing w:before="0" w:beforeAutospacing="0" w:after="0" w:afterAutospacing="0"/>
            <w:textAlignment w:val="baseline"/>
            <w:rPr>
              <w:rFonts w:ascii="Segoe UI" w:hAnsi="Segoe UI" w:cs="Segoe UI"/>
              <w:sz w:val="18"/>
              <w:szCs w:val="18"/>
            </w:rPr>
          </w:pPr>
        </w:p>
        <w:p w14:paraId="25E2805C" w14:textId="7C609B49" w:rsidR="0059284F" w:rsidRDefault="00000000">
          <w:pPr>
            <w:rPr>
              <w:rStyle w:val="normaltextrun"/>
              <w:rFonts w:ascii="Aptos" w:eastAsiaTheme="majorEastAsia" w:hAnsi="Aptos" w:cs="Segoe UI"/>
              <w:b/>
              <w:bCs/>
              <w:kern w:val="0"/>
              <w:sz w:val="32"/>
              <w:szCs w:val="32"/>
              <w:lang w:eastAsia="en-GB"/>
              <w14:ligatures w14:val="none"/>
            </w:rPr>
          </w:pPr>
        </w:p>
      </w:sdtContent>
    </w:sdt>
    <w:p w14:paraId="763D8439" w14:textId="51879C90" w:rsidR="00CD4C38" w:rsidRDefault="00CD4C38" w:rsidP="00CD4C38">
      <w:pPr>
        <w:tabs>
          <w:tab w:val="num" w:pos="720"/>
        </w:tabs>
        <w:ind w:left="720" w:hanging="360"/>
      </w:pPr>
    </w:p>
    <w:p w14:paraId="15487E94" w14:textId="77777777" w:rsidR="003E4B20" w:rsidRPr="003E4B20" w:rsidRDefault="003E4B20" w:rsidP="003E4B20">
      <w:pPr>
        <w:ind w:left="720"/>
      </w:pPr>
    </w:p>
    <w:p w14:paraId="2AC37EAA" w14:textId="1C1DCA69" w:rsidR="00CD4C38" w:rsidRPr="00CD4C38" w:rsidRDefault="00CD4C38" w:rsidP="00B51F96">
      <w:pPr>
        <w:pStyle w:val="ListParagraph"/>
        <w:numPr>
          <w:ilvl w:val="0"/>
          <w:numId w:val="7"/>
        </w:numPr>
      </w:pPr>
      <w:r w:rsidRPr="00B51F96">
        <w:rPr>
          <w:b/>
          <w:bCs/>
        </w:rPr>
        <w:t>Abstract</w:t>
      </w:r>
      <w:r w:rsidRPr="00CD4C38">
        <w:t> </w:t>
      </w:r>
    </w:p>
    <w:p w14:paraId="5F94A882" w14:textId="416EEBBB" w:rsidR="000E31B6" w:rsidRPr="00CD4C38" w:rsidRDefault="00CD4C38" w:rsidP="000E31B6">
      <w:r w:rsidRPr="00CD4C38">
        <w:t xml:space="preserve">The </w:t>
      </w:r>
      <w:r w:rsidR="003E4B20">
        <w:t>aging process</w:t>
      </w:r>
      <w:r w:rsidRPr="00CD4C38">
        <w:t xml:space="preserve"> is an inherent aspect of human existence, experienced by every individual throughout their lifetime. As the body progresses in age, its functional systems undergo specific alterations. These changes contribute to an increased vulnerability to various illnesses and diseases</w:t>
      </w:r>
      <w:r w:rsidR="00C627E1">
        <w:t>, potentially</w:t>
      </w:r>
      <w:r w:rsidRPr="00CD4C38">
        <w:t xml:space="preserve"> affecting cognitive abilities. Memory may weaken, and problem-solving skills as well as concentration may diminish. Additionally, there is a heightened risk of developing neurodegenerative disorders, such as Alzheimer's disease. The impact of society on the lives of older individuals is substantial, encompassing social norms, cultural values, and public policies. These factors can significantly influence how older people are treated and integrated within their communities</w:t>
      </w:r>
      <w:r w:rsidR="00C627E1">
        <w:t xml:space="preserve"> and</w:t>
      </w:r>
      <w:r w:rsidRPr="00CD4C38">
        <w:t xml:space="preserve"> their access to essential resources and services required for maintaining a satisfactory quality of life. Discrimination, stigma, inadequate access to necessary services and resources, and a lack of social support can restrict their lives and lead to social withdrawal. Consequently, this can adversely affect their mental well-being, subsequently impacting their physical and spiritual health, resulting in a purposeless existence. The importance of how the experiences of older people can impact their overall well-being, whether positively or negatively, is emphasized in this report. It also highlights the influence of the aging population on their financial stability and healthcare requirements, as well as the challenges it poses for the broader economy. Additionally, it explores the involvement of various </w:t>
      </w:r>
      <w:r w:rsidR="00C627E1">
        <w:t>organizations</w:t>
      </w:r>
      <w:r w:rsidR="00083E67">
        <w:t xml:space="preserve"> </w:t>
      </w:r>
      <w:r w:rsidR="000E31B6" w:rsidRPr="00CD4C38">
        <w:t xml:space="preserve">in addressing and preventing any injustices that older adults may face. The report is based on research conducted in the United Kingdom, incorporating recommendations from the National Health Service (NHS) </w:t>
      </w:r>
      <w:r w:rsidR="000E31B6">
        <w:t>to improve</w:t>
      </w:r>
      <w:r w:rsidR="000E31B6" w:rsidRPr="00CD4C38">
        <w:t xml:space="preserve"> healthcare services and outcomes for the older population.</w:t>
      </w:r>
      <w:r w:rsidR="000E31B6" w:rsidRPr="00CD4C38">
        <w:rPr>
          <w:rFonts w:ascii="Arial" w:hAnsi="Arial" w:cs="Arial"/>
        </w:rPr>
        <w:t> </w:t>
      </w:r>
      <w:r w:rsidR="000E31B6" w:rsidRPr="00CD4C38">
        <w:t> </w:t>
      </w:r>
    </w:p>
    <w:p w14:paraId="44BF3BDB" w14:textId="65115CB0" w:rsidR="00083E67" w:rsidRDefault="00083E67">
      <w:r>
        <w:br w:type="page"/>
      </w:r>
    </w:p>
    <w:p w14:paraId="6FE08BB0" w14:textId="77777777" w:rsidR="00083E67" w:rsidRDefault="00083E67" w:rsidP="00CD4C38"/>
    <w:p w14:paraId="3BC1826E" w14:textId="4EE1DD85" w:rsidR="008F43DE" w:rsidRDefault="00B51F96" w:rsidP="00B51F96">
      <w:pPr>
        <w:pStyle w:val="paragraph"/>
        <w:spacing w:before="0" w:beforeAutospacing="0" w:after="0" w:afterAutospacing="0"/>
        <w:ind w:left="720"/>
        <w:textAlignment w:val="baseline"/>
        <w:rPr>
          <w:rFonts w:ascii="Segoe UI" w:hAnsi="Segoe UI" w:cs="Segoe UI"/>
          <w:sz w:val="18"/>
          <w:szCs w:val="18"/>
        </w:rPr>
      </w:pPr>
      <w:r>
        <w:rPr>
          <w:rStyle w:val="normaltextrun"/>
          <w:rFonts w:ascii="Aptos" w:eastAsiaTheme="majorEastAsia" w:hAnsi="Aptos" w:cs="Segoe UI"/>
          <w:b/>
          <w:bCs/>
          <w:sz w:val="32"/>
          <w:szCs w:val="32"/>
        </w:rPr>
        <w:t>2.</w:t>
      </w:r>
      <w:r w:rsidR="008F43DE">
        <w:rPr>
          <w:rStyle w:val="normaltextrun"/>
          <w:rFonts w:ascii="Aptos" w:eastAsiaTheme="majorEastAsia" w:hAnsi="Aptos" w:cs="Segoe UI"/>
          <w:b/>
          <w:bCs/>
          <w:sz w:val="32"/>
          <w:szCs w:val="32"/>
        </w:rPr>
        <w:t>Introduction</w:t>
      </w:r>
      <w:r w:rsidR="008F43DE">
        <w:rPr>
          <w:rStyle w:val="eop"/>
          <w:rFonts w:ascii="Aptos" w:eastAsiaTheme="majorEastAsia" w:hAnsi="Aptos" w:cs="Segoe UI"/>
          <w:sz w:val="32"/>
          <w:szCs w:val="32"/>
        </w:rPr>
        <w:t> </w:t>
      </w:r>
    </w:p>
    <w:p w14:paraId="09B59A72" w14:textId="77777777" w:rsidR="008F43DE" w:rsidRDefault="008F43DE" w:rsidP="008F43DE">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color w:val="000000"/>
          <w:shd w:val="clear" w:color="auto" w:fill="FFFFFF"/>
        </w:rPr>
        <w:t>Aging is a complex and topical issue that affects millions of people around the world, the aging process is characterized by the World Health Organization (WHO,2022) as a natural evolution in which the individual's physical and mental capacities diminish as the older person advances in age. According to the United Nations (2019, a), cultural norms play a significant role in defining older individuals, as seen in the distinction between Western countries where individuals over 60 are considered elderly, and non-Western countries where the age threshold is often set at 40. Due to advancements in medicine, William, and Christie (2009) emphasize that the aging process has become more common in the 21st century, with breakthroughs in healthcare, diseases that were once fatal or debilitating can now be managed or even cured, leading to longer life expectancies. The global population of elderly individuals has experienced a substantial rise due to this circumstance.  </w:t>
      </w:r>
      <w:r>
        <w:rPr>
          <w:rStyle w:val="eop"/>
          <w:rFonts w:ascii="Calibri" w:eastAsiaTheme="majorEastAsia" w:hAnsi="Calibri" w:cs="Calibri"/>
          <w:color w:val="000000"/>
        </w:rPr>
        <w:t> </w:t>
      </w:r>
    </w:p>
    <w:p w14:paraId="16F2AAC8" w14:textId="77777777" w:rsidR="008F43DE" w:rsidRDefault="008F43DE" w:rsidP="008F43DE">
      <w:pPr>
        <w:pStyle w:val="paragraph"/>
        <w:spacing w:before="0" w:beforeAutospacing="0" w:after="0" w:afterAutospacing="0"/>
        <w:ind w:left="720"/>
        <w:textAlignment w:val="baseline"/>
        <w:rPr>
          <w:rFonts w:ascii="Segoe UI" w:hAnsi="Segoe UI" w:cs="Segoe UI"/>
          <w:sz w:val="18"/>
          <w:szCs w:val="18"/>
        </w:rPr>
      </w:pPr>
      <w:r>
        <w:rPr>
          <w:rStyle w:val="eop"/>
          <w:rFonts w:ascii="Calibri" w:eastAsiaTheme="majorEastAsia" w:hAnsi="Calibri" w:cs="Calibri"/>
          <w:color w:val="000000"/>
        </w:rPr>
        <w:t> </w:t>
      </w:r>
    </w:p>
    <w:p w14:paraId="115DF00E" w14:textId="77777777" w:rsidR="008F43DE" w:rsidRDefault="008F43DE" w:rsidP="008F43DE">
      <w:pPr>
        <w:pStyle w:val="paragraph"/>
        <w:spacing w:before="0" w:beforeAutospacing="0" w:after="0" w:afterAutospacing="0"/>
        <w:ind w:left="720"/>
        <w:textAlignment w:val="baseline"/>
        <w:rPr>
          <w:rFonts w:ascii="Segoe UI" w:hAnsi="Segoe UI" w:cs="Segoe UI"/>
          <w:sz w:val="18"/>
          <w:szCs w:val="18"/>
        </w:rPr>
      </w:pPr>
      <w:r>
        <w:rPr>
          <w:rStyle w:val="eop"/>
          <w:rFonts w:ascii="Calibri" w:eastAsiaTheme="majorEastAsia" w:hAnsi="Calibri" w:cs="Calibri"/>
          <w:color w:val="000000"/>
        </w:rPr>
        <w:t> </w:t>
      </w:r>
    </w:p>
    <w:p w14:paraId="114D7B1C" w14:textId="5BCF0AA6" w:rsidR="00CD4C38" w:rsidRPr="00CD4C38" w:rsidRDefault="00CD4C38" w:rsidP="00CD4C38">
      <w:r w:rsidRPr="00CD4C38">
        <w:rPr>
          <w:rFonts w:ascii="Arial" w:hAnsi="Arial" w:cs="Arial"/>
        </w:rPr>
        <w:t> </w:t>
      </w:r>
      <w:r w:rsidRPr="00CD4C38">
        <w:t> </w:t>
      </w:r>
    </w:p>
    <w:p w14:paraId="6D12DFDD" w14:textId="219B743D" w:rsidR="00224202" w:rsidRDefault="00224202"/>
    <w:p w14:paraId="1B1C8EE6" w14:textId="77777777" w:rsidR="00AF02BC" w:rsidRDefault="00AF02BC"/>
    <w:p w14:paraId="4F383A85" w14:textId="77777777" w:rsidR="00AF02BC" w:rsidRDefault="00AF02BC"/>
    <w:p w14:paraId="52C7DDFE" w14:textId="77777777" w:rsidR="00AF02BC" w:rsidRDefault="00AF02BC"/>
    <w:p w14:paraId="7ADD7727" w14:textId="77777777" w:rsidR="00AF02BC" w:rsidRDefault="00AF02BC"/>
    <w:p w14:paraId="7E5979E9" w14:textId="77777777" w:rsidR="00AF02BC" w:rsidRDefault="00AF02BC"/>
    <w:p w14:paraId="221CF733" w14:textId="77777777" w:rsidR="00AF02BC" w:rsidRDefault="00AF02BC"/>
    <w:p w14:paraId="6C62EA78" w14:textId="77777777" w:rsidR="00AF02BC" w:rsidRDefault="00AF02BC"/>
    <w:p w14:paraId="449332DC" w14:textId="77777777" w:rsidR="00AF02BC" w:rsidRDefault="00AF02BC"/>
    <w:p w14:paraId="1987D70F" w14:textId="77777777" w:rsidR="00AF02BC" w:rsidRDefault="00AF02BC"/>
    <w:p w14:paraId="659F7242" w14:textId="77777777" w:rsidR="00AF02BC" w:rsidRDefault="00AF02BC"/>
    <w:p w14:paraId="66F333C1" w14:textId="77777777" w:rsidR="00AF02BC" w:rsidRDefault="00AF02BC"/>
    <w:p w14:paraId="1BD9D6F2" w14:textId="77777777" w:rsidR="00AF02BC" w:rsidRDefault="00AF02BC"/>
    <w:p w14:paraId="1AD037ED" w14:textId="77777777" w:rsidR="00AF02BC" w:rsidRDefault="00AF02BC"/>
    <w:p w14:paraId="7534488F" w14:textId="77777777" w:rsidR="00AF02BC" w:rsidRDefault="00AF02BC"/>
    <w:p w14:paraId="69EC4A30" w14:textId="77777777" w:rsidR="00AF02BC" w:rsidRDefault="00AF02BC"/>
    <w:p w14:paraId="3F320291" w14:textId="77777777" w:rsidR="00AF02BC" w:rsidRDefault="00AF02BC"/>
    <w:p w14:paraId="210128A5" w14:textId="77777777" w:rsidR="00AF02BC" w:rsidRDefault="00AF02BC"/>
    <w:p w14:paraId="5907719B" w14:textId="77777777" w:rsidR="004B2495" w:rsidRDefault="004B2495" w:rsidP="004B249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000000"/>
          <w:sz w:val="32"/>
          <w:szCs w:val="32"/>
          <w:shd w:val="clear" w:color="auto" w:fill="FFFFFF"/>
        </w:rPr>
        <w:t>3. Main Findings</w:t>
      </w:r>
      <w:r>
        <w:rPr>
          <w:rStyle w:val="eop"/>
          <w:rFonts w:ascii="Calibri" w:eastAsiaTheme="majorEastAsia" w:hAnsi="Calibri" w:cs="Calibri"/>
          <w:color w:val="000000"/>
          <w:sz w:val="32"/>
          <w:szCs w:val="32"/>
        </w:rPr>
        <w:t> </w:t>
      </w:r>
    </w:p>
    <w:p w14:paraId="0D9E1A2F" w14:textId="4440FA38" w:rsidR="004B2495" w:rsidRDefault="004B2495" w:rsidP="004B2495">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color w:val="000000"/>
        </w:rPr>
        <w:t xml:space="preserve">In the past few years, there has been a notable rise in the population of the United Kingdom. Office for National </w:t>
      </w:r>
      <w:r w:rsidR="00B02594">
        <w:rPr>
          <w:rStyle w:val="normaltextrun"/>
          <w:rFonts w:ascii="Calibri" w:eastAsiaTheme="majorEastAsia" w:hAnsi="Calibri" w:cs="Calibri"/>
          <w:color w:val="000000"/>
        </w:rPr>
        <w:t>Statistics (ONS,2023) reports that in 2011, there were 9.2 million individuals over the age of 65, and by 2021, this figure has increased to 11 million; among</w:t>
      </w:r>
      <w:r>
        <w:rPr>
          <w:rStyle w:val="normaltextrun"/>
          <w:rFonts w:ascii="Calibri" w:eastAsiaTheme="majorEastAsia" w:hAnsi="Calibri" w:cs="Calibri"/>
          <w:color w:val="000000"/>
        </w:rPr>
        <w:t xml:space="preserve"> them, 866,444 reside in Wales. In recent years, the population growth rate in Wales has decreased to 1.4% compared to the 5.5% growth rate observed between 2001 and 2011(Office for National Statistics,2022). </w:t>
      </w:r>
      <w:r>
        <w:rPr>
          <w:rStyle w:val="normaltextrun"/>
          <w:rFonts w:ascii="Calibri" w:eastAsiaTheme="majorEastAsia" w:hAnsi="Calibri" w:cs="Calibri"/>
        </w:rPr>
        <w:t>It is also predicted that in the next 5 years, this number will increase by 5%</w:t>
      </w:r>
      <w:r>
        <w:rPr>
          <w:rStyle w:val="normaltextrun"/>
          <w:rFonts w:ascii="Calibri" w:eastAsiaTheme="majorEastAsia" w:hAnsi="Calibri" w:cs="Calibri"/>
          <w:color w:val="000000"/>
        </w:rPr>
        <w:t xml:space="preserve"> (Reeves, Islam, and Gentry, 2024). Presently, the United Nations (2019, b) mention</w:t>
      </w:r>
      <w:r w:rsidR="00B02594">
        <w:rPr>
          <w:rStyle w:val="normaltextrun"/>
          <w:rFonts w:ascii="Calibri" w:eastAsiaTheme="majorEastAsia" w:hAnsi="Calibri" w:cs="Calibri"/>
          <w:color w:val="000000"/>
        </w:rPr>
        <w:t>s</w:t>
      </w:r>
      <w:r>
        <w:rPr>
          <w:rStyle w:val="normaltextrun"/>
          <w:rFonts w:ascii="Calibri" w:eastAsiaTheme="majorEastAsia" w:hAnsi="Calibri" w:cs="Calibri"/>
          <w:color w:val="000000"/>
        </w:rPr>
        <w:t xml:space="preserve"> that globally there are 703 million people aged 65 or above, with projections indicating a rise to 1.5 billion by the year 2050. </w:t>
      </w:r>
      <w:r>
        <w:rPr>
          <w:rStyle w:val="eop"/>
          <w:rFonts w:ascii="Calibri" w:eastAsiaTheme="majorEastAsia" w:hAnsi="Calibri" w:cs="Calibri"/>
          <w:color w:val="000000"/>
        </w:rPr>
        <w:t> </w:t>
      </w:r>
    </w:p>
    <w:p w14:paraId="055F2C82" w14:textId="5C248010" w:rsidR="004B2495" w:rsidRDefault="004B2495" w:rsidP="004B2495">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color w:val="000000"/>
        </w:rPr>
        <w:t xml:space="preserve">As the population continues to age, the importance of having the skills to lead a balanced and harmonious life becomes increasingly evident. A key factor in </w:t>
      </w:r>
      <w:r w:rsidR="00464484">
        <w:rPr>
          <w:rStyle w:val="normaltextrun"/>
          <w:rFonts w:ascii="Calibri" w:eastAsiaTheme="majorEastAsia" w:hAnsi="Calibri" w:cs="Calibri"/>
          <w:color w:val="000000"/>
        </w:rPr>
        <w:t xml:space="preserve">maintaining </w:t>
      </w:r>
      <w:r>
        <w:rPr>
          <w:rStyle w:val="normaltextrun"/>
          <w:rFonts w:ascii="Calibri" w:eastAsiaTheme="majorEastAsia" w:hAnsi="Calibri" w:cs="Calibri"/>
          <w:color w:val="000000"/>
        </w:rPr>
        <w:t>a</w:t>
      </w:r>
      <w:r w:rsidR="00464484">
        <w:rPr>
          <w:rStyle w:val="normaltextrun"/>
          <w:rFonts w:ascii="Calibri" w:eastAsiaTheme="majorEastAsia" w:hAnsi="Calibri" w:cs="Calibri"/>
          <w:color w:val="000000"/>
        </w:rPr>
        <w:t>n active</w:t>
      </w:r>
      <w:r>
        <w:rPr>
          <w:rStyle w:val="normaltextrun"/>
          <w:rFonts w:ascii="Calibri" w:eastAsiaTheme="majorEastAsia" w:hAnsi="Calibri" w:cs="Calibri"/>
          <w:color w:val="000000"/>
        </w:rPr>
        <w:t xml:space="preserve"> life is engaging in activities that promote overall well-being. This concept </w:t>
      </w:r>
      <w:r w:rsidR="00464484">
        <w:rPr>
          <w:rStyle w:val="normaltextrun"/>
          <w:rFonts w:ascii="Calibri" w:eastAsiaTheme="majorEastAsia" w:hAnsi="Calibri" w:cs="Calibri"/>
          <w:color w:val="000000"/>
        </w:rPr>
        <w:t>aligns</w:t>
      </w:r>
      <w:r>
        <w:rPr>
          <w:rStyle w:val="normaltextrun"/>
          <w:rFonts w:ascii="Calibri" w:eastAsiaTheme="majorEastAsia" w:hAnsi="Calibri" w:cs="Calibri"/>
          <w:color w:val="000000"/>
        </w:rPr>
        <w:t xml:space="preserve"> with Havighurst's (1961) theory of activity, which suggests that older individuals can age gracefully by staying active in different pursuits and nurturing social relationships.  Numerous research inquiries conducted throughout the years have indicated that older adults who maintain strong social connections and engage in regular social interactions are less prone to cognitive decline compared to those who are less socially engaged (Barns et al., 2004). </w:t>
      </w:r>
      <w:r>
        <w:rPr>
          <w:rStyle w:val="eop"/>
          <w:rFonts w:ascii="Calibri" w:eastAsiaTheme="majorEastAsia" w:hAnsi="Calibri" w:cs="Calibri"/>
          <w:color w:val="000000"/>
        </w:rPr>
        <w:t> </w:t>
      </w:r>
    </w:p>
    <w:p w14:paraId="2F3B29E1" w14:textId="77777777" w:rsidR="004B2495" w:rsidRDefault="004B2495" w:rsidP="004B2495">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color w:val="000000"/>
        </w:rPr>
        <w:t>McPhee, et al. (2018) contend that despite its merits, this theory may not always offer adequate explanations, especially for individuals facing financial constraints or residing in disadvantaged communities, as well as they may experience limitations in their mobility, independence, and autonomy. Consequently, older person may encounter barriers to engaging in pleasurable activities or sustaining a healthy and active way of life. This could potentially result in the disengagement theory, leading to social withdrawal, feelings of loneliness, and a decline in cognitive functioning that can have a significant impact on their independence and general well-being. These challenges may include ongoing health problems, limitations in physical abilities, or decline in cognitive function. According to Age UK (2023), it is regrettable that approximately 1.6 million individuals who are 65 years old and above have unmet care and support requirements. Among this population, hundreds of thousands struggle with carrying out three or more Activities of Daily Living (ADLs) without adequate assistance. </w:t>
      </w:r>
      <w:r>
        <w:rPr>
          <w:rStyle w:val="eop"/>
          <w:rFonts w:ascii="Calibri" w:eastAsiaTheme="majorEastAsia" w:hAnsi="Calibri" w:cs="Calibri"/>
          <w:color w:val="000000"/>
        </w:rPr>
        <w:t> </w:t>
      </w:r>
    </w:p>
    <w:p w14:paraId="0BC26E7D" w14:textId="77777777" w:rsidR="004B2495" w:rsidRDefault="004B2495" w:rsidP="004B2495">
      <w:pPr>
        <w:pStyle w:val="paragraph"/>
        <w:spacing w:before="0" w:beforeAutospacing="0" w:after="0" w:afterAutospacing="0"/>
        <w:ind w:left="720"/>
        <w:textAlignment w:val="baseline"/>
        <w:rPr>
          <w:rFonts w:ascii="Segoe UI" w:hAnsi="Segoe UI" w:cs="Segoe UI"/>
          <w:sz w:val="18"/>
          <w:szCs w:val="18"/>
        </w:rPr>
      </w:pPr>
      <w:r>
        <w:rPr>
          <w:rStyle w:val="eop"/>
          <w:rFonts w:ascii="Calibri" w:eastAsiaTheme="majorEastAsia" w:hAnsi="Calibri" w:cs="Calibri"/>
        </w:rPr>
        <w:t> </w:t>
      </w:r>
    </w:p>
    <w:p w14:paraId="743CB227" w14:textId="77777777" w:rsidR="00AF02BC" w:rsidRDefault="00AF02BC"/>
    <w:p w14:paraId="0659896D" w14:textId="77777777" w:rsidR="004B2495" w:rsidRDefault="004B2495"/>
    <w:p w14:paraId="0F63D799" w14:textId="77777777" w:rsidR="004B2495" w:rsidRDefault="004B2495"/>
    <w:p w14:paraId="75A655E0" w14:textId="77777777" w:rsidR="004B2495" w:rsidRDefault="004B2495"/>
    <w:p w14:paraId="7BC52B52" w14:textId="77777777" w:rsidR="004B2495" w:rsidRDefault="004B2495"/>
    <w:p w14:paraId="05E61F8C" w14:textId="77777777" w:rsidR="004B2495" w:rsidRDefault="004B2495"/>
    <w:p w14:paraId="1D50E6B4" w14:textId="77777777" w:rsidR="004B2495" w:rsidRDefault="004B2495"/>
    <w:p w14:paraId="343B8AC7" w14:textId="77777777" w:rsidR="004B2495" w:rsidRDefault="004B2495"/>
    <w:p w14:paraId="4B9DB4DC" w14:textId="77777777" w:rsidR="00036D33" w:rsidRDefault="00036D33" w:rsidP="00036D3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According to Aging and Mobility (2019), a study conducted in 2018 by National Travel England revealed that individuals with disabilities and mobility limitations undertake 60% fewer trips on average compared to other adults. Furthermore, a report by the Future of Mobility indicated that 66% of elderly individuals are unable to access a hospital within a 30-minute time using public transportation. Additionally, in 2019, it was found that three-quarters of older adults who are interested in utilizing autonomous vehicles envision using them for non-essential purposes such as leisure activities, vacations, or visiting family. Asher et al. (2012) emphasized that a considerable number of pedestrians over the age of 65 struggle to cross the road in a timely manner at traffic lights. Moreover, the study revealed that 48% of individuals aged 80 and above encounter difficulties when traveling to their nearest supermarket, in contrast to approximately 20% of those aged between 60 and 69 years old. Moreover, the elderly population encountered an additional problem because of the COVID-19 pandemic. Both caregivers and care recipients had to grapple with the aftermath of the pandemic and the measures put in place to prevent the spread of the virus. The healthcare and caregiving services have been profoundly affected by the pandemic in various ways. Many individuals have encountered delays in receiving vital care, and unfortunately, these delays persist (Care Quality Commission, 2022). </w:t>
      </w:r>
      <w:r>
        <w:rPr>
          <w:rStyle w:val="eop"/>
          <w:rFonts w:ascii="Calibri" w:eastAsiaTheme="majorEastAsia" w:hAnsi="Calibri" w:cs="Calibri"/>
          <w:color w:val="000000"/>
        </w:rPr>
        <w:t> </w:t>
      </w:r>
    </w:p>
    <w:p w14:paraId="7C3032D6" w14:textId="2C033DE4" w:rsidR="00036D33" w:rsidRDefault="00036D33" w:rsidP="00036D3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While these medical advancements have undoubtedly improved the quality of life for many seniors, Dunn, Ewbank</w:t>
      </w:r>
      <w:r w:rsidR="00A919AD">
        <w:rPr>
          <w:rStyle w:val="normaltextrun"/>
          <w:rFonts w:ascii="Calibri" w:eastAsiaTheme="majorEastAsia" w:hAnsi="Calibri" w:cs="Calibri"/>
          <w:color w:val="000000"/>
        </w:rPr>
        <w:t>,</w:t>
      </w:r>
      <w:r>
        <w:rPr>
          <w:rStyle w:val="normaltextrun"/>
          <w:rFonts w:ascii="Calibri" w:eastAsiaTheme="majorEastAsia" w:hAnsi="Calibri" w:cs="Calibri"/>
          <w:color w:val="000000"/>
        </w:rPr>
        <w:t xml:space="preserve"> and </w:t>
      </w:r>
      <w:proofErr w:type="spellStart"/>
      <w:proofErr w:type="gramStart"/>
      <w:r>
        <w:rPr>
          <w:rStyle w:val="normaltextrun"/>
          <w:rFonts w:ascii="Calibri" w:eastAsiaTheme="majorEastAsia" w:hAnsi="Calibri" w:cs="Calibri"/>
          <w:color w:val="000000"/>
        </w:rPr>
        <w:t>Alderwich</w:t>
      </w:r>
      <w:proofErr w:type="spellEnd"/>
      <w:r>
        <w:rPr>
          <w:rStyle w:val="normaltextrun"/>
          <w:rFonts w:ascii="Calibri" w:eastAsiaTheme="majorEastAsia" w:hAnsi="Calibri" w:cs="Calibri"/>
          <w:color w:val="000000"/>
        </w:rPr>
        <w:t>(</w:t>
      </w:r>
      <w:proofErr w:type="gramEnd"/>
      <w:r>
        <w:rPr>
          <w:rStyle w:val="normaltextrun"/>
          <w:rFonts w:ascii="Calibri" w:eastAsiaTheme="majorEastAsia" w:hAnsi="Calibri" w:cs="Calibri"/>
          <w:color w:val="000000"/>
        </w:rPr>
        <w:t>2023) point out that they have also brought about a set of challenges and concerns for governments and individuals alike. </w:t>
      </w:r>
      <w:r>
        <w:rPr>
          <w:rStyle w:val="eop"/>
          <w:rFonts w:ascii="Calibri" w:eastAsiaTheme="majorEastAsia" w:hAnsi="Calibri" w:cs="Calibri"/>
          <w:color w:val="000000"/>
        </w:rPr>
        <w:t> </w:t>
      </w:r>
    </w:p>
    <w:p w14:paraId="601B308E" w14:textId="2F261A28" w:rsidR="00036D33" w:rsidRPr="003121BB" w:rsidRDefault="00036D33" w:rsidP="00036D33">
      <w:pPr>
        <w:pStyle w:val="paragraph"/>
        <w:spacing w:before="0" w:beforeAutospacing="0" w:after="0" w:afterAutospacing="0"/>
        <w:textAlignment w:val="baseline"/>
        <w:rPr>
          <w:rFonts w:ascii="Calibri" w:eastAsiaTheme="majorEastAsia" w:hAnsi="Calibri" w:cs="Calibri"/>
          <w:color w:val="000000"/>
        </w:rPr>
      </w:pPr>
      <w:r>
        <w:rPr>
          <w:rStyle w:val="normaltextrun"/>
          <w:rFonts w:ascii="Calibri" w:eastAsiaTheme="majorEastAsia" w:hAnsi="Calibri" w:cs="Calibri"/>
          <w:color w:val="000000"/>
        </w:rPr>
        <w:t>One of the primary concerns for governments is the strain on healthcare systems and resources. As the elderly population grows, there is an increased demand for specialized medical care, long-term care facilities, and support services</w:t>
      </w:r>
      <w:r w:rsidR="00A67571">
        <w:rPr>
          <w:rStyle w:val="normaltextrun"/>
          <w:rFonts w:ascii="Calibri" w:eastAsiaTheme="majorEastAsia" w:hAnsi="Calibri" w:cs="Calibri"/>
          <w:color w:val="000000"/>
        </w:rPr>
        <w:t>.</w:t>
      </w:r>
      <w:r w:rsidR="00643864">
        <w:rPr>
          <w:rStyle w:val="normaltextrun"/>
          <w:rFonts w:ascii="Calibri" w:eastAsiaTheme="majorEastAsia" w:hAnsi="Calibri" w:cs="Calibri"/>
          <w:color w:val="000000"/>
        </w:rPr>
        <w:t xml:space="preserve"> According to </w:t>
      </w:r>
      <w:r w:rsidR="003121BB">
        <w:rPr>
          <w:rStyle w:val="normaltextrun"/>
          <w:rFonts w:ascii="Calibri" w:eastAsiaTheme="majorEastAsia" w:hAnsi="Calibri" w:cs="Calibri"/>
          <w:color w:val="000000"/>
        </w:rPr>
        <w:t xml:space="preserve">a 2010 Department of Health report, the average expenditure for hospital and community health services provided to individuals aged 85 or older was approximately three times greater than the expenses incurred for those aged 65 to 74. </w:t>
      </w:r>
      <w:r>
        <w:rPr>
          <w:rStyle w:val="normaltextrun"/>
          <w:rFonts w:ascii="Calibri" w:eastAsiaTheme="majorEastAsia" w:hAnsi="Calibri" w:cs="Calibri"/>
          <w:color w:val="000000"/>
        </w:rPr>
        <w:t xml:space="preserve">An independent study </w:t>
      </w:r>
      <w:r w:rsidR="00902D0A">
        <w:rPr>
          <w:rStyle w:val="normaltextrun"/>
          <w:rFonts w:ascii="Calibri" w:eastAsiaTheme="majorEastAsia" w:hAnsi="Calibri" w:cs="Calibri"/>
          <w:color w:val="000000"/>
        </w:rPr>
        <w:t xml:space="preserve">by Age </w:t>
      </w:r>
      <w:proofErr w:type="gramStart"/>
      <w:r w:rsidR="00902D0A">
        <w:rPr>
          <w:rStyle w:val="normaltextrun"/>
          <w:rFonts w:ascii="Calibri" w:eastAsiaTheme="majorEastAsia" w:hAnsi="Calibri" w:cs="Calibri"/>
          <w:color w:val="000000"/>
        </w:rPr>
        <w:t>UK</w:t>
      </w:r>
      <w:r w:rsidR="003A5A50">
        <w:rPr>
          <w:rStyle w:val="normaltextrun"/>
          <w:rFonts w:ascii="Calibri" w:eastAsiaTheme="majorEastAsia" w:hAnsi="Calibri" w:cs="Calibri"/>
          <w:color w:val="000000"/>
        </w:rPr>
        <w:t>(</w:t>
      </w:r>
      <w:proofErr w:type="gramEnd"/>
      <w:r w:rsidR="003A5A50">
        <w:rPr>
          <w:rStyle w:val="normaltextrun"/>
          <w:rFonts w:ascii="Calibri" w:eastAsiaTheme="majorEastAsia" w:hAnsi="Calibri" w:cs="Calibri"/>
          <w:color w:val="000000"/>
        </w:rPr>
        <w:t>2022)</w:t>
      </w:r>
      <w:r w:rsidR="00902D0A">
        <w:rPr>
          <w:rStyle w:val="normaltextrun"/>
          <w:rFonts w:ascii="Calibri" w:eastAsiaTheme="majorEastAsia" w:hAnsi="Calibri" w:cs="Calibri"/>
          <w:color w:val="000000"/>
        </w:rPr>
        <w:t xml:space="preserve"> in October 2022 found that around 90% of patients had engaged with the NHS somehow</w:t>
      </w:r>
      <w:r>
        <w:rPr>
          <w:rStyle w:val="normaltextrun"/>
          <w:rFonts w:ascii="Calibri" w:eastAsiaTheme="majorEastAsia" w:hAnsi="Calibri" w:cs="Calibri"/>
          <w:color w:val="000000"/>
        </w:rPr>
        <w:t>. </w:t>
      </w:r>
      <w:r>
        <w:rPr>
          <w:rStyle w:val="eop"/>
          <w:rFonts w:ascii="Calibri" w:eastAsiaTheme="majorEastAsia" w:hAnsi="Calibri" w:cs="Calibri"/>
          <w:color w:val="000000"/>
        </w:rPr>
        <w:t> </w:t>
      </w:r>
    </w:p>
    <w:p w14:paraId="6F4AB943" w14:textId="67E4DDA7" w:rsidR="00621E98" w:rsidRDefault="00036D33" w:rsidP="00621E98">
      <w:pPr>
        <w:pStyle w:val="paragraph"/>
        <w:spacing w:before="0" w:beforeAutospacing="0" w:after="0" w:afterAutospacing="0"/>
        <w:textAlignment w:val="baseline"/>
        <w:rPr>
          <w:rStyle w:val="normaltextrun"/>
          <w:rFonts w:ascii="Calibri" w:eastAsiaTheme="majorEastAsia" w:hAnsi="Calibri" w:cs="Calibri"/>
          <w:color w:val="000000"/>
          <w:shd w:val="clear" w:color="auto" w:fill="FFFFFF"/>
        </w:rPr>
      </w:pPr>
      <w:r>
        <w:rPr>
          <w:rStyle w:val="normaltextrun"/>
          <w:rFonts w:ascii="Calibri" w:eastAsiaTheme="majorEastAsia" w:hAnsi="Calibri" w:cs="Calibri"/>
          <w:color w:val="000000"/>
          <w:shd w:val="clear" w:color="auto" w:fill="FFFFFF"/>
        </w:rPr>
        <w:t>The research also showed</w:t>
      </w:r>
      <w:r w:rsidR="00621E98">
        <w:rPr>
          <w:rStyle w:val="normaltextrun"/>
          <w:rFonts w:ascii="Calibri" w:eastAsiaTheme="majorEastAsia" w:hAnsi="Calibri" w:cs="Calibri"/>
          <w:color w:val="000000"/>
          <w:shd w:val="clear" w:color="auto" w:fill="FFFFFF"/>
        </w:rPr>
        <w:t xml:space="preserve"> that 45% of the senior population had apprehension about their acces</w:t>
      </w:r>
      <w:r w:rsidR="00902D0A">
        <w:rPr>
          <w:rStyle w:val="normaltextrun"/>
          <w:rFonts w:ascii="Calibri" w:eastAsiaTheme="majorEastAsia" w:hAnsi="Calibri" w:cs="Calibri"/>
          <w:color w:val="000000"/>
          <w:shd w:val="clear" w:color="auto" w:fill="FFFFFF"/>
        </w:rPr>
        <w:t xml:space="preserve">s to their General </w:t>
      </w:r>
      <w:r w:rsidR="00412C3D">
        <w:rPr>
          <w:rStyle w:val="normaltextrun"/>
          <w:rFonts w:ascii="Calibri" w:eastAsiaTheme="majorEastAsia" w:hAnsi="Calibri" w:cs="Calibri"/>
          <w:color w:val="000000"/>
          <w:shd w:val="clear" w:color="auto" w:fill="FFFFFF"/>
        </w:rPr>
        <w:t>Practitioner (</w:t>
      </w:r>
      <w:r w:rsidR="00902D0A">
        <w:rPr>
          <w:rStyle w:val="normaltextrun"/>
          <w:rFonts w:ascii="Calibri" w:eastAsiaTheme="majorEastAsia" w:hAnsi="Calibri" w:cs="Calibri"/>
          <w:color w:val="000000"/>
          <w:shd w:val="clear" w:color="auto" w:fill="FFFFFF"/>
        </w:rPr>
        <w:t>GP</w:t>
      </w:r>
      <w:r w:rsidR="00412C3D">
        <w:rPr>
          <w:rStyle w:val="normaltextrun"/>
          <w:rFonts w:ascii="Calibri" w:eastAsiaTheme="majorEastAsia" w:hAnsi="Calibri" w:cs="Calibri"/>
          <w:color w:val="000000"/>
          <w:shd w:val="clear" w:color="auto" w:fill="FFFFFF"/>
        </w:rPr>
        <w:t>).</w:t>
      </w:r>
    </w:p>
    <w:p w14:paraId="593293F5" w14:textId="5799CDED" w:rsidR="00036D33" w:rsidRDefault="00036D33" w:rsidP="00902D0A">
      <w:pPr>
        <w:pStyle w:val="paragraph"/>
        <w:spacing w:before="0" w:beforeAutospacing="0" w:after="0" w:afterAutospacing="0"/>
        <w:textAlignment w:val="baseline"/>
      </w:pPr>
      <w:r>
        <w:rPr>
          <w:rStyle w:val="normaltextrun"/>
          <w:rFonts w:ascii="Calibri" w:eastAsiaTheme="majorEastAsia" w:hAnsi="Calibri" w:cs="Calibri"/>
          <w:color w:val="000000"/>
          <w:shd w:val="clear" w:color="auto" w:fill="FFFFFF"/>
        </w:rPr>
        <w:t xml:space="preserve"> </w:t>
      </w:r>
      <w:r w:rsidR="00621E98">
        <w:rPr>
          <w:rFonts w:ascii="Arial" w:hAnsi="Arial" w:cs="Arial"/>
          <w:color w:val="000000"/>
          <w:sz w:val="27"/>
          <w:szCs w:val="27"/>
          <w:shd w:val="clear" w:color="auto" w:fill="F4F5F6"/>
        </w:rPr>
        <w:t xml:space="preserve"> </w:t>
      </w:r>
    </w:p>
    <w:p w14:paraId="430D2033" w14:textId="77777777" w:rsidR="00CD48B4" w:rsidRDefault="00CD48B4"/>
    <w:p w14:paraId="2FEA27F2" w14:textId="77777777" w:rsidR="00CD48B4" w:rsidRDefault="00CD48B4"/>
    <w:p w14:paraId="5B26FA7A" w14:textId="77777777" w:rsidR="00CD48B4" w:rsidRDefault="00CD48B4"/>
    <w:p w14:paraId="739D4EED" w14:textId="77777777" w:rsidR="00CD48B4" w:rsidRDefault="00CD48B4"/>
    <w:p w14:paraId="46804644" w14:textId="77777777" w:rsidR="00CD48B4" w:rsidRDefault="00CD48B4"/>
    <w:p w14:paraId="23A99D78" w14:textId="77777777" w:rsidR="00CD48B4" w:rsidRDefault="00CD48B4"/>
    <w:p w14:paraId="5F2D5D3E" w14:textId="77777777" w:rsidR="00CD48B4" w:rsidRDefault="00CD48B4"/>
    <w:p w14:paraId="6452050F" w14:textId="77777777" w:rsidR="00036D33" w:rsidRDefault="00036D33"/>
    <w:p w14:paraId="3FC78C59" w14:textId="77777777" w:rsidR="00036D33" w:rsidRDefault="00036D33"/>
    <w:p w14:paraId="58FB33D5" w14:textId="77777777" w:rsidR="00FF1C66" w:rsidRDefault="00FF1C66" w:rsidP="00882BC0">
      <w:pPr>
        <w:pStyle w:val="paragraph"/>
        <w:spacing w:before="0" w:beforeAutospacing="0" w:after="0" w:afterAutospacing="0"/>
        <w:textAlignment w:val="baseline"/>
        <w:rPr>
          <w:rStyle w:val="normaltextrun"/>
          <w:rFonts w:ascii="Calibri" w:eastAsiaTheme="majorEastAsia" w:hAnsi="Calibri" w:cs="Calibri"/>
          <w:color w:val="000000"/>
        </w:rPr>
      </w:pPr>
    </w:p>
    <w:p w14:paraId="646DCDAF" w14:textId="77777777" w:rsidR="00FF1C66" w:rsidRDefault="00FF1C66" w:rsidP="00882BC0">
      <w:pPr>
        <w:pStyle w:val="paragraph"/>
        <w:spacing w:before="0" w:beforeAutospacing="0" w:after="0" w:afterAutospacing="0"/>
        <w:textAlignment w:val="baseline"/>
        <w:rPr>
          <w:rStyle w:val="normaltextrun"/>
          <w:rFonts w:ascii="Calibri" w:eastAsiaTheme="majorEastAsia" w:hAnsi="Calibri" w:cs="Calibri"/>
          <w:color w:val="000000"/>
        </w:rPr>
      </w:pPr>
    </w:p>
    <w:p w14:paraId="41C112A0" w14:textId="67D7FF66" w:rsidR="00882BC0" w:rsidRDefault="00882BC0" w:rsidP="00882BC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The current situation puts pressure on healthcare budgets, as reported by Prendergast (2023), which is why the government bears the costs.  </w:t>
      </w:r>
      <w:r>
        <w:rPr>
          <w:rStyle w:val="eop"/>
          <w:rFonts w:ascii="Calibri" w:eastAsiaTheme="majorEastAsia" w:hAnsi="Calibri" w:cs="Calibri"/>
          <w:color w:val="000000"/>
        </w:rPr>
        <w:t> </w:t>
      </w:r>
    </w:p>
    <w:p w14:paraId="6ECACDA2" w14:textId="3867CCD0" w:rsidR="000F19B0" w:rsidRPr="000F19B0" w:rsidRDefault="00CD29F0" w:rsidP="00FC6A6F">
      <w:pPr>
        <w:pStyle w:val="paragraph"/>
        <w:numPr>
          <w:ilvl w:val="0"/>
          <w:numId w:val="2"/>
        </w:numPr>
        <w:spacing w:before="0" w:beforeAutospacing="0" w:after="0" w:afterAutospacing="0"/>
        <w:ind w:left="1800" w:firstLine="360"/>
        <w:textAlignment w:val="baseline"/>
        <w:rPr>
          <w:rFonts w:ascii="Calibri" w:hAnsi="Calibri" w:cs="Calibri"/>
        </w:rPr>
      </w:pPr>
      <w:r w:rsidRPr="000F19B0">
        <w:rPr>
          <w:rStyle w:val="normaltextrun"/>
          <w:rFonts w:ascii="Calibri" w:eastAsiaTheme="majorEastAsia" w:hAnsi="Calibri" w:cs="Calibri"/>
          <w:color w:val="000000"/>
        </w:rPr>
        <w:t>The amount spent on healthcare in 2021 was £280.7 billion, with an average of £4,188 per person.</w:t>
      </w:r>
      <w:r w:rsidR="000F19B0">
        <w:rPr>
          <w:rStyle w:val="normaltextrun"/>
          <w:rFonts w:ascii="Calibri" w:eastAsiaTheme="majorEastAsia" w:hAnsi="Calibri" w:cs="Calibri"/>
          <w:color w:val="000000"/>
        </w:rPr>
        <w:t xml:space="preserve"> During the timeframe of 2020-2021, healthcare costs rose nominally by 9.4%, while the real increase was 9.7%.</w:t>
      </w:r>
      <w:r w:rsidRPr="000F19B0">
        <w:rPr>
          <w:rStyle w:val="normaltextrun"/>
          <w:rFonts w:ascii="Calibri" w:eastAsiaTheme="majorEastAsia" w:hAnsi="Calibri" w:cs="Calibri"/>
          <w:color w:val="000000"/>
        </w:rPr>
        <w:t xml:space="preserve"> </w:t>
      </w:r>
    </w:p>
    <w:p w14:paraId="04C900CF" w14:textId="53A937FA" w:rsidR="00882BC0" w:rsidRDefault="00882BC0" w:rsidP="00882BC0">
      <w:pPr>
        <w:pStyle w:val="paragraph"/>
        <w:numPr>
          <w:ilvl w:val="0"/>
          <w:numId w:val="2"/>
        </w:numPr>
        <w:spacing w:before="0" w:beforeAutospacing="0" w:after="0" w:afterAutospacing="0"/>
        <w:ind w:left="1800" w:firstLine="360"/>
        <w:textAlignment w:val="baseline"/>
        <w:rPr>
          <w:rFonts w:ascii="Calibri" w:hAnsi="Calibri" w:cs="Calibri"/>
        </w:rPr>
      </w:pPr>
      <w:r>
        <w:rPr>
          <w:rStyle w:val="normaltextrun"/>
          <w:rFonts w:ascii="Calibri" w:eastAsiaTheme="majorEastAsia" w:hAnsi="Calibri" w:cs="Calibri"/>
          <w:color w:val="000000"/>
        </w:rPr>
        <w:t>Spending on preventive care reached £35.1 billion in 2021, showing a significant increase compared to the previous year due to the government's response to the COVID-19 pandemic. </w:t>
      </w:r>
      <w:r>
        <w:rPr>
          <w:rStyle w:val="eop"/>
          <w:rFonts w:ascii="Calibri" w:eastAsiaTheme="majorEastAsia" w:hAnsi="Calibri" w:cs="Calibri"/>
          <w:color w:val="000000"/>
        </w:rPr>
        <w:t> </w:t>
      </w:r>
    </w:p>
    <w:p w14:paraId="2E30A7E4" w14:textId="72A60E3D" w:rsidR="00882BC0" w:rsidRDefault="00882BC0" w:rsidP="00882BC0">
      <w:pPr>
        <w:pStyle w:val="paragraph"/>
        <w:numPr>
          <w:ilvl w:val="0"/>
          <w:numId w:val="2"/>
        </w:numPr>
        <w:spacing w:before="0" w:beforeAutospacing="0" w:after="0" w:afterAutospacing="0"/>
        <w:ind w:left="1800" w:firstLine="360"/>
        <w:textAlignment w:val="baseline"/>
        <w:rPr>
          <w:rFonts w:ascii="Calibri" w:hAnsi="Calibri" w:cs="Calibri"/>
        </w:rPr>
      </w:pPr>
      <w:r>
        <w:rPr>
          <w:rStyle w:val="normaltextrun"/>
          <w:rFonts w:ascii="Calibri" w:eastAsiaTheme="majorEastAsia" w:hAnsi="Calibri" w:cs="Calibri"/>
          <w:color w:val="000000"/>
        </w:rPr>
        <w:t> Total</w:t>
      </w:r>
      <w:r w:rsidR="004158CE">
        <w:rPr>
          <w:rStyle w:val="normaltextrun"/>
          <w:rFonts w:ascii="Calibri" w:eastAsiaTheme="majorEastAsia" w:hAnsi="Calibri" w:cs="Calibri"/>
          <w:color w:val="000000"/>
        </w:rPr>
        <w:t xml:space="preserve"> spending on pharmaceuticals</w:t>
      </w:r>
      <w:r w:rsidR="00731C7B">
        <w:rPr>
          <w:rStyle w:val="normaltextrun"/>
          <w:rFonts w:ascii="Calibri" w:eastAsiaTheme="majorEastAsia" w:hAnsi="Calibri" w:cs="Calibri"/>
          <w:color w:val="000000"/>
        </w:rPr>
        <w:t xml:space="preserve"> in 2021</w:t>
      </w:r>
      <w:r>
        <w:rPr>
          <w:rStyle w:val="normaltextrun"/>
          <w:rFonts w:ascii="Calibri" w:eastAsiaTheme="majorEastAsia" w:hAnsi="Calibri" w:cs="Calibri"/>
          <w:color w:val="000000"/>
        </w:rPr>
        <w:t xml:space="preserve"> in the UK was £39.6 billion, representing 14.1% of current healthcare </w:t>
      </w:r>
      <w:r w:rsidR="000F19B0">
        <w:rPr>
          <w:rStyle w:val="normaltextrun"/>
          <w:rFonts w:ascii="Calibri" w:eastAsiaTheme="majorEastAsia" w:hAnsi="Calibri" w:cs="Calibri"/>
          <w:color w:val="000000"/>
        </w:rPr>
        <w:t>costs</w:t>
      </w:r>
      <w:r>
        <w:rPr>
          <w:rStyle w:val="normaltextrun"/>
          <w:rFonts w:ascii="Calibri" w:eastAsiaTheme="majorEastAsia" w:hAnsi="Calibri" w:cs="Calibri"/>
          <w:color w:val="000000"/>
        </w:rPr>
        <w:t xml:space="preserve">, including the final use of medications </w:t>
      </w:r>
      <w:r w:rsidR="000F19B0">
        <w:rPr>
          <w:rStyle w:val="normaltextrun"/>
          <w:rFonts w:ascii="Calibri" w:eastAsiaTheme="majorEastAsia" w:hAnsi="Calibri" w:cs="Calibri"/>
          <w:color w:val="000000"/>
        </w:rPr>
        <w:t>and</w:t>
      </w:r>
      <w:r>
        <w:rPr>
          <w:rStyle w:val="normaltextrun"/>
          <w:rFonts w:ascii="Calibri" w:eastAsiaTheme="majorEastAsia" w:hAnsi="Calibri" w:cs="Calibri"/>
          <w:color w:val="000000"/>
        </w:rPr>
        <w:t xml:space="preserve"> their use in broader treatments. </w:t>
      </w:r>
      <w:r>
        <w:rPr>
          <w:rStyle w:val="eop"/>
          <w:rFonts w:ascii="Calibri" w:eastAsiaTheme="majorEastAsia" w:hAnsi="Calibri" w:cs="Calibri"/>
          <w:color w:val="000000"/>
        </w:rPr>
        <w:t> </w:t>
      </w:r>
    </w:p>
    <w:p w14:paraId="1BA5B37E" w14:textId="5322F5F7" w:rsidR="00882BC0" w:rsidRDefault="00882BC0" w:rsidP="00882BC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Additionally, the government has set aside 123.8 billion for pensions in 2022/2023, representing a 14.8 billion increase from the previous year. As a result, governments will need to </w:t>
      </w:r>
      <w:r w:rsidR="0003238F">
        <w:rPr>
          <w:rStyle w:val="normaltextrun"/>
          <w:rFonts w:ascii="Calibri" w:eastAsiaTheme="majorEastAsia" w:hAnsi="Calibri" w:cs="Calibri"/>
          <w:color w:val="000000"/>
        </w:rPr>
        <w:t>distribu</w:t>
      </w:r>
      <w:r w:rsidR="00660A43">
        <w:rPr>
          <w:rStyle w:val="normaltextrun"/>
          <w:rFonts w:ascii="Calibri" w:eastAsiaTheme="majorEastAsia" w:hAnsi="Calibri" w:cs="Calibri"/>
          <w:color w:val="000000"/>
        </w:rPr>
        <w:t>te</w:t>
      </w:r>
      <w:r>
        <w:rPr>
          <w:rStyle w:val="normaltextrun"/>
          <w:rFonts w:ascii="Calibri" w:eastAsiaTheme="majorEastAsia" w:hAnsi="Calibri" w:cs="Calibri"/>
          <w:color w:val="000000"/>
        </w:rPr>
        <w:t xml:space="preserve"> more resources to </w:t>
      </w:r>
      <w:r w:rsidR="00197FC1">
        <w:rPr>
          <w:rStyle w:val="normaltextrun"/>
          <w:rFonts w:ascii="Calibri" w:eastAsiaTheme="majorEastAsia" w:hAnsi="Calibri" w:cs="Calibri"/>
          <w:color w:val="000000"/>
        </w:rPr>
        <w:t>cope with</w:t>
      </w:r>
      <w:r>
        <w:rPr>
          <w:rStyle w:val="normaltextrun"/>
          <w:rFonts w:ascii="Calibri" w:eastAsiaTheme="majorEastAsia" w:hAnsi="Calibri" w:cs="Calibri"/>
          <w:color w:val="000000"/>
        </w:rPr>
        <w:t xml:space="preserve"> the increasing needs of the </w:t>
      </w:r>
      <w:r w:rsidR="005700F4">
        <w:rPr>
          <w:rStyle w:val="normaltextrun"/>
          <w:rFonts w:ascii="Calibri" w:eastAsiaTheme="majorEastAsia" w:hAnsi="Calibri" w:cs="Calibri"/>
          <w:color w:val="000000"/>
        </w:rPr>
        <w:t>older</w:t>
      </w:r>
      <w:r>
        <w:rPr>
          <w:rStyle w:val="normaltextrun"/>
          <w:rFonts w:ascii="Calibri" w:eastAsiaTheme="majorEastAsia" w:hAnsi="Calibri" w:cs="Calibri"/>
          <w:color w:val="000000"/>
        </w:rPr>
        <w:t xml:space="preserve"> population in the future (Choi et al., 2024). </w:t>
      </w:r>
      <w:r>
        <w:rPr>
          <w:rStyle w:val="eop"/>
          <w:rFonts w:ascii="Calibri" w:eastAsiaTheme="majorEastAsia" w:hAnsi="Calibri" w:cs="Calibri"/>
          <w:color w:val="000000"/>
        </w:rPr>
        <w:t> </w:t>
      </w:r>
    </w:p>
    <w:p w14:paraId="3EE39E33" w14:textId="18CB7274" w:rsidR="00882BC0" w:rsidRDefault="00882BC0" w:rsidP="00882BC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As more individuals retire, there is also a decrease in the workforce, which could lead to shortages and reduced productivity. </w:t>
      </w:r>
      <w:r w:rsidR="00B02594">
        <w:rPr>
          <w:rStyle w:val="normaltextrun"/>
          <w:rFonts w:ascii="Calibri" w:eastAsiaTheme="majorEastAsia" w:hAnsi="Calibri" w:cs="Calibri"/>
          <w:color w:val="000000"/>
        </w:rPr>
        <w:t>The World Health Organization (WHO, 2022</w:t>
      </w:r>
      <w:r w:rsidR="000F19B0">
        <w:rPr>
          <w:rStyle w:val="normaltextrun"/>
          <w:rFonts w:ascii="Calibri" w:eastAsiaTheme="majorEastAsia" w:hAnsi="Calibri" w:cs="Calibri"/>
          <w:color w:val="000000"/>
        </w:rPr>
        <w:t>mentions that</w:t>
      </w:r>
      <w:r>
        <w:rPr>
          <w:rStyle w:val="normaltextrun"/>
          <w:rFonts w:ascii="Calibri" w:eastAsiaTheme="majorEastAsia" w:hAnsi="Calibri" w:cs="Calibri"/>
          <w:color w:val="000000"/>
        </w:rPr>
        <w:t xml:space="preserve"> another crucial aspect to consider regarding elderly people is how they are perceived by society and themselves, as this can influence their future and how they live. Therefore, WHO is working to promote a positive image of aging and to encourage respect and support for the elderly</w:t>
      </w:r>
      <w:r w:rsidR="004057DB">
        <w:rPr>
          <w:rStyle w:val="normaltextrun"/>
          <w:rFonts w:ascii="Calibri" w:eastAsiaTheme="majorEastAsia" w:hAnsi="Calibri" w:cs="Calibri"/>
          <w:color w:val="000000"/>
        </w:rPr>
        <w:t>, this</w:t>
      </w:r>
      <w:r>
        <w:rPr>
          <w:rStyle w:val="normaltextrun"/>
          <w:rFonts w:ascii="Calibri" w:eastAsiaTheme="majorEastAsia" w:hAnsi="Calibri" w:cs="Calibri"/>
          <w:color w:val="000000"/>
        </w:rPr>
        <w:t xml:space="preserve"> global initiative aims to bring together different actors to implement actions that promote longer and healthier lives in the next decade. </w:t>
      </w:r>
      <w:r>
        <w:rPr>
          <w:rStyle w:val="eop"/>
          <w:rFonts w:ascii="Calibri" w:eastAsiaTheme="majorEastAsia" w:hAnsi="Calibri" w:cs="Calibri"/>
          <w:color w:val="000000"/>
        </w:rPr>
        <w:t> </w:t>
      </w:r>
    </w:p>
    <w:p w14:paraId="3D38D18F" w14:textId="7F800ECD" w:rsidR="00882BC0" w:rsidRDefault="00882BC0" w:rsidP="00882BC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In England and Wales, various strategies are in place to enhance the social lives of older individuals. For instance, the Age Friendly Wales strategy focuses on promoting well-being and creating age-friendly communities that offer support to older people. Additionally, the Opportunities for Learning and Employment strategy encourages older individuals to stay updated with </w:t>
      </w:r>
      <w:r w:rsidR="000F19B0">
        <w:rPr>
          <w:rStyle w:val="normaltextrun"/>
          <w:rFonts w:ascii="Calibri" w:eastAsiaTheme="majorEastAsia" w:hAnsi="Calibri" w:cs="Calibri"/>
          <w:color w:val="000000"/>
        </w:rPr>
        <w:t>societal changes</w:t>
      </w:r>
      <w:r>
        <w:rPr>
          <w:rStyle w:val="normaltextrun"/>
          <w:rFonts w:ascii="Calibri" w:eastAsiaTheme="majorEastAsia" w:hAnsi="Calibri" w:cs="Calibri"/>
          <w:color w:val="000000"/>
        </w:rPr>
        <w:t>. The Living Longer, Living Better campaign aims to promote the values of older individuals and address issues related to discrimination against them. Another initiative, the Age UK campaign, operates across all four nations of the UK, providing services that improve the quality of life and offer essential support to older individuals (Welsh Government, 2021; Age UK, 2018). </w:t>
      </w:r>
      <w:r>
        <w:rPr>
          <w:rStyle w:val="eop"/>
          <w:rFonts w:ascii="Calibri" w:eastAsiaTheme="majorEastAsia" w:hAnsi="Calibri" w:cs="Calibri"/>
          <w:color w:val="000000"/>
        </w:rPr>
        <w:t> </w:t>
      </w:r>
    </w:p>
    <w:p w14:paraId="47CC3C48" w14:textId="77777777" w:rsidR="00882BC0" w:rsidRDefault="00882BC0" w:rsidP="00882BC0">
      <w:pPr>
        <w:pStyle w:val="paragraph"/>
        <w:spacing w:before="0" w:beforeAutospacing="0" w:after="0" w:afterAutospacing="0"/>
        <w:ind w:left="720"/>
        <w:textAlignment w:val="baseline"/>
        <w:rPr>
          <w:rFonts w:ascii="Segoe UI" w:hAnsi="Segoe UI" w:cs="Segoe UI"/>
          <w:sz w:val="18"/>
          <w:szCs w:val="18"/>
        </w:rPr>
      </w:pPr>
      <w:r>
        <w:rPr>
          <w:rStyle w:val="eop"/>
          <w:rFonts w:ascii="Calibri" w:eastAsiaTheme="majorEastAsia" w:hAnsi="Calibri" w:cs="Calibri"/>
        </w:rPr>
        <w:t> </w:t>
      </w:r>
    </w:p>
    <w:p w14:paraId="01316E20" w14:textId="77777777" w:rsidR="00882BC0" w:rsidRDefault="00882BC0" w:rsidP="00882BC0">
      <w:pPr>
        <w:pStyle w:val="paragraph"/>
        <w:spacing w:before="0" w:beforeAutospacing="0" w:after="0" w:afterAutospacing="0"/>
        <w:ind w:left="720"/>
        <w:textAlignment w:val="baseline"/>
        <w:rPr>
          <w:rFonts w:ascii="Segoe UI" w:hAnsi="Segoe UI" w:cs="Segoe UI"/>
          <w:sz w:val="18"/>
          <w:szCs w:val="18"/>
        </w:rPr>
      </w:pPr>
      <w:r>
        <w:rPr>
          <w:rStyle w:val="eop"/>
          <w:rFonts w:ascii="Calibri" w:eastAsiaTheme="majorEastAsia" w:hAnsi="Calibri" w:cs="Calibri"/>
        </w:rPr>
        <w:t> </w:t>
      </w:r>
    </w:p>
    <w:p w14:paraId="605A7E8A" w14:textId="77777777" w:rsidR="00882BC0" w:rsidRDefault="00882BC0" w:rsidP="00882BC0">
      <w:pPr>
        <w:pStyle w:val="paragraph"/>
        <w:spacing w:before="0" w:beforeAutospacing="0" w:after="0" w:afterAutospacing="0"/>
        <w:ind w:left="720"/>
        <w:textAlignment w:val="baseline"/>
        <w:rPr>
          <w:rFonts w:ascii="Segoe UI" w:hAnsi="Segoe UI" w:cs="Segoe UI"/>
          <w:sz w:val="18"/>
          <w:szCs w:val="18"/>
        </w:rPr>
      </w:pPr>
      <w:r>
        <w:rPr>
          <w:rStyle w:val="eop"/>
          <w:rFonts w:ascii="Calibri" w:eastAsiaTheme="majorEastAsia" w:hAnsi="Calibri" w:cs="Calibri"/>
        </w:rPr>
        <w:t> </w:t>
      </w:r>
    </w:p>
    <w:p w14:paraId="0AB567D4" w14:textId="77777777" w:rsidR="00882BC0" w:rsidRDefault="00882BC0" w:rsidP="00882BC0">
      <w:pPr>
        <w:pStyle w:val="paragraph"/>
        <w:spacing w:before="0" w:beforeAutospacing="0" w:after="0" w:afterAutospacing="0"/>
        <w:ind w:left="720"/>
        <w:textAlignment w:val="baseline"/>
        <w:rPr>
          <w:rFonts w:ascii="Segoe UI" w:hAnsi="Segoe UI" w:cs="Segoe UI"/>
          <w:sz w:val="18"/>
          <w:szCs w:val="18"/>
        </w:rPr>
      </w:pPr>
      <w:r>
        <w:rPr>
          <w:rStyle w:val="eop"/>
          <w:rFonts w:ascii="Calibri" w:eastAsiaTheme="majorEastAsia" w:hAnsi="Calibri" w:cs="Calibri"/>
        </w:rPr>
        <w:t> </w:t>
      </w:r>
    </w:p>
    <w:p w14:paraId="6C5CD9F9" w14:textId="77777777" w:rsidR="00882BC0" w:rsidRDefault="00882BC0" w:rsidP="00882BC0">
      <w:pPr>
        <w:pStyle w:val="paragraph"/>
        <w:spacing w:before="0" w:beforeAutospacing="0" w:after="0" w:afterAutospacing="0"/>
        <w:ind w:left="720"/>
        <w:textAlignment w:val="baseline"/>
        <w:rPr>
          <w:rFonts w:ascii="Segoe UI" w:hAnsi="Segoe UI" w:cs="Segoe UI"/>
          <w:sz w:val="18"/>
          <w:szCs w:val="18"/>
        </w:rPr>
      </w:pPr>
      <w:r>
        <w:rPr>
          <w:rStyle w:val="eop"/>
          <w:rFonts w:ascii="Calibri" w:eastAsiaTheme="majorEastAsia" w:hAnsi="Calibri" w:cs="Calibri"/>
        </w:rPr>
        <w:t> </w:t>
      </w:r>
    </w:p>
    <w:p w14:paraId="32945094" w14:textId="77777777" w:rsidR="00036D33" w:rsidRDefault="00036D33"/>
    <w:p w14:paraId="75366911" w14:textId="77777777" w:rsidR="001158D2" w:rsidRDefault="001158D2"/>
    <w:p w14:paraId="04917B43" w14:textId="77777777" w:rsidR="00026B1E" w:rsidRDefault="00026B1E">
      <w:pPr>
        <w:rPr>
          <w:rStyle w:val="normaltextrun"/>
          <w:rFonts w:ascii="Calibri" w:hAnsi="Calibri" w:cs="Calibri"/>
          <w:color w:val="000000"/>
          <w:shd w:val="clear" w:color="auto" w:fill="FFFFFF"/>
        </w:rPr>
      </w:pPr>
    </w:p>
    <w:p w14:paraId="15490251" w14:textId="77777777" w:rsidR="00026B1E" w:rsidRDefault="00026B1E">
      <w:pPr>
        <w:rPr>
          <w:rStyle w:val="normaltextrun"/>
          <w:rFonts w:ascii="Calibri" w:hAnsi="Calibri" w:cs="Calibri"/>
          <w:color w:val="000000"/>
          <w:shd w:val="clear" w:color="auto" w:fill="FFFFFF"/>
        </w:rPr>
      </w:pPr>
    </w:p>
    <w:p w14:paraId="3F2D0F6D" w14:textId="77777777" w:rsidR="00026B1E" w:rsidRDefault="00026B1E">
      <w:pPr>
        <w:rPr>
          <w:rStyle w:val="normaltextrun"/>
          <w:rFonts w:ascii="Calibri" w:hAnsi="Calibri" w:cs="Calibri"/>
          <w:color w:val="000000"/>
          <w:shd w:val="clear" w:color="auto" w:fill="FFFFFF"/>
        </w:rPr>
      </w:pPr>
    </w:p>
    <w:p w14:paraId="7ECF0E22" w14:textId="77777777" w:rsidR="00FF1C66" w:rsidRDefault="00FF1C66">
      <w:pPr>
        <w:rPr>
          <w:rStyle w:val="normaltextrun"/>
          <w:rFonts w:ascii="Calibri" w:hAnsi="Calibri" w:cs="Calibri"/>
          <w:color w:val="000000"/>
          <w:shd w:val="clear" w:color="auto" w:fill="FFFFFF"/>
        </w:rPr>
      </w:pPr>
    </w:p>
    <w:p w14:paraId="7ED3DED9" w14:textId="77777777" w:rsidR="00FF1C66" w:rsidRDefault="00FF1C66">
      <w:pPr>
        <w:rPr>
          <w:rStyle w:val="normaltextrun"/>
          <w:rFonts w:ascii="Calibri" w:hAnsi="Calibri" w:cs="Calibri"/>
          <w:color w:val="000000"/>
          <w:shd w:val="clear" w:color="auto" w:fill="FFFFFF"/>
        </w:rPr>
      </w:pPr>
    </w:p>
    <w:p w14:paraId="7F6BDBB1" w14:textId="77777777" w:rsidR="00FF1C66" w:rsidRDefault="00FF1C66">
      <w:pPr>
        <w:rPr>
          <w:rStyle w:val="normaltextrun"/>
          <w:rFonts w:ascii="Calibri" w:hAnsi="Calibri" w:cs="Calibri"/>
          <w:color w:val="000000"/>
          <w:shd w:val="clear" w:color="auto" w:fill="FFFFFF"/>
        </w:rPr>
      </w:pPr>
    </w:p>
    <w:p w14:paraId="45EC88D5" w14:textId="2988C7F5" w:rsidR="001158D2" w:rsidRDefault="001158D2">
      <w:pPr>
        <w:rPr>
          <w:rStyle w:val="eop"/>
          <w:rFonts w:ascii="Calibri" w:hAnsi="Calibri" w:cs="Calibri"/>
          <w:color w:val="000000"/>
          <w:shd w:val="clear" w:color="auto" w:fill="FFFFFF"/>
        </w:rPr>
      </w:pPr>
      <w:r>
        <w:rPr>
          <w:rStyle w:val="normaltextrun"/>
          <w:rFonts w:ascii="Calibri" w:hAnsi="Calibri" w:cs="Calibri"/>
          <w:color w:val="000000"/>
          <w:shd w:val="clear" w:color="auto" w:fill="FFFFFF"/>
        </w:rPr>
        <w:t xml:space="preserve">Yon, et al. (2017) indicate that their likelihood of experiencing abuse and neglect increases, posing significant problems that are becoming increasingly prevalent. Older people may be more likely to experience abuse from either family members, or from the care institutions they are placed in. Abuse can manifest in many ways, including emotional, physical, sexual, or financial mistreatment. In 2018/2019, 180,000 women and 98,000 men aged 60 to 74 were reported to have been abused in England and Wales, and it is important to mention that the highest rates of abuse have been recorded in care institutions, these were reported by Age UK based on data released by CSEW, but during the COVID-19 pandemic this data may have changed(No Age Limit, 2020). Neglect, on the other hand, refers to the lack of adequate care and attention to the needs of individuals, including failure to provide food, medical care, or decent living conditions. Recognizing the severity of neglect, many countries have enacted legislation to address this issue. In the United Kingdom, for instance, neglect is considered a criminal offense under section 44 of the Mental Capacity Act 2005. This legislation aims to protect </w:t>
      </w:r>
      <w:r w:rsidR="00B62FE5">
        <w:rPr>
          <w:rStyle w:val="normaltextrun"/>
          <w:rFonts w:ascii="Calibri" w:hAnsi="Calibri" w:cs="Calibri"/>
          <w:color w:val="000000"/>
          <w:shd w:val="clear" w:color="auto" w:fill="FFFFFF"/>
        </w:rPr>
        <w:t>people</w:t>
      </w:r>
      <w:r>
        <w:rPr>
          <w:rStyle w:val="normaltextrun"/>
          <w:rFonts w:ascii="Calibri" w:hAnsi="Calibri" w:cs="Calibri"/>
          <w:color w:val="000000"/>
          <w:shd w:val="clear" w:color="auto" w:fill="FFFFFF"/>
        </w:rPr>
        <w:t xml:space="preserve"> who lack the </w:t>
      </w:r>
      <w:r w:rsidR="006A62F5">
        <w:rPr>
          <w:rStyle w:val="normaltextrun"/>
          <w:rFonts w:ascii="Calibri" w:hAnsi="Calibri" w:cs="Calibri"/>
          <w:color w:val="000000"/>
          <w:shd w:val="clear" w:color="auto" w:fill="FFFFFF"/>
        </w:rPr>
        <w:t>cognitive</w:t>
      </w:r>
      <w:r>
        <w:rPr>
          <w:rStyle w:val="normaltextrun"/>
          <w:rFonts w:ascii="Calibri" w:hAnsi="Calibri" w:cs="Calibri"/>
          <w:color w:val="000000"/>
          <w:shd w:val="clear" w:color="auto" w:fill="FFFFFF"/>
        </w:rPr>
        <w:t xml:space="preserve"> capacity to </w:t>
      </w:r>
      <w:r w:rsidR="00F87FC6">
        <w:rPr>
          <w:rStyle w:val="normaltextrun"/>
          <w:rFonts w:ascii="Calibri" w:hAnsi="Calibri" w:cs="Calibri"/>
          <w:color w:val="000000"/>
          <w:shd w:val="clear" w:color="auto" w:fill="FFFFFF"/>
        </w:rPr>
        <w:t>independently make decisions, ensuring</w:t>
      </w:r>
      <w:r>
        <w:rPr>
          <w:rStyle w:val="normaltextrun"/>
          <w:rFonts w:ascii="Calibri" w:hAnsi="Calibri" w:cs="Calibri"/>
          <w:color w:val="000000"/>
          <w:shd w:val="clear" w:color="auto" w:fill="FFFFFF"/>
        </w:rPr>
        <w:t xml:space="preserve"> they receive the care and support they require. Punishments for neglect can range from fines to imprisonment, depending on the severity of the offense (Crown Persecution Service, 2020). </w:t>
      </w:r>
      <w:r>
        <w:rPr>
          <w:rStyle w:val="eop"/>
          <w:rFonts w:ascii="Calibri" w:hAnsi="Calibri" w:cs="Calibri"/>
          <w:color w:val="000000"/>
          <w:shd w:val="clear" w:color="auto" w:fill="FFFFFF"/>
        </w:rPr>
        <w:t> </w:t>
      </w:r>
    </w:p>
    <w:p w14:paraId="1C26C90F" w14:textId="77777777" w:rsidR="00FB337C" w:rsidRDefault="00FB337C">
      <w:pPr>
        <w:rPr>
          <w:rStyle w:val="eop"/>
          <w:rFonts w:ascii="Calibri" w:hAnsi="Calibri" w:cs="Calibri"/>
          <w:color w:val="000000"/>
          <w:shd w:val="clear" w:color="auto" w:fill="FFFFFF"/>
        </w:rPr>
      </w:pPr>
    </w:p>
    <w:p w14:paraId="5D03DE04" w14:textId="77777777" w:rsidR="00FB337C" w:rsidRDefault="00FB337C">
      <w:pPr>
        <w:rPr>
          <w:rStyle w:val="eop"/>
          <w:rFonts w:ascii="Calibri" w:hAnsi="Calibri" w:cs="Calibri"/>
          <w:color w:val="000000"/>
          <w:shd w:val="clear" w:color="auto" w:fill="FFFFFF"/>
        </w:rPr>
      </w:pPr>
    </w:p>
    <w:p w14:paraId="755AA8A1" w14:textId="77777777" w:rsidR="00FB337C" w:rsidRDefault="00FB337C">
      <w:pPr>
        <w:rPr>
          <w:rStyle w:val="eop"/>
          <w:rFonts w:ascii="Calibri" w:hAnsi="Calibri" w:cs="Calibri"/>
          <w:color w:val="000000"/>
          <w:shd w:val="clear" w:color="auto" w:fill="FFFFFF"/>
        </w:rPr>
      </w:pPr>
    </w:p>
    <w:p w14:paraId="60B74CCB" w14:textId="77777777" w:rsidR="00FB337C" w:rsidRDefault="00FB337C">
      <w:pPr>
        <w:rPr>
          <w:rStyle w:val="eop"/>
          <w:rFonts w:ascii="Calibri" w:hAnsi="Calibri" w:cs="Calibri"/>
          <w:color w:val="000000"/>
          <w:shd w:val="clear" w:color="auto" w:fill="FFFFFF"/>
        </w:rPr>
      </w:pPr>
    </w:p>
    <w:p w14:paraId="5F1152CA" w14:textId="77777777" w:rsidR="00FB337C" w:rsidRDefault="00FB337C">
      <w:pPr>
        <w:rPr>
          <w:rStyle w:val="eop"/>
          <w:rFonts w:ascii="Calibri" w:hAnsi="Calibri" w:cs="Calibri"/>
          <w:color w:val="000000"/>
          <w:shd w:val="clear" w:color="auto" w:fill="FFFFFF"/>
        </w:rPr>
      </w:pPr>
    </w:p>
    <w:p w14:paraId="7ED2E67A" w14:textId="77777777" w:rsidR="00FB337C" w:rsidRDefault="00FB337C">
      <w:pPr>
        <w:rPr>
          <w:rStyle w:val="eop"/>
          <w:rFonts w:ascii="Calibri" w:hAnsi="Calibri" w:cs="Calibri"/>
          <w:color w:val="000000"/>
          <w:shd w:val="clear" w:color="auto" w:fill="FFFFFF"/>
        </w:rPr>
      </w:pPr>
    </w:p>
    <w:p w14:paraId="79877BF6" w14:textId="77777777" w:rsidR="00FB337C" w:rsidRDefault="00FB337C">
      <w:pPr>
        <w:rPr>
          <w:rStyle w:val="eop"/>
          <w:rFonts w:ascii="Calibri" w:hAnsi="Calibri" w:cs="Calibri"/>
          <w:color w:val="000000"/>
          <w:shd w:val="clear" w:color="auto" w:fill="FFFFFF"/>
        </w:rPr>
      </w:pPr>
    </w:p>
    <w:p w14:paraId="17A46127" w14:textId="77777777" w:rsidR="00FB337C" w:rsidRDefault="00FB337C">
      <w:pPr>
        <w:rPr>
          <w:rStyle w:val="eop"/>
          <w:rFonts w:ascii="Calibri" w:hAnsi="Calibri" w:cs="Calibri"/>
          <w:color w:val="000000"/>
          <w:shd w:val="clear" w:color="auto" w:fill="FFFFFF"/>
        </w:rPr>
      </w:pPr>
    </w:p>
    <w:p w14:paraId="7EA0F78C" w14:textId="77777777" w:rsidR="00FB337C" w:rsidRDefault="00FB337C">
      <w:pPr>
        <w:rPr>
          <w:rStyle w:val="eop"/>
          <w:rFonts w:ascii="Calibri" w:hAnsi="Calibri" w:cs="Calibri"/>
          <w:color w:val="000000"/>
          <w:shd w:val="clear" w:color="auto" w:fill="FFFFFF"/>
        </w:rPr>
      </w:pPr>
    </w:p>
    <w:p w14:paraId="0B8C0AFA" w14:textId="77777777" w:rsidR="00FB337C" w:rsidRDefault="00FB337C">
      <w:pPr>
        <w:rPr>
          <w:rStyle w:val="eop"/>
          <w:rFonts w:ascii="Calibri" w:hAnsi="Calibri" w:cs="Calibri"/>
          <w:color w:val="000000"/>
          <w:shd w:val="clear" w:color="auto" w:fill="FFFFFF"/>
        </w:rPr>
      </w:pPr>
    </w:p>
    <w:p w14:paraId="59537A9D" w14:textId="77777777" w:rsidR="00FB337C" w:rsidRDefault="00FB337C">
      <w:pPr>
        <w:rPr>
          <w:rStyle w:val="eop"/>
          <w:rFonts w:ascii="Calibri" w:hAnsi="Calibri" w:cs="Calibri"/>
          <w:color w:val="000000"/>
          <w:shd w:val="clear" w:color="auto" w:fill="FFFFFF"/>
        </w:rPr>
      </w:pPr>
    </w:p>
    <w:p w14:paraId="28D8CAC9" w14:textId="77777777" w:rsidR="00FB337C" w:rsidRDefault="00FB337C">
      <w:pPr>
        <w:rPr>
          <w:rStyle w:val="eop"/>
          <w:rFonts w:ascii="Calibri" w:hAnsi="Calibri" w:cs="Calibri"/>
          <w:color w:val="000000"/>
          <w:shd w:val="clear" w:color="auto" w:fill="FFFFFF"/>
        </w:rPr>
      </w:pPr>
    </w:p>
    <w:p w14:paraId="2F46035B" w14:textId="77777777" w:rsidR="00FB337C" w:rsidRDefault="00FB337C">
      <w:pPr>
        <w:rPr>
          <w:rStyle w:val="eop"/>
          <w:rFonts w:ascii="Calibri" w:hAnsi="Calibri" w:cs="Calibri"/>
          <w:color w:val="000000"/>
          <w:shd w:val="clear" w:color="auto" w:fill="FFFFFF"/>
        </w:rPr>
      </w:pPr>
    </w:p>
    <w:p w14:paraId="6A2415BB" w14:textId="77777777" w:rsidR="00FB337C" w:rsidRDefault="00FB337C">
      <w:pPr>
        <w:rPr>
          <w:rStyle w:val="eop"/>
          <w:rFonts w:ascii="Calibri" w:hAnsi="Calibri" w:cs="Calibri"/>
          <w:color w:val="000000"/>
          <w:shd w:val="clear" w:color="auto" w:fill="FFFFFF"/>
        </w:rPr>
      </w:pPr>
    </w:p>
    <w:p w14:paraId="2FC1F44B" w14:textId="77777777" w:rsidR="00FB337C" w:rsidRDefault="00FB337C">
      <w:pPr>
        <w:rPr>
          <w:rStyle w:val="eop"/>
          <w:rFonts w:ascii="Calibri" w:hAnsi="Calibri" w:cs="Calibri"/>
          <w:color w:val="000000"/>
          <w:shd w:val="clear" w:color="auto" w:fill="FFFFFF"/>
        </w:rPr>
      </w:pPr>
    </w:p>
    <w:p w14:paraId="3E5CFE11" w14:textId="77777777" w:rsidR="00FB337C" w:rsidRDefault="00FB337C">
      <w:pPr>
        <w:rPr>
          <w:rStyle w:val="eop"/>
          <w:rFonts w:ascii="Calibri" w:hAnsi="Calibri" w:cs="Calibri"/>
          <w:color w:val="000000"/>
          <w:shd w:val="clear" w:color="auto" w:fill="FFFFFF"/>
        </w:rPr>
      </w:pPr>
    </w:p>
    <w:p w14:paraId="5DEDE615" w14:textId="77777777" w:rsidR="00FF1C66" w:rsidRDefault="00FF1C66" w:rsidP="00FB337C">
      <w:pPr>
        <w:pStyle w:val="paragraph"/>
        <w:spacing w:before="0" w:beforeAutospacing="0" w:after="0" w:afterAutospacing="0"/>
        <w:ind w:left="720"/>
        <w:textAlignment w:val="baseline"/>
        <w:rPr>
          <w:rStyle w:val="normaltextrun"/>
          <w:rFonts w:ascii="Calibri" w:eastAsiaTheme="majorEastAsia" w:hAnsi="Calibri" w:cs="Calibri"/>
          <w:b/>
          <w:bCs/>
          <w:sz w:val="28"/>
          <w:szCs w:val="28"/>
        </w:rPr>
      </w:pPr>
    </w:p>
    <w:p w14:paraId="72C01743" w14:textId="21192D5C" w:rsidR="00FB337C" w:rsidRDefault="00FB337C" w:rsidP="00FB337C">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b/>
          <w:bCs/>
          <w:sz w:val="28"/>
          <w:szCs w:val="28"/>
        </w:rPr>
        <w:t>4. Recommendations</w:t>
      </w:r>
      <w:r>
        <w:rPr>
          <w:rStyle w:val="normaltextrun"/>
          <w:rFonts w:ascii="Calibri" w:eastAsiaTheme="majorEastAsia" w:hAnsi="Calibri" w:cs="Calibri"/>
          <w:sz w:val="28"/>
          <w:szCs w:val="28"/>
        </w:rPr>
        <w:t> </w:t>
      </w:r>
      <w:r>
        <w:rPr>
          <w:rStyle w:val="eop"/>
          <w:rFonts w:ascii="Calibri" w:eastAsiaTheme="majorEastAsia" w:hAnsi="Calibri" w:cs="Calibri"/>
          <w:sz w:val="28"/>
          <w:szCs w:val="28"/>
        </w:rPr>
        <w:t> </w:t>
      </w:r>
    </w:p>
    <w:p w14:paraId="4E4950DD" w14:textId="77777777" w:rsidR="00FB337C" w:rsidRDefault="00FB337C" w:rsidP="00FB337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 </w:t>
      </w:r>
      <w:r>
        <w:rPr>
          <w:rStyle w:val="eop"/>
          <w:rFonts w:ascii="Calibri" w:eastAsiaTheme="majorEastAsia" w:hAnsi="Calibri" w:cs="Calibri"/>
        </w:rPr>
        <w:t> </w:t>
      </w:r>
    </w:p>
    <w:p w14:paraId="6DAFFAEF" w14:textId="77777777" w:rsidR="00FB337C" w:rsidRDefault="00FB337C" w:rsidP="00FB337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 </w:t>
      </w:r>
      <w:r>
        <w:rPr>
          <w:rStyle w:val="eop"/>
          <w:rFonts w:ascii="Calibri" w:eastAsiaTheme="majorEastAsia" w:hAnsi="Calibri" w:cs="Calibri"/>
        </w:rPr>
        <w:t> </w:t>
      </w:r>
    </w:p>
    <w:p w14:paraId="133A9C10" w14:textId="77777777" w:rsidR="00FB337C" w:rsidRDefault="00FB337C" w:rsidP="00FB337C">
      <w:pPr>
        <w:pStyle w:val="paragraph"/>
        <w:spacing w:before="0" w:beforeAutospacing="0" w:after="0" w:afterAutospacing="0"/>
        <w:ind w:left="1080"/>
        <w:textAlignment w:val="baseline"/>
        <w:rPr>
          <w:rFonts w:ascii="Segoe UI" w:hAnsi="Segoe UI" w:cs="Segoe UI"/>
          <w:sz w:val="18"/>
          <w:szCs w:val="18"/>
        </w:rPr>
      </w:pPr>
      <w:r>
        <w:rPr>
          <w:rStyle w:val="eop"/>
          <w:rFonts w:ascii="Calibri" w:eastAsiaTheme="majorEastAsia" w:hAnsi="Calibri" w:cs="Calibri"/>
        </w:rPr>
        <w:t> </w:t>
      </w:r>
    </w:p>
    <w:p w14:paraId="4A81C164" w14:textId="77777777" w:rsidR="00FB337C" w:rsidRDefault="00FB337C" w:rsidP="00FB337C">
      <w:pPr>
        <w:pStyle w:val="paragraph"/>
        <w:spacing w:before="0" w:beforeAutospacing="0" w:after="0" w:afterAutospacing="0"/>
        <w:ind w:left="1080"/>
        <w:textAlignment w:val="baseline"/>
        <w:rPr>
          <w:rFonts w:ascii="Segoe UI" w:hAnsi="Segoe UI" w:cs="Segoe UI"/>
          <w:sz w:val="18"/>
          <w:szCs w:val="18"/>
        </w:rPr>
      </w:pPr>
      <w:r>
        <w:rPr>
          <w:rStyle w:val="eop"/>
          <w:rFonts w:ascii="Calibri" w:eastAsiaTheme="majorEastAsia" w:hAnsi="Calibri" w:cs="Calibri"/>
        </w:rPr>
        <w:t> </w:t>
      </w:r>
    </w:p>
    <w:p w14:paraId="6EE50047" w14:textId="77777777" w:rsidR="00FB337C" w:rsidRDefault="00FB337C" w:rsidP="00FB337C">
      <w:pPr>
        <w:pStyle w:val="paragraph"/>
        <w:numPr>
          <w:ilvl w:val="0"/>
          <w:numId w:val="3"/>
        </w:numPr>
        <w:spacing w:before="0" w:beforeAutospacing="0" w:after="0" w:afterAutospacing="0"/>
        <w:ind w:left="1800" w:firstLine="360"/>
        <w:textAlignment w:val="baseline"/>
        <w:rPr>
          <w:rFonts w:ascii="Calibri" w:hAnsi="Calibri" w:cs="Calibri"/>
        </w:rPr>
      </w:pPr>
      <w:r>
        <w:rPr>
          <w:rStyle w:val="normaltextrun"/>
          <w:rFonts w:ascii="Calibri" w:eastAsiaTheme="majorEastAsia" w:hAnsi="Calibri" w:cs="Calibri"/>
        </w:rPr>
        <w:t>Maintaining an active social life. </w:t>
      </w:r>
      <w:r>
        <w:rPr>
          <w:rStyle w:val="eop"/>
          <w:rFonts w:ascii="Calibri" w:eastAsiaTheme="majorEastAsia" w:hAnsi="Calibri" w:cs="Calibri"/>
        </w:rPr>
        <w:t> </w:t>
      </w:r>
    </w:p>
    <w:p w14:paraId="624893A9" w14:textId="67765EEC" w:rsidR="00FB337C" w:rsidRDefault="00FB337C" w:rsidP="00FB337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 xml:space="preserve"> Professionals recommend that older people maintain social relationships and get involved in community activities. Participating in clubs, associations, or volunteer groups can </w:t>
      </w:r>
      <w:r w:rsidR="00B02594">
        <w:rPr>
          <w:rStyle w:val="normaltextrun"/>
          <w:rFonts w:ascii="Calibri" w:eastAsiaTheme="majorEastAsia" w:hAnsi="Calibri" w:cs="Calibri"/>
        </w:rPr>
        <w:t>support</w:t>
      </w:r>
      <w:r>
        <w:rPr>
          <w:rStyle w:val="normaltextrun"/>
          <w:rFonts w:ascii="Calibri" w:eastAsiaTheme="majorEastAsia" w:hAnsi="Calibri" w:cs="Calibri"/>
        </w:rPr>
        <w:t xml:space="preserve"> </w:t>
      </w:r>
      <w:r w:rsidR="00B02594">
        <w:rPr>
          <w:rStyle w:val="normaltextrun"/>
          <w:rFonts w:ascii="Calibri" w:eastAsiaTheme="majorEastAsia" w:hAnsi="Calibri" w:cs="Calibri"/>
        </w:rPr>
        <w:t xml:space="preserve">and </w:t>
      </w:r>
      <w:r>
        <w:rPr>
          <w:rStyle w:val="normaltextrun"/>
          <w:rFonts w:ascii="Calibri" w:eastAsiaTheme="majorEastAsia" w:hAnsi="Calibri" w:cs="Calibri"/>
        </w:rPr>
        <w:t>maintain social connections and develop a sense of belonging.   </w:t>
      </w:r>
      <w:r>
        <w:rPr>
          <w:rStyle w:val="eop"/>
          <w:rFonts w:ascii="Calibri" w:eastAsiaTheme="majorEastAsia" w:hAnsi="Calibri" w:cs="Calibri"/>
        </w:rPr>
        <w:t> </w:t>
      </w:r>
    </w:p>
    <w:p w14:paraId="15559B94" w14:textId="77777777" w:rsidR="00FB337C" w:rsidRDefault="00FB337C" w:rsidP="00FB337C">
      <w:pPr>
        <w:pStyle w:val="paragraph"/>
        <w:numPr>
          <w:ilvl w:val="0"/>
          <w:numId w:val="4"/>
        </w:numPr>
        <w:spacing w:before="0" w:beforeAutospacing="0" w:after="0" w:afterAutospacing="0"/>
        <w:ind w:left="1800" w:firstLine="360"/>
        <w:textAlignment w:val="baseline"/>
        <w:rPr>
          <w:rFonts w:ascii="Calibri" w:hAnsi="Calibri" w:cs="Calibri"/>
        </w:rPr>
      </w:pPr>
      <w:r>
        <w:rPr>
          <w:rStyle w:val="normaltextrun"/>
          <w:rFonts w:ascii="Calibri" w:eastAsiaTheme="majorEastAsia" w:hAnsi="Calibri" w:cs="Calibri"/>
        </w:rPr>
        <w:t>Adopting a healthy lifestyle.  </w:t>
      </w:r>
      <w:r>
        <w:rPr>
          <w:rStyle w:val="eop"/>
          <w:rFonts w:ascii="Calibri" w:eastAsiaTheme="majorEastAsia" w:hAnsi="Calibri" w:cs="Calibri"/>
        </w:rPr>
        <w:t> </w:t>
      </w:r>
    </w:p>
    <w:p w14:paraId="103E46CC" w14:textId="09A32DF3" w:rsidR="00FB337C" w:rsidRDefault="00FB337C" w:rsidP="00FB337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 xml:space="preserve">It is important for the elderly to pay special attention to their health. Professionals recommend adopting a balanced diet rich in fruits, </w:t>
      </w:r>
      <w:r w:rsidR="00B02594">
        <w:rPr>
          <w:rStyle w:val="normaltextrun"/>
          <w:rFonts w:ascii="Calibri" w:eastAsiaTheme="majorEastAsia" w:hAnsi="Calibri" w:cs="Calibri"/>
        </w:rPr>
        <w:t>vegetables,</w:t>
      </w:r>
      <w:r>
        <w:rPr>
          <w:rStyle w:val="normaltextrun"/>
          <w:rFonts w:ascii="Calibri" w:eastAsiaTheme="majorEastAsia" w:hAnsi="Calibri" w:cs="Calibri"/>
        </w:rPr>
        <w:t xml:space="preserve"> and low-fat foods. Regular exercise, such as walking, swimming or yoga, can also help maintain good health.  </w:t>
      </w:r>
      <w:r>
        <w:rPr>
          <w:rStyle w:val="eop"/>
          <w:rFonts w:ascii="Calibri" w:eastAsiaTheme="majorEastAsia" w:hAnsi="Calibri" w:cs="Calibri"/>
        </w:rPr>
        <w:t> </w:t>
      </w:r>
    </w:p>
    <w:p w14:paraId="402EC545" w14:textId="77777777" w:rsidR="00FB337C" w:rsidRDefault="00FB337C" w:rsidP="00FB337C">
      <w:pPr>
        <w:pStyle w:val="paragraph"/>
        <w:numPr>
          <w:ilvl w:val="0"/>
          <w:numId w:val="5"/>
        </w:numPr>
        <w:spacing w:before="0" w:beforeAutospacing="0" w:after="0" w:afterAutospacing="0"/>
        <w:ind w:left="1800" w:firstLine="360"/>
        <w:textAlignment w:val="baseline"/>
        <w:rPr>
          <w:rFonts w:ascii="Calibri" w:hAnsi="Calibri" w:cs="Calibri"/>
        </w:rPr>
      </w:pPr>
      <w:r>
        <w:rPr>
          <w:rStyle w:val="normaltextrun"/>
          <w:rFonts w:ascii="Calibri" w:eastAsiaTheme="majorEastAsia" w:hAnsi="Calibri" w:cs="Calibri"/>
        </w:rPr>
        <w:t> Cognitive activity. </w:t>
      </w:r>
      <w:r>
        <w:rPr>
          <w:rStyle w:val="eop"/>
          <w:rFonts w:ascii="Calibri" w:eastAsiaTheme="majorEastAsia" w:hAnsi="Calibri" w:cs="Calibri"/>
        </w:rPr>
        <w:t> </w:t>
      </w:r>
    </w:p>
    <w:p w14:paraId="5D52B4A4" w14:textId="49DFF846" w:rsidR="00FB337C" w:rsidRDefault="00FB337C" w:rsidP="00FB337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 xml:space="preserve">To keep their minds active and healthy, professionals recommend </w:t>
      </w:r>
      <w:r w:rsidR="00B02594">
        <w:rPr>
          <w:rStyle w:val="normaltextrun"/>
          <w:rFonts w:ascii="Calibri" w:eastAsiaTheme="majorEastAsia" w:hAnsi="Calibri" w:cs="Calibri"/>
        </w:rPr>
        <w:t>seniors engage in brain-stimulating activities</w:t>
      </w:r>
      <w:r>
        <w:rPr>
          <w:rStyle w:val="normaltextrun"/>
          <w:rFonts w:ascii="Calibri" w:eastAsiaTheme="majorEastAsia" w:hAnsi="Calibri" w:cs="Calibri"/>
        </w:rPr>
        <w:t>. These include solving puzzles, reading, learning a foreign language</w:t>
      </w:r>
      <w:r w:rsidR="00B02594">
        <w:rPr>
          <w:rStyle w:val="normaltextrun"/>
          <w:rFonts w:ascii="Calibri" w:eastAsiaTheme="majorEastAsia" w:hAnsi="Calibri" w:cs="Calibri"/>
        </w:rPr>
        <w:t>,</w:t>
      </w:r>
      <w:r>
        <w:rPr>
          <w:rStyle w:val="normaltextrun"/>
          <w:rFonts w:ascii="Calibri" w:eastAsiaTheme="majorEastAsia" w:hAnsi="Calibri" w:cs="Calibri"/>
        </w:rPr>
        <w:t xml:space="preserve"> or attending classes and seminars.  </w:t>
      </w:r>
      <w:r>
        <w:rPr>
          <w:rStyle w:val="eop"/>
          <w:rFonts w:ascii="Calibri" w:eastAsiaTheme="majorEastAsia" w:hAnsi="Calibri" w:cs="Calibri"/>
        </w:rPr>
        <w:t> </w:t>
      </w:r>
    </w:p>
    <w:p w14:paraId="48E8E9D8" w14:textId="77777777" w:rsidR="00FB337C" w:rsidRDefault="00FB337C" w:rsidP="00FB337C">
      <w:pPr>
        <w:pStyle w:val="paragraph"/>
        <w:numPr>
          <w:ilvl w:val="0"/>
          <w:numId w:val="6"/>
        </w:numPr>
        <w:spacing w:before="0" w:beforeAutospacing="0" w:after="0" w:afterAutospacing="0"/>
        <w:ind w:left="1800" w:firstLine="360"/>
        <w:textAlignment w:val="baseline"/>
        <w:rPr>
          <w:rFonts w:ascii="Calibri" w:hAnsi="Calibri" w:cs="Calibri"/>
        </w:rPr>
      </w:pPr>
      <w:r>
        <w:rPr>
          <w:rStyle w:val="normaltextrun"/>
          <w:rFonts w:ascii="Calibri" w:eastAsiaTheme="majorEastAsia" w:hAnsi="Calibri" w:cs="Calibri"/>
        </w:rPr>
        <w:t> Adequate Financial Planning. </w:t>
      </w:r>
      <w:r>
        <w:rPr>
          <w:rStyle w:val="eop"/>
          <w:rFonts w:ascii="Calibri" w:eastAsiaTheme="majorEastAsia" w:hAnsi="Calibri" w:cs="Calibri"/>
        </w:rPr>
        <w:t> </w:t>
      </w:r>
    </w:p>
    <w:p w14:paraId="2A5FDD62" w14:textId="4F1C7CD4" w:rsidR="00FB337C" w:rsidRDefault="00FB337C" w:rsidP="00FB337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 xml:space="preserve"> Professionals advise seniors to plan their finances adequately </w:t>
      </w:r>
      <w:r w:rsidR="00B02594">
        <w:rPr>
          <w:rStyle w:val="normaltextrun"/>
          <w:rFonts w:ascii="Calibri" w:eastAsiaTheme="majorEastAsia" w:hAnsi="Calibri" w:cs="Calibri"/>
        </w:rPr>
        <w:t xml:space="preserve">to have financial stability and </w:t>
      </w:r>
      <w:r>
        <w:rPr>
          <w:rStyle w:val="normaltextrun"/>
          <w:rFonts w:ascii="Calibri" w:eastAsiaTheme="majorEastAsia" w:hAnsi="Calibri" w:cs="Calibri"/>
        </w:rPr>
        <w:t>meet their needs and wants. This may include consulting a financial professional for advice and assistance in managing savings and investments. In addition, a healthy optimism can help seniors cope better with the changes and challenges that come with aging.  </w:t>
      </w:r>
      <w:r>
        <w:rPr>
          <w:rStyle w:val="eop"/>
          <w:rFonts w:ascii="Calibri" w:eastAsiaTheme="majorEastAsia" w:hAnsi="Calibri" w:cs="Calibri"/>
        </w:rPr>
        <w:t> </w:t>
      </w:r>
    </w:p>
    <w:p w14:paraId="3ABCD13E" w14:textId="77777777" w:rsidR="00FB337C" w:rsidRDefault="00FB337C" w:rsidP="00FB337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National Health Service (NHS Choice, 2019) mentions that by adopting a positive attitude, they can value their experience and find meaning and purpose in life, which can lead to a significant improvement in their quality of life. </w:t>
      </w:r>
      <w:r>
        <w:rPr>
          <w:rStyle w:val="eop"/>
          <w:rFonts w:ascii="Calibri" w:eastAsiaTheme="majorEastAsia" w:hAnsi="Calibri" w:cs="Calibri"/>
        </w:rPr>
        <w:t> </w:t>
      </w:r>
    </w:p>
    <w:p w14:paraId="78B40CCA" w14:textId="77777777" w:rsidR="00FB337C" w:rsidRDefault="00FB337C" w:rsidP="00FB337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 </w:t>
      </w:r>
      <w:r>
        <w:rPr>
          <w:rStyle w:val="eop"/>
          <w:rFonts w:ascii="Calibri" w:eastAsiaTheme="majorEastAsia" w:hAnsi="Calibri" w:cs="Calibri"/>
        </w:rPr>
        <w:t> </w:t>
      </w:r>
    </w:p>
    <w:p w14:paraId="59756592" w14:textId="77777777" w:rsidR="00FB337C" w:rsidRDefault="00FB337C"/>
    <w:p w14:paraId="7F704AB0" w14:textId="77777777" w:rsidR="00C845FD" w:rsidRDefault="00C845FD"/>
    <w:p w14:paraId="7C21742F" w14:textId="77777777" w:rsidR="00C845FD" w:rsidRDefault="00C845FD"/>
    <w:p w14:paraId="1FB2EAED" w14:textId="77777777" w:rsidR="00C845FD" w:rsidRDefault="00C845FD"/>
    <w:p w14:paraId="3437AC23" w14:textId="77777777" w:rsidR="00C845FD" w:rsidRDefault="00C845FD"/>
    <w:p w14:paraId="0A61E684" w14:textId="77777777" w:rsidR="00C845FD" w:rsidRDefault="00C845FD"/>
    <w:p w14:paraId="515021B1" w14:textId="77777777" w:rsidR="00C845FD" w:rsidRDefault="00C845FD"/>
    <w:p w14:paraId="6F6B654F" w14:textId="77777777" w:rsidR="00C845FD" w:rsidRDefault="00C845FD"/>
    <w:p w14:paraId="409AB4BC" w14:textId="77777777" w:rsidR="00C845FD" w:rsidRDefault="00C845FD"/>
    <w:p w14:paraId="4BE53623" w14:textId="77777777" w:rsidR="00C845FD" w:rsidRDefault="00C845FD"/>
    <w:p w14:paraId="3AB29067" w14:textId="77777777" w:rsidR="00C845FD" w:rsidRDefault="00C845FD"/>
    <w:p w14:paraId="03685720" w14:textId="77777777" w:rsidR="00C845FD" w:rsidRDefault="00C845FD"/>
    <w:p w14:paraId="2619F861" w14:textId="77777777" w:rsidR="00C845FD" w:rsidRDefault="00C845FD"/>
    <w:p w14:paraId="2142162F" w14:textId="77777777" w:rsidR="00C845FD" w:rsidRDefault="00C845FD"/>
    <w:p w14:paraId="2129AE8D" w14:textId="6CCF428E" w:rsidR="00C845FD" w:rsidRDefault="00C845FD" w:rsidP="00C845FD">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32"/>
          <w:szCs w:val="32"/>
        </w:rPr>
        <w:t>5. Conclusion</w:t>
      </w:r>
      <w:r>
        <w:rPr>
          <w:rStyle w:val="eop"/>
          <w:rFonts w:ascii="Calibri" w:eastAsiaTheme="majorEastAsia" w:hAnsi="Calibri" w:cs="Calibri"/>
          <w:sz w:val="32"/>
          <w:szCs w:val="32"/>
        </w:rPr>
        <w:t> </w:t>
      </w:r>
    </w:p>
    <w:p w14:paraId="571A2CF1" w14:textId="77777777" w:rsidR="00C845FD" w:rsidRDefault="00C845FD" w:rsidP="00C845F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color w:val="000000"/>
        </w:rPr>
        <w:t xml:space="preserve">In conclusion, society's support and the creation of a safe environment are crucial for the well-being of older individuals. Implementing effective social policies and services can enhance their quality of life and address their challenges. It is important to promote a positive image of aging, tackle issues such as abuse and neglect, and provide the necessary resources and support for older individuals to lead fulfilling lives. </w:t>
      </w:r>
      <w:r>
        <w:rPr>
          <w:rStyle w:val="normaltextrun"/>
          <w:rFonts w:ascii="Calibri" w:eastAsiaTheme="majorEastAsia" w:hAnsi="Calibri" w:cs="Calibri"/>
        </w:rPr>
        <w:t xml:space="preserve">Furthermore, the legislation should provide protection and punish those who commit such acts against these vulnerable people. It is also essential to provide support and resources for victims of abuse and neglect to help them regain their dignity and trust in others. It is important that society is aware of these issues and takes steps to protect older people from abuse and neglect. </w:t>
      </w:r>
      <w:r>
        <w:rPr>
          <w:rStyle w:val="normaltextrun"/>
          <w:rFonts w:ascii="Calibri" w:eastAsiaTheme="majorEastAsia" w:hAnsi="Calibri" w:cs="Calibri"/>
          <w:color w:val="000000"/>
        </w:rPr>
        <w:t>Following these recommendations can help older individuals maintain an active and satisfying lifestyle as they age. </w:t>
      </w:r>
      <w:r>
        <w:rPr>
          <w:rStyle w:val="eop"/>
          <w:rFonts w:ascii="Calibri" w:eastAsiaTheme="majorEastAsia" w:hAnsi="Calibri" w:cs="Calibri"/>
          <w:color w:val="000000"/>
        </w:rPr>
        <w:t> </w:t>
      </w:r>
    </w:p>
    <w:p w14:paraId="223AEB99" w14:textId="77777777" w:rsidR="00C845FD" w:rsidRDefault="00C845FD" w:rsidP="00C845FD">
      <w:pPr>
        <w:pStyle w:val="paragraph"/>
        <w:spacing w:before="0" w:beforeAutospacing="0" w:after="0" w:afterAutospacing="0"/>
        <w:ind w:left="360"/>
        <w:textAlignment w:val="baseline"/>
        <w:rPr>
          <w:rFonts w:ascii="Segoe UI" w:hAnsi="Segoe UI" w:cs="Segoe UI"/>
          <w:sz w:val="18"/>
          <w:szCs w:val="18"/>
        </w:rPr>
      </w:pPr>
      <w:r>
        <w:rPr>
          <w:rStyle w:val="normaltextrun"/>
          <w:rFonts w:ascii="Calibri" w:eastAsiaTheme="majorEastAsia" w:hAnsi="Calibri" w:cs="Calibri"/>
        </w:rPr>
        <w:t> </w:t>
      </w:r>
      <w:r>
        <w:rPr>
          <w:rStyle w:val="eop"/>
          <w:rFonts w:ascii="Calibri" w:eastAsiaTheme="majorEastAsia" w:hAnsi="Calibri" w:cs="Calibri"/>
        </w:rPr>
        <w:t> </w:t>
      </w:r>
    </w:p>
    <w:p w14:paraId="0365A29E" w14:textId="77777777" w:rsidR="00C845FD" w:rsidRDefault="00C845FD"/>
    <w:p w14:paraId="6DCF4345" w14:textId="77777777" w:rsidR="00C845FD" w:rsidRDefault="00C845FD"/>
    <w:p w14:paraId="218EEBBF" w14:textId="77777777" w:rsidR="00C845FD" w:rsidRDefault="00C845FD"/>
    <w:p w14:paraId="5250A090" w14:textId="77777777" w:rsidR="00C845FD" w:rsidRDefault="00C845FD"/>
    <w:p w14:paraId="1950C29D" w14:textId="77777777" w:rsidR="00C845FD" w:rsidRDefault="00C845FD"/>
    <w:p w14:paraId="3A5EF995" w14:textId="77777777" w:rsidR="00C845FD" w:rsidRDefault="00C845FD"/>
    <w:p w14:paraId="65959DBA" w14:textId="77777777" w:rsidR="00C845FD" w:rsidRDefault="00C845FD"/>
    <w:p w14:paraId="5FCA5BCA" w14:textId="77777777" w:rsidR="00C845FD" w:rsidRDefault="00C845FD"/>
    <w:p w14:paraId="60673282" w14:textId="77777777" w:rsidR="00C845FD" w:rsidRDefault="00C845FD"/>
    <w:p w14:paraId="71EC3A61" w14:textId="77777777" w:rsidR="00C845FD" w:rsidRDefault="00C845FD"/>
    <w:p w14:paraId="278CA926" w14:textId="77777777" w:rsidR="00C845FD" w:rsidRDefault="00C845FD"/>
    <w:p w14:paraId="2A448EF5" w14:textId="77777777" w:rsidR="00C845FD" w:rsidRDefault="00C845FD"/>
    <w:p w14:paraId="141E7654" w14:textId="77777777" w:rsidR="00C845FD" w:rsidRDefault="00C845FD"/>
    <w:p w14:paraId="07B127E8" w14:textId="77777777" w:rsidR="00C845FD" w:rsidRDefault="00C845FD"/>
    <w:p w14:paraId="72CF8B56" w14:textId="77777777" w:rsidR="00C845FD" w:rsidRDefault="00C845FD"/>
    <w:p w14:paraId="5E7A04C8" w14:textId="77777777" w:rsidR="00C845FD" w:rsidRDefault="00C845FD"/>
    <w:p w14:paraId="14A0DC0B" w14:textId="77777777" w:rsidR="00C845FD" w:rsidRDefault="00C845FD"/>
    <w:p w14:paraId="459E150B" w14:textId="77777777" w:rsidR="009F2E43" w:rsidRDefault="009F2E43" w:rsidP="009F2E4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32"/>
          <w:szCs w:val="32"/>
        </w:rPr>
        <w:t>6. References</w:t>
      </w:r>
      <w:r>
        <w:rPr>
          <w:rStyle w:val="eop"/>
          <w:rFonts w:ascii="Calibri" w:eastAsiaTheme="majorEastAsia" w:hAnsi="Calibri" w:cs="Calibri"/>
          <w:sz w:val="32"/>
          <w:szCs w:val="32"/>
        </w:rPr>
        <w:t> </w:t>
      </w:r>
    </w:p>
    <w:p w14:paraId="5C9A1957" w14:textId="77777777" w:rsidR="009F2E43" w:rsidRDefault="009F2E43" w:rsidP="009F2E43">
      <w:pPr>
        <w:pStyle w:val="paragraph"/>
        <w:spacing w:before="0" w:beforeAutospacing="0" w:after="0" w:afterAutospacing="0"/>
        <w:ind w:left="720"/>
        <w:textAlignment w:val="baseline"/>
        <w:rPr>
          <w:rFonts w:ascii="Segoe UI" w:hAnsi="Segoe UI" w:cs="Segoe UI"/>
          <w:sz w:val="18"/>
          <w:szCs w:val="18"/>
        </w:rPr>
      </w:pPr>
      <w:r>
        <w:rPr>
          <w:rStyle w:val="eop"/>
          <w:rFonts w:ascii="Calibri" w:eastAsiaTheme="majorEastAsia" w:hAnsi="Calibri" w:cs="Calibri"/>
          <w:color w:val="2C3E50"/>
        </w:rPr>
        <w:t> </w:t>
      </w:r>
    </w:p>
    <w:p w14:paraId="1ECB1059" w14:textId="77777777" w:rsidR="009F2E43" w:rsidRDefault="009F2E43" w:rsidP="009F2E4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Ageing and mobility: A grand challenge. (2019). Available at: </w:t>
      </w:r>
      <w:hyperlink r:id="rId9" w:tgtFrame="_blank" w:history="1">
        <w:r>
          <w:rPr>
            <w:rStyle w:val="normaltextrun"/>
            <w:rFonts w:ascii="Calibri" w:eastAsiaTheme="majorEastAsia" w:hAnsi="Calibri" w:cs="Calibri"/>
            <w:color w:val="467886"/>
            <w:u w:val="single"/>
          </w:rPr>
          <w:t>https://ageing-better.org.uk/sites/default/files/2019-09/Ageing-and-mobility-grand-challenge.pdf</w:t>
        </w:r>
      </w:hyperlink>
      <w:r>
        <w:rPr>
          <w:rStyle w:val="normaltextrun"/>
          <w:rFonts w:ascii="Calibri" w:eastAsiaTheme="majorEastAsia" w:hAnsi="Calibri" w:cs="Calibri"/>
          <w:color w:val="2C3E50"/>
        </w:rPr>
        <w:t>. </w:t>
      </w:r>
      <w:r>
        <w:rPr>
          <w:rStyle w:val="normaltextrun"/>
          <w:rFonts w:ascii="Calibri" w:eastAsiaTheme="majorEastAsia" w:hAnsi="Calibri" w:cs="Calibri"/>
          <w:color w:val="000000"/>
        </w:rPr>
        <w:t> </w:t>
      </w:r>
      <w:r>
        <w:rPr>
          <w:rStyle w:val="eop"/>
          <w:rFonts w:ascii="Calibri" w:eastAsiaTheme="majorEastAsia" w:hAnsi="Calibri" w:cs="Calibri"/>
          <w:color w:val="000000"/>
        </w:rPr>
        <w:t> </w:t>
      </w:r>
    </w:p>
    <w:p w14:paraId="6F3EF5D4" w14:textId="77777777" w:rsidR="009F2E43" w:rsidRDefault="009F2E43" w:rsidP="009F2E4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i/>
          <w:iCs/>
          <w:color w:val="2C3E50"/>
          <w:sz w:val="27"/>
          <w:szCs w:val="27"/>
        </w:rPr>
        <w:t>Ageing and health (2022)</w:t>
      </w:r>
      <w:r>
        <w:rPr>
          <w:rStyle w:val="normaltextrun"/>
          <w:rFonts w:ascii="Calibri" w:eastAsiaTheme="majorEastAsia" w:hAnsi="Calibri" w:cs="Calibri"/>
          <w:color w:val="2C3E50"/>
          <w:sz w:val="27"/>
          <w:szCs w:val="27"/>
        </w:rPr>
        <w:t xml:space="preserve">.  Available at: </w:t>
      </w:r>
      <w:hyperlink r:id="rId10" w:anchor=":~:text=Older%20people%20are%20often%20assumed%20to%20be%20frail" w:tgtFrame="_blank" w:history="1">
        <w:r>
          <w:rPr>
            <w:rStyle w:val="normaltextrun"/>
            <w:rFonts w:ascii="Calibri" w:eastAsiaTheme="majorEastAsia" w:hAnsi="Calibri" w:cs="Calibri"/>
            <w:color w:val="467886"/>
            <w:sz w:val="27"/>
            <w:szCs w:val="27"/>
            <w:u w:val="single"/>
          </w:rPr>
          <w:t>https://www.who.int/news-room/fact-sheets/detail/ageing-and-health#:~:text=Older%20people%20are%20often%20assumed%20to%20be%20frail</w:t>
        </w:r>
      </w:hyperlink>
      <w:r>
        <w:rPr>
          <w:rStyle w:val="normaltextrun"/>
          <w:rFonts w:ascii="Calibri" w:eastAsiaTheme="majorEastAsia" w:hAnsi="Calibri" w:cs="Calibri"/>
          <w:color w:val="2C3E50"/>
          <w:sz w:val="27"/>
          <w:szCs w:val="27"/>
        </w:rPr>
        <w:t>. </w:t>
      </w:r>
      <w:r>
        <w:rPr>
          <w:rStyle w:val="normaltextrun"/>
          <w:rFonts w:ascii="Calibri" w:eastAsiaTheme="majorEastAsia" w:hAnsi="Calibri" w:cs="Calibri"/>
          <w:color w:val="000000"/>
        </w:rPr>
        <w:t xml:space="preserve"> (Accessed in 2024).</w:t>
      </w:r>
      <w:r>
        <w:rPr>
          <w:rStyle w:val="eop"/>
          <w:rFonts w:ascii="Calibri" w:eastAsiaTheme="majorEastAsia" w:hAnsi="Calibri" w:cs="Calibri"/>
          <w:color w:val="000000"/>
        </w:rPr>
        <w:t> </w:t>
      </w:r>
    </w:p>
    <w:p w14:paraId="5D69BB80" w14:textId="77777777" w:rsidR="009F2E43" w:rsidRDefault="009F2E43" w:rsidP="009F2E4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Age UK (2023). </w:t>
      </w:r>
      <w:r>
        <w:rPr>
          <w:rStyle w:val="normaltextrun"/>
          <w:rFonts w:ascii="Calibri" w:eastAsiaTheme="majorEastAsia" w:hAnsi="Calibri" w:cs="Calibri"/>
          <w:i/>
          <w:iCs/>
          <w:color w:val="2C3E50"/>
        </w:rPr>
        <w:t>The State of Health and Care of Older People</w:t>
      </w:r>
      <w:r>
        <w:rPr>
          <w:rStyle w:val="normaltextrun"/>
          <w:rFonts w:ascii="Calibri" w:eastAsiaTheme="majorEastAsia" w:hAnsi="Calibri" w:cs="Calibri"/>
          <w:color w:val="2C3E50"/>
        </w:rPr>
        <w:t xml:space="preserve">. Available at: </w:t>
      </w:r>
      <w:hyperlink r:id="rId11" w:tgtFrame="_blank" w:history="1">
        <w:r>
          <w:rPr>
            <w:rStyle w:val="normaltextrun"/>
            <w:rFonts w:ascii="Calibri" w:eastAsiaTheme="majorEastAsia" w:hAnsi="Calibri" w:cs="Calibri"/>
            <w:color w:val="467886"/>
            <w:u w:val="single"/>
          </w:rPr>
          <w:t>https://www.ageuk.org.uk/globalassets/age-uk/documents/reports-and-apublications/reports-and-briefings/health--wellbeing/age-uk-briefing-state-of-health-and-care-july-2023-abridged-version.pdf</w:t>
        </w:r>
      </w:hyperlink>
      <w:r>
        <w:rPr>
          <w:rStyle w:val="normaltextrun"/>
          <w:rFonts w:ascii="Calibri" w:eastAsiaTheme="majorEastAsia" w:hAnsi="Calibri" w:cs="Calibri"/>
          <w:color w:val="2C3E50"/>
        </w:rPr>
        <w:t>.</w:t>
      </w:r>
      <w:r>
        <w:rPr>
          <w:rStyle w:val="normaltextrun"/>
          <w:rFonts w:ascii="Calibri" w:eastAsiaTheme="majorEastAsia" w:hAnsi="Calibri" w:cs="Calibri"/>
          <w:color w:val="2C3E50"/>
          <w:sz w:val="27"/>
          <w:szCs w:val="27"/>
        </w:rPr>
        <w:t> </w:t>
      </w:r>
      <w:r>
        <w:rPr>
          <w:rStyle w:val="normaltextrun"/>
          <w:rFonts w:ascii="Calibri" w:eastAsiaTheme="majorEastAsia" w:hAnsi="Calibri" w:cs="Calibri"/>
          <w:color w:val="000000"/>
        </w:rPr>
        <w:t xml:space="preserve"> (Accessed in 2024).</w:t>
      </w:r>
      <w:r>
        <w:rPr>
          <w:rStyle w:val="eop"/>
          <w:rFonts w:ascii="Calibri" w:eastAsiaTheme="majorEastAsia" w:hAnsi="Calibri" w:cs="Calibri"/>
          <w:color w:val="000000"/>
        </w:rPr>
        <w:t> </w:t>
      </w:r>
    </w:p>
    <w:p w14:paraId="3C4B1682" w14:textId="77777777" w:rsidR="009F2E43" w:rsidRDefault="009F2E43" w:rsidP="009F2E4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Age UK (2018). </w:t>
      </w:r>
      <w:r>
        <w:rPr>
          <w:rStyle w:val="normaltextrun"/>
          <w:rFonts w:ascii="Calibri" w:eastAsiaTheme="majorEastAsia" w:hAnsi="Calibri" w:cs="Calibri"/>
          <w:i/>
          <w:iCs/>
          <w:color w:val="2C3E50"/>
        </w:rPr>
        <w:t>Age UK services for the elderly | Age UK</w:t>
      </w:r>
      <w:r>
        <w:rPr>
          <w:rStyle w:val="normaltextrun"/>
          <w:rFonts w:ascii="Calibri" w:eastAsiaTheme="majorEastAsia" w:hAnsi="Calibri" w:cs="Calibri"/>
          <w:color w:val="2C3E50"/>
        </w:rPr>
        <w:t xml:space="preserve">. [online] Ageuk.org.uk. Available at: </w:t>
      </w:r>
      <w:hyperlink r:id="rId12" w:tgtFrame="_blank" w:history="1">
        <w:r>
          <w:rPr>
            <w:rStyle w:val="normaltextrun"/>
            <w:rFonts w:ascii="Calibri" w:eastAsiaTheme="majorEastAsia" w:hAnsi="Calibri" w:cs="Calibri"/>
            <w:color w:val="467886"/>
            <w:u w:val="single"/>
          </w:rPr>
          <w:t>https://www.ageuk.org.uk/services/</w:t>
        </w:r>
      </w:hyperlink>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27AB607B" w14:textId="77777777" w:rsidR="009F2E43" w:rsidRDefault="009F2E43" w:rsidP="009F2E4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Asher, L., </w:t>
      </w:r>
      <w:proofErr w:type="spellStart"/>
      <w:r>
        <w:rPr>
          <w:rStyle w:val="normaltextrun"/>
          <w:rFonts w:ascii="Calibri" w:eastAsiaTheme="majorEastAsia" w:hAnsi="Calibri" w:cs="Calibri"/>
          <w:color w:val="2C3E50"/>
        </w:rPr>
        <w:t>Aresu</w:t>
      </w:r>
      <w:proofErr w:type="spellEnd"/>
      <w:r>
        <w:rPr>
          <w:rStyle w:val="normaltextrun"/>
          <w:rFonts w:ascii="Calibri" w:eastAsiaTheme="majorEastAsia" w:hAnsi="Calibri" w:cs="Calibri"/>
          <w:color w:val="2C3E50"/>
        </w:rPr>
        <w:t xml:space="preserve">, M., </w:t>
      </w:r>
      <w:proofErr w:type="spellStart"/>
      <w:r>
        <w:rPr>
          <w:rStyle w:val="normaltextrun"/>
          <w:rFonts w:ascii="Calibri" w:eastAsiaTheme="majorEastAsia" w:hAnsi="Calibri" w:cs="Calibri"/>
          <w:color w:val="2C3E50"/>
        </w:rPr>
        <w:t>Falaschetti</w:t>
      </w:r>
      <w:proofErr w:type="spellEnd"/>
      <w:r>
        <w:rPr>
          <w:rStyle w:val="normaltextrun"/>
          <w:rFonts w:ascii="Calibri" w:eastAsiaTheme="majorEastAsia" w:hAnsi="Calibri" w:cs="Calibri"/>
          <w:color w:val="2C3E50"/>
        </w:rPr>
        <w:t xml:space="preserve">, E. and Mindell, J. (2012). Most older pedestrians are unable to cross the road in time: a cross-sectional study. </w:t>
      </w:r>
      <w:r>
        <w:rPr>
          <w:rStyle w:val="normaltextrun"/>
          <w:rFonts w:ascii="Calibri" w:eastAsiaTheme="majorEastAsia" w:hAnsi="Calibri" w:cs="Calibri"/>
          <w:i/>
          <w:iCs/>
          <w:color w:val="2C3E50"/>
        </w:rPr>
        <w:t>Age and Ageing</w:t>
      </w:r>
      <w:r>
        <w:rPr>
          <w:rStyle w:val="normaltextrun"/>
          <w:rFonts w:ascii="Calibri" w:eastAsiaTheme="majorEastAsia" w:hAnsi="Calibri" w:cs="Calibri"/>
          <w:color w:val="2C3E50"/>
        </w:rPr>
        <w:t xml:space="preserve">, 41(5), pp.690–694. Doi: </w:t>
      </w:r>
      <w:hyperlink r:id="rId13" w:tgtFrame="_blank" w:history="1">
        <w:r>
          <w:rPr>
            <w:rStyle w:val="normaltextrun"/>
            <w:rFonts w:ascii="Calibri" w:eastAsiaTheme="majorEastAsia" w:hAnsi="Calibri" w:cs="Calibri"/>
            <w:color w:val="467886"/>
            <w:u w:val="single"/>
          </w:rPr>
          <w:t>HTTPs://doi.org/10.1093/ageing/afs076.(Accessed</w:t>
        </w:r>
      </w:hyperlink>
      <w:r>
        <w:rPr>
          <w:rStyle w:val="normaltextrun"/>
          <w:rFonts w:ascii="Calibri" w:eastAsiaTheme="majorEastAsia" w:hAnsi="Calibri" w:cs="Calibri"/>
          <w:color w:val="2C3E50"/>
        </w:rPr>
        <w:t xml:space="preserve"> in 2024).</w:t>
      </w:r>
      <w:r>
        <w:rPr>
          <w:rStyle w:val="eop"/>
          <w:rFonts w:ascii="Calibri" w:eastAsiaTheme="majorEastAsia" w:hAnsi="Calibri" w:cs="Calibri"/>
          <w:color w:val="2C3E50"/>
        </w:rPr>
        <w:t> </w:t>
      </w:r>
    </w:p>
    <w:p w14:paraId="74A10DB2" w14:textId="77777777" w:rsidR="009F2E43" w:rsidRDefault="009F2E43" w:rsidP="009F2E4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 Barnes, L.L., Mendes de Leon, C.F., Wilson, R.S., Bienias, J.L. and Evans, D.A. (2004). Social resources and cognitive decline in a population of older African Americans and whites. </w:t>
      </w:r>
      <w:r>
        <w:rPr>
          <w:rStyle w:val="normaltextrun"/>
          <w:rFonts w:ascii="Calibri" w:eastAsiaTheme="majorEastAsia" w:hAnsi="Calibri" w:cs="Calibri"/>
          <w:i/>
          <w:iCs/>
          <w:color w:val="2C3E50"/>
        </w:rPr>
        <w:t>Neurology</w:t>
      </w:r>
      <w:r>
        <w:rPr>
          <w:rStyle w:val="normaltextrun"/>
          <w:rFonts w:ascii="Calibri" w:eastAsiaTheme="majorEastAsia" w:hAnsi="Calibri" w:cs="Calibri"/>
          <w:color w:val="2C3E50"/>
        </w:rPr>
        <w:t>, 63(12), pp.2322–2326. Doi: HTTPs</w:t>
      </w:r>
      <w:hyperlink r:id="rId14" w:tgtFrame="_blank" w:history="1">
        <w:r>
          <w:rPr>
            <w:rStyle w:val="normaltextrun"/>
            <w:rFonts w:ascii="Calibri" w:eastAsiaTheme="majorEastAsia" w:hAnsi="Calibri" w:cs="Calibri"/>
            <w:color w:val="467886"/>
            <w:u w:val="single"/>
          </w:rPr>
          <w:t>://doi.org/10.1212/01.wnl.</w:t>
        </w:r>
        <w:proofErr w:type="gramStart"/>
        <w:r>
          <w:rPr>
            <w:rStyle w:val="normaltextrun"/>
            <w:rFonts w:ascii="Calibri" w:eastAsiaTheme="majorEastAsia" w:hAnsi="Calibri" w:cs="Calibri"/>
            <w:color w:val="467886"/>
            <w:u w:val="single"/>
          </w:rPr>
          <w:t>0000147473.04043.b</w:t>
        </w:r>
        <w:proofErr w:type="gramEnd"/>
        <w:r>
          <w:rPr>
            <w:rStyle w:val="normaltextrun"/>
            <w:rFonts w:ascii="Calibri" w:eastAsiaTheme="majorEastAsia" w:hAnsi="Calibri" w:cs="Calibri"/>
            <w:color w:val="467886"/>
            <w:u w:val="single"/>
          </w:rPr>
          <w:t>3(Accessed</w:t>
        </w:r>
      </w:hyperlink>
      <w:r>
        <w:rPr>
          <w:rStyle w:val="normaltextrun"/>
          <w:rFonts w:ascii="Calibri" w:eastAsiaTheme="majorEastAsia" w:hAnsi="Calibri" w:cs="Calibri"/>
          <w:color w:val="000000"/>
        </w:rPr>
        <w:t xml:space="preserve"> in 2024).</w:t>
      </w:r>
      <w:r>
        <w:rPr>
          <w:rStyle w:val="eop"/>
          <w:rFonts w:ascii="Calibri" w:eastAsiaTheme="majorEastAsia" w:hAnsi="Calibri" w:cs="Calibri"/>
          <w:color w:val="000000"/>
        </w:rPr>
        <w:t> </w:t>
      </w:r>
    </w:p>
    <w:p w14:paraId="61975CA6" w14:textId="77777777" w:rsidR="009F2E43" w:rsidRDefault="009F2E43" w:rsidP="009F2E4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Choi, M., Joshua Kirabo </w:t>
      </w:r>
      <w:proofErr w:type="spellStart"/>
      <w:r>
        <w:rPr>
          <w:rStyle w:val="normaltextrun"/>
          <w:rFonts w:ascii="Calibri" w:eastAsiaTheme="majorEastAsia" w:hAnsi="Calibri" w:cs="Calibri"/>
          <w:color w:val="2C3E50"/>
        </w:rPr>
        <w:t>Sempungu</w:t>
      </w:r>
      <w:proofErr w:type="spellEnd"/>
      <w:r>
        <w:rPr>
          <w:rStyle w:val="normaltextrun"/>
          <w:rFonts w:ascii="Calibri" w:eastAsiaTheme="majorEastAsia" w:hAnsi="Calibri" w:cs="Calibri"/>
          <w:color w:val="2C3E50"/>
        </w:rPr>
        <w:t xml:space="preserve">, Eun Hae Lee and </w:t>
      </w:r>
      <w:proofErr w:type="spellStart"/>
      <w:r>
        <w:rPr>
          <w:rStyle w:val="normaltextrun"/>
          <w:rFonts w:ascii="Calibri" w:eastAsiaTheme="majorEastAsia" w:hAnsi="Calibri" w:cs="Calibri"/>
          <w:color w:val="2C3E50"/>
        </w:rPr>
        <w:t>Yo</w:t>
      </w:r>
      <w:proofErr w:type="spellEnd"/>
      <w:r>
        <w:rPr>
          <w:rStyle w:val="normaltextrun"/>
          <w:rFonts w:ascii="Calibri" w:eastAsiaTheme="majorEastAsia" w:hAnsi="Calibri" w:cs="Calibri"/>
          <w:color w:val="2C3E50"/>
        </w:rPr>
        <w:t xml:space="preserve"> Han Lee (2024). Living longer but in poor health: healthcare system responses to ageing populations in industrialised countries based on the Findings from the Global Burden of Disease Study 2019. </w:t>
      </w:r>
      <w:r>
        <w:rPr>
          <w:rStyle w:val="normaltextrun"/>
          <w:rFonts w:ascii="Calibri" w:eastAsiaTheme="majorEastAsia" w:hAnsi="Calibri" w:cs="Calibri"/>
          <w:i/>
          <w:iCs/>
          <w:color w:val="2C3E50"/>
        </w:rPr>
        <w:t>BMC Public Health</w:t>
      </w:r>
      <w:r>
        <w:rPr>
          <w:rStyle w:val="normaltextrun"/>
          <w:rFonts w:ascii="Calibri" w:eastAsiaTheme="majorEastAsia" w:hAnsi="Calibri" w:cs="Calibri"/>
          <w:color w:val="2C3E50"/>
        </w:rPr>
        <w:t>, 24(1</w:t>
      </w:r>
      <w:proofErr w:type="gramStart"/>
      <w:r>
        <w:rPr>
          <w:rStyle w:val="normaltextrun"/>
          <w:rFonts w:ascii="Calibri" w:eastAsiaTheme="majorEastAsia" w:hAnsi="Calibri" w:cs="Calibri"/>
          <w:color w:val="2C3E50"/>
        </w:rPr>
        <w:t>).</w:t>
      </w:r>
      <w:proofErr w:type="spellStart"/>
      <w:r>
        <w:rPr>
          <w:rStyle w:val="normaltextrun"/>
          <w:rFonts w:ascii="Calibri" w:eastAsiaTheme="majorEastAsia" w:hAnsi="Calibri" w:cs="Calibri"/>
          <w:color w:val="2C3E50"/>
        </w:rPr>
        <w:t>Doi</w:t>
      </w:r>
      <w:proofErr w:type="gramEnd"/>
      <w:r>
        <w:rPr>
          <w:rStyle w:val="normaltextrun"/>
          <w:rFonts w:ascii="Calibri" w:eastAsiaTheme="majorEastAsia" w:hAnsi="Calibri" w:cs="Calibri"/>
          <w:color w:val="2C3E50"/>
        </w:rPr>
        <w:t>:HTTPs</w:t>
      </w:r>
      <w:proofErr w:type="spellEnd"/>
      <w:r>
        <w:rPr>
          <w:rStyle w:val="normaltextrun"/>
          <w:rFonts w:ascii="Calibri" w:eastAsiaTheme="majorEastAsia" w:hAnsi="Calibri" w:cs="Calibri"/>
          <w:color w:val="2C3E50"/>
        </w:rPr>
        <w:t>://doi.org/10.1186/s12889-024-18049-0.(Accessed in 2024).</w:t>
      </w:r>
      <w:r>
        <w:rPr>
          <w:rStyle w:val="eop"/>
          <w:rFonts w:ascii="Calibri" w:eastAsiaTheme="majorEastAsia" w:hAnsi="Calibri" w:cs="Calibri"/>
          <w:color w:val="2C3E50"/>
        </w:rPr>
        <w:t> </w:t>
      </w:r>
    </w:p>
    <w:p w14:paraId="2A7D5689" w14:textId="77777777" w:rsidR="00C845FD" w:rsidRDefault="00C845FD"/>
    <w:p w14:paraId="73B2DCE8" w14:textId="77777777" w:rsidR="009F2E43" w:rsidRDefault="009F2E43"/>
    <w:p w14:paraId="165EA58F" w14:textId="77777777" w:rsidR="009F2E43" w:rsidRDefault="009F2E43"/>
    <w:p w14:paraId="134A489C" w14:textId="77777777" w:rsidR="009F2E43" w:rsidRDefault="009F2E43"/>
    <w:p w14:paraId="056CBD51" w14:textId="77777777" w:rsidR="009F2E43" w:rsidRDefault="009F2E43"/>
    <w:p w14:paraId="32A892A6" w14:textId="77777777" w:rsidR="009F2E43" w:rsidRDefault="009F2E43"/>
    <w:p w14:paraId="36659532" w14:textId="77777777" w:rsidR="009F2E43" w:rsidRDefault="009F2E43"/>
    <w:p w14:paraId="56078FC0" w14:textId="77777777" w:rsidR="009F2E43" w:rsidRDefault="009F2E43"/>
    <w:p w14:paraId="79C8AC3B" w14:textId="77777777" w:rsidR="009F2E43" w:rsidRDefault="009F2E43"/>
    <w:p w14:paraId="46648A2C" w14:textId="77777777" w:rsidR="009F2E43" w:rsidRDefault="009F2E43"/>
    <w:p w14:paraId="4A41E6E6" w14:textId="77777777" w:rsidR="009F2E43" w:rsidRDefault="009F2E43"/>
    <w:p w14:paraId="11DAC07A" w14:textId="77777777" w:rsidR="009F2E43" w:rsidRDefault="009F2E43"/>
    <w:p w14:paraId="5309F476" w14:textId="77777777" w:rsidR="009F2E43" w:rsidRDefault="009F2E43"/>
    <w:p w14:paraId="179A33F4" w14:textId="77777777" w:rsidR="009F2E43" w:rsidRDefault="009F2E43"/>
    <w:p w14:paraId="37C83B15" w14:textId="77777777" w:rsidR="009F2E43" w:rsidRDefault="009F2E43"/>
    <w:p w14:paraId="5A0F50F7" w14:textId="77777777" w:rsidR="00DC1E85" w:rsidRDefault="00DC1E85" w:rsidP="00DC1E85">
      <w:pPr>
        <w:pStyle w:val="paragraph"/>
        <w:spacing w:before="0" w:beforeAutospacing="0" w:after="0" w:afterAutospacing="0"/>
        <w:ind w:left="360"/>
        <w:textAlignment w:val="baseline"/>
        <w:rPr>
          <w:rFonts w:ascii="Segoe UI" w:hAnsi="Segoe UI" w:cs="Segoe UI"/>
          <w:sz w:val="18"/>
          <w:szCs w:val="18"/>
        </w:rPr>
      </w:pPr>
      <w:r>
        <w:rPr>
          <w:rStyle w:val="normaltextrun"/>
          <w:rFonts w:ascii="Calibri" w:eastAsiaTheme="majorEastAsia" w:hAnsi="Calibri" w:cs="Calibri"/>
          <w:color w:val="2C3E50"/>
        </w:rPr>
        <w:t xml:space="preserve">Crown Prosecution Service (2020). </w:t>
      </w:r>
      <w:r>
        <w:rPr>
          <w:rStyle w:val="normaltextrun"/>
          <w:rFonts w:ascii="Calibri" w:eastAsiaTheme="majorEastAsia" w:hAnsi="Calibri" w:cs="Calibri"/>
          <w:i/>
          <w:iCs/>
          <w:color w:val="2C3E50"/>
        </w:rPr>
        <w:t>Older People: Prosecuting Crimes against | The Crown Prosecution Service</w:t>
      </w:r>
      <w:r>
        <w:rPr>
          <w:rStyle w:val="normaltextrun"/>
          <w:rFonts w:ascii="Calibri" w:eastAsiaTheme="majorEastAsia" w:hAnsi="Calibri" w:cs="Calibri"/>
          <w:color w:val="2C3E50"/>
        </w:rPr>
        <w:t xml:space="preserve">. [online] </w:t>
      </w:r>
      <w:hyperlink r:id="rId15" w:tgtFrame="_blank" w:history="1">
        <w:r>
          <w:rPr>
            <w:rStyle w:val="normaltextrun"/>
            <w:rFonts w:ascii="Calibri" w:eastAsiaTheme="majorEastAsia" w:hAnsi="Calibri" w:cs="Calibri"/>
            <w:color w:val="467886"/>
            <w:u w:val="single"/>
          </w:rPr>
          <w:t>www.cps.gov.uk</w:t>
        </w:r>
      </w:hyperlink>
      <w:r>
        <w:rPr>
          <w:rStyle w:val="normaltextrun"/>
          <w:rFonts w:ascii="Calibri" w:eastAsiaTheme="majorEastAsia" w:hAnsi="Calibri" w:cs="Calibri"/>
          <w:color w:val="2C3E50"/>
        </w:rPr>
        <w:t xml:space="preserve">. Available at: </w:t>
      </w:r>
      <w:hyperlink r:id="rId16" w:tgtFrame="_blank" w:history="1">
        <w:r>
          <w:rPr>
            <w:rStyle w:val="normaltextrun"/>
            <w:rFonts w:ascii="Calibri" w:eastAsiaTheme="majorEastAsia" w:hAnsi="Calibri" w:cs="Calibri"/>
            <w:color w:val="467886"/>
            <w:u w:val="single"/>
          </w:rPr>
          <w:t>https://www.cps.gov.uk/legal-guidance/older-people-prosecuting-crimes-against.(Accessed</w:t>
        </w:r>
      </w:hyperlink>
      <w:r>
        <w:rPr>
          <w:rStyle w:val="normaltextrun"/>
          <w:rFonts w:ascii="Calibri" w:eastAsiaTheme="majorEastAsia" w:hAnsi="Calibri" w:cs="Calibri"/>
          <w:color w:val="2C3E50"/>
        </w:rPr>
        <w:t xml:space="preserve"> in 2024).</w:t>
      </w:r>
      <w:r>
        <w:rPr>
          <w:rStyle w:val="eop"/>
          <w:rFonts w:ascii="Calibri" w:eastAsiaTheme="majorEastAsia" w:hAnsi="Calibri" w:cs="Calibri"/>
          <w:color w:val="2C3E50"/>
        </w:rPr>
        <w:t> </w:t>
      </w:r>
    </w:p>
    <w:p w14:paraId="18A1EF72"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Care Quality Commission (2022) Impact of the pandemic. Available at: </w:t>
      </w:r>
      <w:hyperlink r:id="rId17" w:tgtFrame="_blank" w:history="1">
        <w:r>
          <w:rPr>
            <w:rStyle w:val="normaltextrun"/>
            <w:rFonts w:ascii="Calibri" w:eastAsiaTheme="majorEastAsia" w:hAnsi="Calibri" w:cs="Calibri"/>
            <w:color w:val="467886"/>
            <w:u w:val="single"/>
          </w:rPr>
          <w:t>Impact of the pandemic - Care Quality Commission (cqc.org.uk).(Accessed</w:t>
        </w:r>
      </w:hyperlink>
      <w:r>
        <w:rPr>
          <w:rStyle w:val="normaltextrun"/>
          <w:rFonts w:ascii="Calibri" w:eastAsiaTheme="majorEastAsia" w:hAnsi="Calibri" w:cs="Calibri"/>
          <w:color w:val="000000"/>
        </w:rPr>
        <w:t xml:space="preserve"> in 2024).</w:t>
      </w:r>
      <w:r>
        <w:rPr>
          <w:rStyle w:val="eop"/>
          <w:rFonts w:ascii="Calibri" w:eastAsiaTheme="majorEastAsia" w:hAnsi="Calibri" w:cs="Calibri"/>
          <w:color w:val="000000"/>
        </w:rPr>
        <w:t> </w:t>
      </w:r>
    </w:p>
    <w:p w14:paraId="176BA87B"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Dunn, P., Ewbank, L. and </w:t>
      </w:r>
      <w:proofErr w:type="spellStart"/>
      <w:r>
        <w:rPr>
          <w:rStyle w:val="normaltextrun"/>
          <w:rFonts w:ascii="Calibri" w:eastAsiaTheme="majorEastAsia" w:hAnsi="Calibri" w:cs="Calibri"/>
          <w:color w:val="2C3E50"/>
        </w:rPr>
        <w:t>Alderwick</w:t>
      </w:r>
      <w:proofErr w:type="spellEnd"/>
      <w:r>
        <w:rPr>
          <w:rStyle w:val="normaltextrun"/>
          <w:rFonts w:ascii="Calibri" w:eastAsiaTheme="majorEastAsia" w:hAnsi="Calibri" w:cs="Calibri"/>
          <w:color w:val="2C3E50"/>
        </w:rPr>
        <w:t xml:space="preserve">, H. (2023). </w:t>
      </w:r>
      <w:r>
        <w:rPr>
          <w:rStyle w:val="normaltextrun"/>
          <w:rFonts w:ascii="Calibri" w:eastAsiaTheme="majorEastAsia" w:hAnsi="Calibri" w:cs="Calibri"/>
          <w:i/>
          <w:iCs/>
          <w:color w:val="2C3E50"/>
        </w:rPr>
        <w:t>Nine Major Challenges Facing Health and Care in England - the Health Foundation</w:t>
      </w:r>
      <w:r>
        <w:rPr>
          <w:rStyle w:val="normaltextrun"/>
          <w:rFonts w:ascii="Calibri" w:eastAsiaTheme="majorEastAsia" w:hAnsi="Calibri" w:cs="Calibri"/>
          <w:color w:val="2C3E50"/>
        </w:rPr>
        <w:t xml:space="preserve">. </w:t>
      </w:r>
      <w:hyperlink r:id="rId18" w:tgtFrame="_blank" w:history="1">
        <w:r>
          <w:rPr>
            <w:rStyle w:val="normaltextrun"/>
            <w:rFonts w:ascii="Calibri" w:eastAsiaTheme="majorEastAsia" w:hAnsi="Calibri" w:cs="Calibri"/>
            <w:color w:val="467886"/>
            <w:u w:val="single"/>
          </w:rPr>
          <w:t>www.health.org.uk</w:t>
        </w:r>
      </w:hyperlink>
      <w:r>
        <w:rPr>
          <w:rStyle w:val="normaltextrun"/>
          <w:rFonts w:ascii="Calibri" w:eastAsiaTheme="majorEastAsia" w:hAnsi="Calibri" w:cs="Calibri"/>
          <w:color w:val="2C3E50"/>
        </w:rPr>
        <w:t xml:space="preserve">. Available at: </w:t>
      </w:r>
      <w:hyperlink r:id="rId19" w:tgtFrame="_blank" w:history="1">
        <w:r>
          <w:rPr>
            <w:rStyle w:val="normaltextrun"/>
            <w:rFonts w:ascii="Calibri" w:eastAsiaTheme="majorEastAsia" w:hAnsi="Calibri" w:cs="Calibri"/>
            <w:color w:val="467886"/>
            <w:u w:val="single"/>
          </w:rPr>
          <w:t>https://www.health.org.uk/publications/long-reads/nine-major-challenges-facing-health-and-care-in-england</w:t>
        </w:r>
      </w:hyperlink>
      <w:r>
        <w:rPr>
          <w:rStyle w:val="normaltextrun"/>
          <w:rFonts w:ascii="Calibri" w:eastAsiaTheme="majorEastAsia" w:hAnsi="Calibri" w:cs="Calibri"/>
          <w:color w:val="2C3E50"/>
        </w:rPr>
        <w:t>. </w:t>
      </w:r>
      <w:r>
        <w:rPr>
          <w:rStyle w:val="eop"/>
          <w:rFonts w:ascii="Calibri" w:eastAsiaTheme="majorEastAsia" w:hAnsi="Calibri" w:cs="Calibri"/>
          <w:color w:val="2C3E50"/>
        </w:rPr>
        <w:t> </w:t>
      </w:r>
    </w:p>
    <w:p w14:paraId="182B35C7"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12121"/>
        </w:rPr>
        <w:t xml:space="preserve">Havighurst., R., J. (1961). Successful aging. </w:t>
      </w:r>
      <w:r>
        <w:rPr>
          <w:rStyle w:val="normaltextrun"/>
          <w:rFonts w:ascii="Calibri" w:eastAsiaTheme="majorEastAsia" w:hAnsi="Calibri" w:cs="Calibri"/>
          <w:i/>
          <w:iCs/>
          <w:color w:val="212121"/>
        </w:rPr>
        <w:t>The Gerontologist</w:t>
      </w:r>
      <w:r>
        <w:rPr>
          <w:rStyle w:val="normaltextrun"/>
          <w:rFonts w:ascii="Calibri" w:eastAsiaTheme="majorEastAsia" w:hAnsi="Calibri" w:cs="Calibri"/>
          <w:color w:val="212121"/>
        </w:rPr>
        <w:t>, 1, 8–13. [</w:t>
      </w:r>
      <w:hyperlink r:id="rId20" w:tgtFrame="_blank" w:history="1">
        <w:r>
          <w:rPr>
            <w:rStyle w:val="normaltextrun"/>
            <w:rFonts w:ascii="Calibri" w:eastAsiaTheme="majorEastAsia" w:hAnsi="Calibri" w:cs="Calibri"/>
            <w:color w:val="467886"/>
            <w:u w:val="single"/>
          </w:rPr>
          <w:t>Google Scholar</w:t>
        </w:r>
      </w:hyperlink>
      <w:r>
        <w:rPr>
          <w:rStyle w:val="normaltextrun"/>
          <w:rFonts w:ascii="Calibri" w:eastAsiaTheme="majorEastAsia" w:hAnsi="Calibri" w:cs="Calibri"/>
          <w:color w:val="212121"/>
        </w:rPr>
        <w:t>](Accessed in 2024).</w:t>
      </w:r>
      <w:r>
        <w:rPr>
          <w:rStyle w:val="eop"/>
          <w:rFonts w:ascii="Calibri" w:eastAsiaTheme="majorEastAsia" w:hAnsi="Calibri" w:cs="Calibri"/>
          <w:color w:val="212121"/>
        </w:rPr>
        <w:t> </w:t>
      </w:r>
    </w:p>
    <w:p w14:paraId="4CBAC485"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Key Issues for the New Parliament (2010). (n.d.). Available at: </w:t>
      </w:r>
      <w:hyperlink r:id="rId21" w:tgtFrame="_blank" w:history="1">
        <w:r>
          <w:rPr>
            <w:rStyle w:val="normaltextrun"/>
            <w:rFonts w:ascii="Calibri" w:eastAsiaTheme="majorEastAsia" w:hAnsi="Calibri" w:cs="Calibri"/>
            <w:color w:val="467886"/>
            <w:u w:val="single"/>
          </w:rPr>
          <w:t>https://www.parliament.uk/globalassets/documents/commons/lib/research/key_issues/key-issues-the-ageing-population2007.pdf</w:t>
        </w:r>
      </w:hyperlink>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3412091E"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McPhee, J.S., French, D.P., Jackson, D., </w:t>
      </w:r>
      <w:proofErr w:type="spellStart"/>
      <w:r>
        <w:rPr>
          <w:rStyle w:val="normaltextrun"/>
          <w:rFonts w:ascii="Calibri" w:eastAsiaTheme="majorEastAsia" w:hAnsi="Calibri" w:cs="Calibri"/>
          <w:color w:val="2C3E50"/>
        </w:rPr>
        <w:t>Nazroo</w:t>
      </w:r>
      <w:proofErr w:type="spellEnd"/>
      <w:r>
        <w:rPr>
          <w:rStyle w:val="normaltextrun"/>
          <w:rFonts w:ascii="Calibri" w:eastAsiaTheme="majorEastAsia" w:hAnsi="Calibri" w:cs="Calibri"/>
          <w:color w:val="2C3E50"/>
        </w:rPr>
        <w:t xml:space="preserve">, J., Pendleton, N. and </w:t>
      </w:r>
      <w:proofErr w:type="spellStart"/>
      <w:r>
        <w:rPr>
          <w:rStyle w:val="normaltextrun"/>
          <w:rFonts w:ascii="Calibri" w:eastAsiaTheme="majorEastAsia" w:hAnsi="Calibri" w:cs="Calibri"/>
          <w:color w:val="2C3E50"/>
        </w:rPr>
        <w:t>Degens</w:t>
      </w:r>
      <w:proofErr w:type="spellEnd"/>
      <w:r>
        <w:rPr>
          <w:rStyle w:val="normaltextrun"/>
          <w:rFonts w:ascii="Calibri" w:eastAsiaTheme="majorEastAsia" w:hAnsi="Calibri" w:cs="Calibri"/>
          <w:color w:val="2C3E50"/>
        </w:rPr>
        <w:t xml:space="preserve">, H. (2016). Physical Activity in Older age: Perspectives for Healthy Ageing and Frailty. </w:t>
      </w:r>
      <w:r>
        <w:rPr>
          <w:rStyle w:val="normaltextrun"/>
          <w:rFonts w:ascii="Calibri" w:eastAsiaTheme="majorEastAsia" w:hAnsi="Calibri" w:cs="Calibri"/>
          <w:i/>
          <w:iCs/>
          <w:color w:val="2C3E50"/>
        </w:rPr>
        <w:t>Biogerontology</w:t>
      </w:r>
      <w:r>
        <w:rPr>
          <w:rStyle w:val="normaltextrun"/>
          <w:rFonts w:ascii="Calibri" w:eastAsiaTheme="majorEastAsia" w:hAnsi="Calibri" w:cs="Calibri"/>
          <w:color w:val="2C3E50"/>
        </w:rPr>
        <w:t xml:space="preserve">, 17(3), pp.567–580.Available at: </w:t>
      </w:r>
      <w:hyperlink r:id="rId22" w:tgtFrame="_blank" w:history="1">
        <w:r>
          <w:rPr>
            <w:rStyle w:val="normaltextrun"/>
            <w:rFonts w:ascii="Calibri" w:eastAsiaTheme="majorEastAsia" w:hAnsi="Calibri" w:cs="Calibri"/>
            <w:color w:val="467886"/>
            <w:u w:val="single"/>
          </w:rPr>
          <w:t>https://doi.org/10.1007/s10522-016-9641-0(Accessed</w:t>
        </w:r>
      </w:hyperlink>
      <w:r>
        <w:rPr>
          <w:rStyle w:val="normaltextrun"/>
          <w:rFonts w:ascii="Calibri" w:eastAsiaTheme="majorEastAsia" w:hAnsi="Calibri" w:cs="Calibri"/>
          <w:color w:val="000000"/>
        </w:rPr>
        <w:t xml:space="preserve"> in 2024).</w:t>
      </w:r>
      <w:r>
        <w:rPr>
          <w:rStyle w:val="eop"/>
          <w:rFonts w:ascii="Calibri" w:eastAsiaTheme="majorEastAsia" w:hAnsi="Calibri" w:cs="Calibri"/>
          <w:color w:val="000000"/>
        </w:rPr>
        <w:t> </w:t>
      </w:r>
    </w:p>
    <w:p w14:paraId="32F4A5D5"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NHS Choices (2019). </w:t>
      </w:r>
      <w:r>
        <w:rPr>
          <w:rStyle w:val="normaltextrun"/>
          <w:rFonts w:ascii="Calibri" w:eastAsiaTheme="majorEastAsia" w:hAnsi="Calibri" w:cs="Calibri"/>
          <w:i/>
          <w:iCs/>
          <w:color w:val="2C3E50"/>
        </w:rPr>
        <w:t>Exercise</w:t>
      </w:r>
      <w:r>
        <w:rPr>
          <w:rStyle w:val="normaltextrun"/>
          <w:rFonts w:ascii="Calibri" w:eastAsiaTheme="majorEastAsia" w:hAnsi="Calibri" w:cs="Calibri"/>
          <w:color w:val="2C3E50"/>
        </w:rPr>
        <w:t xml:space="preserve">. [online] NHS. Available at: </w:t>
      </w:r>
      <w:hyperlink r:id="rId23" w:tgtFrame="_blank" w:history="1">
        <w:r>
          <w:rPr>
            <w:rStyle w:val="normaltextrun"/>
            <w:rFonts w:ascii="Calibri" w:eastAsiaTheme="majorEastAsia" w:hAnsi="Calibri" w:cs="Calibri"/>
            <w:color w:val="467886"/>
            <w:u w:val="single"/>
          </w:rPr>
          <w:t>https://www.nhs.uk/live-well/exercise/physical-activity-guidelines-older-adults/</w:t>
        </w:r>
      </w:hyperlink>
      <w:r>
        <w:rPr>
          <w:rStyle w:val="normaltextrun"/>
          <w:rFonts w:ascii="Calibri" w:eastAsiaTheme="majorEastAsia" w:hAnsi="Calibri" w:cs="Calibri"/>
          <w:color w:val="2C3E50"/>
        </w:rPr>
        <w:t>. </w:t>
      </w:r>
      <w:r>
        <w:rPr>
          <w:rStyle w:val="normaltextrun"/>
          <w:rFonts w:ascii="Calibri" w:eastAsiaTheme="majorEastAsia" w:hAnsi="Calibri" w:cs="Calibri"/>
          <w:color w:val="000000"/>
        </w:rPr>
        <w:t xml:space="preserve"> (Accessed in 2024).</w:t>
      </w:r>
      <w:r>
        <w:rPr>
          <w:rStyle w:val="eop"/>
          <w:rFonts w:ascii="Calibri" w:eastAsiaTheme="majorEastAsia" w:hAnsi="Calibri" w:cs="Calibri"/>
          <w:color w:val="000000"/>
        </w:rPr>
        <w:t> </w:t>
      </w:r>
    </w:p>
    <w:p w14:paraId="6E8A9F5D"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No Age Limit: the blind spot of older victims and survivors in the Domestic Abuse Bill No Age Limit: the blind spot of older victims and survivors in the Domestic Abuse Bill. (2020)., </w:t>
      </w:r>
      <w:proofErr w:type="spellStart"/>
      <w:r>
        <w:rPr>
          <w:rStyle w:val="normaltextrun"/>
          <w:rFonts w:ascii="Calibri" w:eastAsiaTheme="majorEastAsia" w:hAnsi="Calibri" w:cs="Calibri"/>
          <w:color w:val="2C3E50"/>
        </w:rPr>
        <w:t>a</w:t>
      </w:r>
      <w:proofErr w:type="spellEnd"/>
      <w:r>
        <w:rPr>
          <w:rStyle w:val="normaltextrun"/>
          <w:rFonts w:ascii="Calibri" w:eastAsiaTheme="majorEastAsia" w:hAnsi="Calibri" w:cs="Calibri"/>
          <w:color w:val="2C3E50"/>
        </w:rPr>
        <w:t xml:space="preserve"> Available at: </w:t>
      </w:r>
      <w:hyperlink r:id="rId24" w:tgtFrame="_blank" w:history="1">
        <w:r>
          <w:rPr>
            <w:rStyle w:val="normaltextrun"/>
            <w:rFonts w:ascii="Calibri" w:eastAsiaTheme="majorEastAsia" w:hAnsi="Calibri" w:cs="Calibri"/>
            <w:color w:val="467886"/>
            <w:u w:val="single"/>
          </w:rPr>
          <w:t>https://www.ageuk.org.uk/globalassets/age-uk/documents/reports-and-publications/age_uk_no_age_limit_sept2020.pdf</w:t>
        </w:r>
      </w:hyperlink>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57109B75"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r>
        <w:rPr>
          <w:rStyle w:val="normaltextrun"/>
          <w:rFonts w:ascii="Calibri" w:eastAsiaTheme="majorEastAsia" w:hAnsi="Calibri" w:cs="Calibri"/>
          <w:color w:val="2C3E50"/>
        </w:rPr>
        <w:t xml:space="preserve">Office for National Statistics (2022). </w:t>
      </w:r>
      <w:r>
        <w:rPr>
          <w:rStyle w:val="normaltextrun"/>
          <w:rFonts w:ascii="Calibri" w:eastAsiaTheme="majorEastAsia" w:hAnsi="Calibri" w:cs="Calibri"/>
          <w:i/>
          <w:iCs/>
          <w:color w:val="2C3E50"/>
        </w:rPr>
        <w:t>Population and household estimates, Wales - Office for National Statistics</w:t>
      </w:r>
      <w:r>
        <w:rPr>
          <w:rStyle w:val="normaltextrun"/>
          <w:rFonts w:ascii="Calibri" w:eastAsiaTheme="majorEastAsia" w:hAnsi="Calibri" w:cs="Calibri"/>
          <w:color w:val="2C3E50"/>
        </w:rPr>
        <w:t xml:space="preserve">. [online] </w:t>
      </w:r>
      <w:hyperlink r:id="rId25" w:tgtFrame="_blank" w:history="1">
        <w:r>
          <w:rPr>
            <w:rStyle w:val="normaltextrun"/>
            <w:rFonts w:ascii="Calibri" w:eastAsiaTheme="majorEastAsia" w:hAnsi="Calibri" w:cs="Calibri"/>
            <w:color w:val="467886"/>
            <w:u w:val="single"/>
          </w:rPr>
          <w:t>www.ons.gov.uk</w:t>
        </w:r>
      </w:hyperlink>
      <w:r>
        <w:rPr>
          <w:rStyle w:val="normaltextrun"/>
          <w:rFonts w:ascii="Calibri" w:eastAsiaTheme="majorEastAsia" w:hAnsi="Calibri" w:cs="Calibri"/>
          <w:color w:val="2C3E50"/>
        </w:rPr>
        <w:t xml:space="preserve">. Available at: </w:t>
      </w:r>
      <w:hyperlink r:id="rId26" w:tgtFrame="_blank" w:history="1">
        <w:r>
          <w:rPr>
            <w:rStyle w:val="normaltextrun"/>
            <w:rFonts w:ascii="Calibri" w:eastAsiaTheme="majorEastAsia" w:hAnsi="Calibri" w:cs="Calibri"/>
            <w:color w:val="467886"/>
            <w:u w:val="single"/>
          </w:rPr>
          <w:t>https://www.ons.gov.uk/peoplepopulationandcommunity/populationandmigration/populationestimates/bulletins/populationandhouseholdestimateswales/census2021</w:t>
        </w:r>
      </w:hyperlink>
      <w:r>
        <w:rPr>
          <w:rStyle w:val="normaltextrun"/>
          <w:rFonts w:ascii="Calibri" w:eastAsiaTheme="majorEastAsia" w:hAnsi="Calibri" w:cs="Calibri"/>
          <w:color w:val="2C3E50"/>
        </w:rPr>
        <w:t>. </w:t>
      </w:r>
      <w:r>
        <w:rPr>
          <w:rStyle w:val="normaltextrun"/>
          <w:rFonts w:ascii="Calibri" w:eastAsiaTheme="majorEastAsia" w:hAnsi="Calibri" w:cs="Calibri"/>
          <w:color w:val="000000"/>
        </w:rPr>
        <w:t> </w:t>
      </w:r>
      <w:r>
        <w:rPr>
          <w:rStyle w:val="eop"/>
          <w:rFonts w:ascii="Calibri" w:eastAsiaTheme="majorEastAsia" w:hAnsi="Calibri" w:cs="Calibri"/>
          <w:color w:val="000000"/>
        </w:rPr>
        <w:t> </w:t>
      </w:r>
    </w:p>
    <w:p w14:paraId="21558C83"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0EA2006F"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65393B70"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1D71970F"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4C5A0194"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4E7D5DE9"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25354DE0"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5DB81B01"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031611E5"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5B4043F8"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7C0F82A7"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7614FC3D"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7288429A"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121E64B2"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1708927A"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66D9ED47"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6BAAE458" w14:textId="77777777" w:rsidR="00DC1E85" w:rsidRDefault="00DC1E85" w:rsidP="00DC1E85">
      <w:pPr>
        <w:pStyle w:val="paragraph"/>
        <w:spacing w:before="0" w:beforeAutospacing="0" w:after="0" w:afterAutospacing="0"/>
        <w:textAlignment w:val="baseline"/>
        <w:rPr>
          <w:rStyle w:val="eop"/>
          <w:rFonts w:ascii="Calibri" w:eastAsiaTheme="majorEastAsia" w:hAnsi="Calibri" w:cs="Calibri"/>
          <w:color w:val="000000"/>
        </w:rPr>
      </w:pPr>
    </w:p>
    <w:p w14:paraId="223E4B84"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p>
    <w:p w14:paraId="244B9E5E"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Office for National Statistics (2023). </w:t>
      </w:r>
      <w:r>
        <w:rPr>
          <w:rStyle w:val="normaltextrun"/>
          <w:rFonts w:ascii="Calibri" w:eastAsiaTheme="majorEastAsia" w:hAnsi="Calibri" w:cs="Calibri"/>
          <w:i/>
          <w:iCs/>
          <w:color w:val="2C3E50"/>
        </w:rPr>
        <w:t>Profile of the older population living in England and Wales in 2021 and changes since 2011 - Office for National Statistics</w:t>
      </w:r>
      <w:r>
        <w:rPr>
          <w:rStyle w:val="normaltextrun"/>
          <w:rFonts w:ascii="Calibri" w:eastAsiaTheme="majorEastAsia" w:hAnsi="Calibri" w:cs="Calibri"/>
          <w:color w:val="2C3E50"/>
        </w:rPr>
        <w:t xml:space="preserve">. [online] </w:t>
      </w:r>
      <w:hyperlink r:id="rId27" w:tgtFrame="_blank" w:history="1">
        <w:r>
          <w:rPr>
            <w:rStyle w:val="normaltextrun"/>
            <w:rFonts w:ascii="Calibri" w:eastAsiaTheme="majorEastAsia" w:hAnsi="Calibri" w:cs="Calibri"/>
            <w:color w:val="467886"/>
            <w:u w:val="single"/>
          </w:rPr>
          <w:t>www.ons.gov.uk</w:t>
        </w:r>
      </w:hyperlink>
      <w:r>
        <w:rPr>
          <w:rStyle w:val="normaltextrun"/>
          <w:rFonts w:ascii="Calibri" w:eastAsiaTheme="majorEastAsia" w:hAnsi="Calibri" w:cs="Calibri"/>
          <w:color w:val="2C3E50"/>
        </w:rPr>
        <w:t xml:space="preserve">. Available at: </w:t>
      </w:r>
      <w:hyperlink r:id="rId28" w:tgtFrame="_blank" w:history="1">
        <w:r>
          <w:rPr>
            <w:rStyle w:val="normaltextrun"/>
            <w:rFonts w:ascii="Calibri" w:eastAsiaTheme="majorEastAsia" w:hAnsi="Calibri" w:cs="Calibri"/>
            <w:color w:val="467886"/>
            <w:u w:val="single"/>
          </w:rPr>
          <w:t>https://www.ons.gov.uk/peoplepopulationandcommunity/birthsdeathsandmarriages/ageing/articles/profileoftheolderpopulationlivinginenglandandwalesin2021andchangessince2011/2023-04-03</w:t>
        </w:r>
      </w:hyperlink>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04074090"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Prendergast, T. (2023). </w:t>
      </w:r>
      <w:r>
        <w:rPr>
          <w:rStyle w:val="normaltextrun"/>
          <w:rFonts w:ascii="Calibri" w:eastAsiaTheme="majorEastAsia" w:hAnsi="Calibri" w:cs="Calibri"/>
          <w:i/>
          <w:iCs/>
          <w:color w:val="2C3E50"/>
        </w:rPr>
        <w:t>Healthcare expenditure, UK Health Accounts - Office for National Statistics</w:t>
      </w:r>
      <w:r>
        <w:rPr>
          <w:rStyle w:val="normaltextrun"/>
          <w:rFonts w:ascii="Calibri" w:eastAsiaTheme="majorEastAsia" w:hAnsi="Calibri" w:cs="Calibri"/>
          <w:color w:val="2C3E50"/>
        </w:rPr>
        <w:t xml:space="preserve">. [online] </w:t>
      </w:r>
      <w:hyperlink r:id="rId29" w:tgtFrame="_blank" w:history="1">
        <w:r>
          <w:rPr>
            <w:rStyle w:val="normaltextrun"/>
            <w:rFonts w:ascii="Calibri" w:eastAsiaTheme="majorEastAsia" w:hAnsi="Calibri" w:cs="Calibri"/>
            <w:color w:val="467886"/>
            <w:u w:val="single"/>
          </w:rPr>
          <w:t>www.ons.gov.uk</w:t>
        </w:r>
      </w:hyperlink>
      <w:r>
        <w:rPr>
          <w:rStyle w:val="normaltextrun"/>
          <w:rFonts w:ascii="Calibri" w:eastAsiaTheme="majorEastAsia" w:hAnsi="Calibri" w:cs="Calibri"/>
          <w:color w:val="2C3E50"/>
        </w:rPr>
        <w:t xml:space="preserve">. Available at: </w:t>
      </w:r>
      <w:hyperlink r:id="rId30" w:tgtFrame="_blank" w:history="1">
        <w:r>
          <w:rPr>
            <w:rStyle w:val="normaltextrun"/>
            <w:rFonts w:ascii="Calibri" w:eastAsiaTheme="majorEastAsia" w:hAnsi="Calibri" w:cs="Calibri"/>
            <w:color w:val="467886"/>
            <w:u w:val="single"/>
          </w:rPr>
          <w:t>https://www.ons.gov.uk/peoplepopulationandcommunity/healthandsocialcare/healthcaresystem/bulletins/ukhealthaccounts/2021</w:t>
        </w:r>
      </w:hyperlink>
      <w:r>
        <w:rPr>
          <w:rStyle w:val="normaltextrun"/>
          <w:rFonts w:ascii="Calibri" w:eastAsiaTheme="majorEastAsia" w:hAnsi="Calibri" w:cs="Calibri"/>
          <w:color w:val="2C3E50"/>
        </w:rPr>
        <w:t>. </w:t>
      </w:r>
      <w:r>
        <w:rPr>
          <w:rStyle w:val="normaltextrun"/>
          <w:rFonts w:ascii="Calibri" w:eastAsiaTheme="majorEastAsia" w:hAnsi="Calibri" w:cs="Calibri"/>
          <w:color w:val="000000"/>
        </w:rPr>
        <w:t> </w:t>
      </w:r>
      <w:r>
        <w:rPr>
          <w:rStyle w:val="eop"/>
          <w:rFonts w:ascii="Calibri" w:eastAsiaTheme="majorEastAsia" w:hAnsi="Calibri" w:cs="Calibri"/>
          <w:color w:val="000000"/>
        </w:rPr>
        <w:t> </w:t>
      </w:r>
    </w:p>
    <w:p w14:paraId="25448192"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12121"/>
        </w:rPr>
        <w:t xml:space="preserve">Reeves, C., Islam, A., Gentry, T. (2024) The State of Health and Care of Older People,2023. Available at: </w:t>
      </w:r>
      <w:hyperlink r:id="rId31" w:anchor=":~:text=In%202023%20there%20are%2011%20million%20people%20aged,by%202043%20%281.1%20and%203.5%20million%20people%20respectively%29." w:tgtFrame="_blank" w:history="1">
        <w:r>
          <w:rPr>
            <w:rStyle w:val="normaltextrun"/>
            <w:rFonts w:ascii="Calibri" w:eastAsiaTheme="majorEastAsia" w:hAnsi="Calibri" w:cs="Calibri"/>
            <w:color w:val="467886"/>
            <w:u w:val="single"/>
          </w:rPr>
          <w:t>https://www.ageuk.org.uk/globalassets/age-uk/documents/reports-and-publications/reports-and-briefings/health--wellbeing/age-uk-briefing-state-of-health-and-care-july-2023-abridged-version.pdf.</w:t>
        </w:r>
      </w:hyperlink>
      <w:r>
        <w:rPr>
          <w:rStyle w:val="normaltextrun"/>
          <w:rFonts w:ascii="Calibri" w:eastAsiaTheme="majorEastAsia" w:hAnsi="Calibri" w:cs="Calibri"/>
          <w:color w:val="000000"/>
        </w:rPr>
        <w:t xml:space="preserve"> (Accessed in 2024).</w:t>
      </w:r>
      <w:r>
        <w:rPr>
          <w:rStyle w:val="eop"/>
          <w:rFonts w:ascii="Calibri" w:eastAsiaTheme="majorEastAsia" w:hAnsi="Calibri" w:cs="Calibri"/>
          <w:color w:val="000000"/>
        </w:rPr>
        <w:t> </w:t>
      </w:r>
    </w:p>
    <w:p w14:paraId="502B8CCA"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United Nations (2019, a). </w:t>
      </w:r>
      <w:r>
        <w:rPr>
          <w:rStyle w:val="normaltextrun"/>
          <w:rFonts w:ascii="Calibri" w:eastAsiaTheme="majorEastAsia" w:hAnsi="Calibri" w:cs="Calibri"/>
          <w:i/>
          <w:iCs/>
          <w:color w:val="2C3E50"/>
        </w:rPr>
        <w:t>World Population Ageing 2019</w:t>
      </w:r>
      <w:r>
        <w:rPr>
          <w:rStyle w:val="normaltextrun"/>
          <w:rFonts w:ascii="Calibri" w:eastAsiaTheme="majorEastAsia" w:hAnsi="Calibri" w:cs="Calibri"/>
          <w:color w:val="2C3E50"/>
        </w:rPr>
        <w:t xml:space="preserve">. [online] </w:t>
      </w:r>
      <w:hyperlink r:id="rId32" w:tgtFrame="_blank" w:history="1">
        <w:r>
          <w:rPr>
            <w:rStyle w:val="normaltextrun"/>
            <w:rFonts w:ascii="Calibri" w:eastAsiaTheme="majorEastAsia" w:hAnsi="Calibri" w:cs="Calibri"/>
            <w:color w:val="467886"/>
            <w:u w:val="single"/>
          </w:rPr>
          <w:t>www.un.org</w:t>
        </w:r>
      </w:hyperlink>
      <w:r>
        <w:rPr>
          <w:rStyle w:val="normaltextrun"/>
          <w:rFonts w:ascii="Calibri" w:eastAsiaTheme="majorEastAsia" w:hAnsi="Calibri" w:cs="Calibri"/>
          <w:color w:val="2C3E50"/>
        </w:rPr>
        <w:t xml:space="preserve">. Available at: </w:t>
      </w:r>
      <w:hyperlink r:id="rId33" w:tgtFrame="_blank" w:history="1">
        <w:r>
          <w:rPr>
            <w:rStyle w:val="normaltextrun"/>
            <w:rFonts w:ascii="Calibri" w:eastAsiaTheme="majorEastAsia" w:hAnsi="Calibri" w:cs="Calibri"/>
            <w:color w:val="467886"/>
            <w:u w:val="single"/>
          </w:rPr>
          <w:t>https://www.un.org/en/development/desa/population/publications/pdf/ageing/WorldPopulationAgeing2019-Highlights.pdf.(Accessed</w:t>
        </w:r>
      </w:hyperlink>
      <w:r>
        <w:rPr>
          <w:rStyle w:val="normaltextrun"/>
          <w:rFonts w:ascii="Calibri" w:eastAsiaTheme="majorEastAsia" w:hAnsi="Calibri" w:cs="Calibri"/>
          <w:color w:val="2C3E50"/>
        </w:rPr>
        <w:t xml:space="preserve"> in 2024).</w:t>
      </w:r>
      <w:r>
        <w:rPr>
          <w:rStyle w:val="eop"/>
          <w:rFonts w:ascii="Calibri" w:eastAsiaTheme="majorEastAsia" w:hAnsi="Calibri" w:cs="Calibri"/>
          <w:color w:val="2C3E50"/>
        </w:rPr>
        <w:t> </w:t>
      </w:r>
    </w:p>
    <w:p w14:paraId="31C4F78D"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United Nations (2019, b). </w:t>
      </w:r>
      <w:r>
        <w:rPr>
          <w:rStyle w:val="normaltextrun"/>
          <w:rFonts w:ascii="Calibri" w:eastAsiaTheme="majorEastAsia" w:hAnsi="Calibri" w:cs="Calibri"/>
          <w:i/>
          <w:iCs/>
          <w:color w:val="2C3E50"/>
        </w:rPr>
        <w:t>Our world is growing older: UN DESA releases new report on ageing</w:t>
      </w:r>
      <w:r>
        <w:rPr>
          <w:rStyle w:val="normaltextrun"/>
          <w:rFonts w:ascii="Calibri" w:eastAsiaTheme="majorEastAsia" w:hAnsi="Calibri" w:cs="Calibri"/>
          <w:color w:val="2C3E50"/>
        </w:rPr>
        <w:t xml:space="preserve">. [online] UN DESA | United Nations Department of Economic and Social Affairs. Available at: </w:t>
      </w:r>
      <w:hyperlink r:id="rId34" w:tgtFrame="_blank" w:history="1">
        <w:r>
          <w:rPr>
            <w:rStyle w:val="normaltextrun"/>
            <w:rFonts w:ascii="Calibri" w:eastAsiaTheme="majorEastAsia" w:hAnsi="Calibri" w:cs="Calibri"/>
            <w:color w:val="467886"/>
            <w:u w:val="single"/>
          </w:rPr>
          <w:t>https://www.un.org/development/desa/en/news/population/our-world-is-growing-older.html</w:t>
        </w:r>
      </w:hyperlink>
      <w:r>
        <w:rPr>
          <w:rStyle w:val="normaltextrun"/>
          <w:rFonts w:ascii="Calibri" w:eastAsiaTheme="majorEastAsia" w:hAnsi="Calibri" w:cs="Calibri"/>
          <w:color w:val="2C3E50"/>
        </w:rPr>
        <w:t>. </w:t>
      </w:r>
      <w:r>
        <w:rPr>
          <w:rStyle w:val="normaltextrun"/>
          <w:rFonts w:ascii="Calibri" w:eastAsiaTheme="majorEastAsia" w:hAnsi="Calibri" w:cs="Calibri"/>
          <w:color w:val="000000"/>
        </w:rPr>
        <w:t> </w:t>
      </w:r>
      <w:r>
        <w:rPr>
          <w:rStyle w:val="eop"/>
          <w:rFonts w:ascii="Calibri" w:eastAsiaTheme="majorEastAsia" w:hAnsi="Calibri" w:cs="Calibri"/>
          <w:color w:val="000000"/>
        </w:rPr>
        <w:t> </w:t>
      </w:r>
    </w:p>
    <w:p w14:paraId="6C59B1B7"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Williamson, G.M. and Christie, J. (2009). Aging Well in the 21st Century: Challenges and Opportunities. </w:t>
      </w:r>
      <w:r>
        <w:rPr>
          <w:rStyle w:val="normaltextrun"/>
          <w:rFonts w:ascii="Calibri" w:eastAsiaTheme="majorEastAsia" w:hAnsi="Calibri" w:cs="Calibri"/>
          <w:i/>
          <w:iCs/>
          <w:color w:val="2C3E50"/>
        </w:rPr>
        <w:t>The Oxford Handbook of Positive Psychology</w:t>
      </w:r>
      <w:r>
        <w:rPr>
          <w:rStyle w:val="normaltextrun"/>
          <w:rFonts w:ascii="Calibri" w:eastAsiaTheme="majorEastAsia" w:hAnsi="Calibri" w:cs="Calibri"/>
          <w:color w:val="2C3E50"/>
        </w:rPr>
        <w:t xml:space="preserve">, pp.164–170. </w:t>
      </w:r>
      <w:proofErr w:type="spellStart"/>
      <w:proofErr w:type="gramStart"/>
      <w:r>
        <w:rPr>
          <w:rStyle w:val="normaltextrun"/>
          <w:rFonts w:ascii="Calibri" w:eastAsiaTheme="majorEastAsia" w:hAnsi="Calibri" w:cs="Calibri"/>
          <w:color w:val="2C3E50"/>
        </w:rPr>
        <w:t>doi:https</w:t>
      </w:r>
      <w:proofErr w:type="spellEnd"/>
      <w:r>
        <w:rPr>
          <w:rStyle w:val="normaltextrun"/>
          <w:rFonts w:ascii="Calibri" w:eastAsiaTheme="majorEastAsia" w:hAnsi="Calibri" w:cs="Calibri"/>
          <w:color w:val="2C3E50"/>
        </w:rPr>
        <w:t>://doi.org/10.1093/</w:t>
      </w:r>
      <w:proofErr w:type="spellStart"/>
      <w:r>
        <w:rPr>
          <w:rStyle w:val="normaltextrun"/>
          <w:rFonts w:ascii="Calibri" w:eastAsiaTheme="majorEastAsia" w:hAnsi="Calibri" w:cs="Calibri"/>
          <w:color w:val="2C3E50"/>
        </w:rPr>
        <w:t>oxfordhb</w:t>
      </w:r>
      <w:proofErr w:type="spellEnd"/>
      <w:r>
        <w:rPr>
          <w:rStyle w:val="normaltextrun"/>
          <w:rFonts w:ascii="Calibri" w:eastAsiaTheme="majorEastAsia" w:hAnsi="Calibri" w:cs="Calibri"/>
          <w:color w:val="2C3E50"/>
        </w:rPr>
        <w:t>/9780195187243.013.0015</w:t>
      </w:r>
      <w:proofErr w:type="gramEnd"/>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48039CFC"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333333"/>
        </w:rPr>
        <w:t xml:space="preserve">World Health Organisation (2022) Ageing and Health. Available at: </w:t>
      </w:r>
      <w:hyperlink r:id="rId35" w:anchor=":~:text=At%20the%20biological%20level%2C%20ageing%20results%20from%20the,a%20growing%20risk%20of%20disease%20and%20ultimately%20death." w:tgtFrame="_blank" w:history="1">
        <w:r>
          <w:rPr>
            <w:rStyle w:val="normaltextrun"/>
            <w:rFonts w:ascii="Calibri" w:eastAsiaTheme="majorEastAsia" w:hAnsi="Calibri" w:cs="Calibri"/>
            <w:color w:val="467886"/>
            <w:u w:val="single"/>
          </w:rPr>
          <w:t>Ageing and health (who.int).</w:t>
        </w:r>
      </w:hyperlink>
      <w:r>
        <w:rPr>
          <w:rStyle w:val="normaltextrun"/>
          <w:rFonts w:ascii="Calibri" w:eastAsiaTheme="majorEastAsia" w:hAnsi="Calibri" w:cs="Calibri"/>
          <w:color w:val="000000"/>
        </w:rPr>
        <w:t xml:space="preserve"> (Accessed in 2024).</w:t>
      </w:r>
      <w:r>
        <w:rPr>
          <w:rStyle w:val="eop"/>
          <w:rFonts w:ascii="Calibri" w:eastAsiaTheme="majorEastAsia" w:hAnsi="Calibri" w:cs="Calibri"/>
          <w:color w:val="000000"/>
        </w:rPr>
        <w:t> </w:t>
      </w:r>
    </w:p>
    <w:p w14:paraId="4DAA51C7" w14:textId="77777777" w:rsidR="00DC1E85" w:rsidRDefault="00DC1E85" w:rsidP="00DC1E8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xml:space="preserve">Yon, Y., </w:t>
      </w:r>
      <w:proofErr w:type="spellStart"/>
      <w:r>
        <w:rPr>
          <w:rStyle w:val="normaltextrun"/>
          <w:rFonts w:ascii="Calibri" w:eastAsiaTheme="majorEastAsia" w:hAnsi="Calibri" w:cs="Calibri"/>
          <w:color w:val="2C3E50"/>
        </w:rPr>
        <w:t>Mikton</w:t>
      </w:r>
      <w:proofErr w:type="spellEnd"/>
      <w:r>
        <w:rPr>
          <w:rStyle w:val="normaltextrun"/>
          <w:rFonts w:ascii="Calibri" w:eastAsiaTheme="majorEastAsia" w:hAnsi="Calibri" w:cs="Calibri"/>
          <w:color w:val="2C3E50"/>
        </w:rPr>
        <w:t xml:space="preserve">, C.R., </w:t>
      </w:r>
      <w:proofErr w:type="spellStart"/>
      <w:r>
        <w:rPr>
          <w:rStyle w:val="normaltextrun"/>
          <w:rFonts w:ascii="Calibri" w:eastAsiaTheme="majorEastAsia" w:hAnsi="Calibri" w:cs="Calibri"/>
          <w:color w:val="2C3E50"/>
        </w:rPr>
        <w:t>Gassoumis</w:t>
      </w:r>
      <w:proofErr w:type="spellEnd"/>
      <w:r>
        <w:rPr>
          <w:rStyle w:val="normaltextrun"/>
          <w:rFonts w:ascii="Calibri" w:eastAsiaTheme="majorEastAsia" w:hAnsi="Calibri" w:cs="Calibri"/>
          <w:color w:val="2C3E50"/>
        </w:rPr>
        <w:t xml:space="preserve">, Z.D. and Wilber, K.H. (2017). Elder abuse prevalence in community settings: a systematic review and meta-analysis. </w:t>
      </w:r>
      <w:r>
        <w:rPr>
          <w:rStyle w:val="normaltextrun"/>
          <w:rFonts w:ascii="Calibri" w:eastAsiaTheme="majorEastAsia" w:hAnsi="Calibri" w:cs="Calibri"/>
          <w:i/>
          <w:iCs/>
          <w:color w:val="2C3E50"/>
        </w:rPr>
        <w:t>The Lancet Global Health</w:t>
      </w:r>
      <w:r>
        <w:rPr>
          <w:rStyle w:val="normaltextrun"/>
          <w:rFonts w:ascii="Calibri" w:eastAsiaTheme="majorEastAsia" w:hAnsi="Calibri" w:cs="Calibri"/>
          <w:color w:val="2C3E50"/>
        </w:rPr>
        <w:t xml:space="preserve">, 5(2), </w:t>
      </w:r>
      <w:proofErr w:type="gramStart"/>
      <w:r>
        <w:rPr>
          <w:rStyle w:val="normaltextrun"/>
          <w:rFonts w:ascii="Calibri" w:eastAsiaTheme="majorEastAsia" w:hAnsi="Calibri" w:cs="Calibri"/>
          <w:color w:val="2C3E50"/>
        </w:rPr>
        <w:t>pp.e</w:t>
      </w:r>
      <w:proofErr w:type="gramEnd"/>
      <w:r>
        <w:rPr>
          <w:rStyle w:val="normaltextrun"/>
          <w:rFonts w:ascii="Calibri" w:eastAsiaTheme="majorEastAsia" w:hAnsi="Calibri" w:cs="Calibri"/>
          <w:color w:val="2C3E50"/>
        </w:rPr>
        <w:t xml:space="preserve">147–e156. Available at: </w:t>
      </w:r>
      <w:hyperlink r:id="rId36" w:tgtFrame="_blank" w:history="1">
        <w:r>
          <w:rPr>
            <w:rStyle w:val="normaltextrun"/>
            <w:rFonts w:ascii="Calibri" w:eastAsiaTheme="majorEastAsia" w:hAnsi="Calibri" w:cs="Calibri"/>
            <w:color w:val="467886"/>
            <w:u w:val="single"/>
          </w:rPr>
          <w:t>Elder abuse prevalence in community settings: a systematic review and meta-analysis - PubMed (nih.gov).</w:t>
        </w:r>
      </w:hyperlink>
      <w:r>
        <w:rPr>
          <w:rStyle w:val="normaltextrun"/>
          <w:rFonts w:ascii="Calibri" w:eastAsiaTheme="majorEastAsia" w:hAnsi="Calibri" w:cs="Calibri"/>
          <w:color w:val="000000"/>
        </w:rPr>
        <w:t xml:space="preserve"> (Accessed in 2024).</w:t>
      </w:r>
      <w:r>
        <w:rPr>
          <w:rStyle w:val="eop"/>
          <w:rFonts w:ascii="Calibri" w:eastAsiaTheme="majorEastAsia" w:hAnsi="Calibri" w:cs="Calibri"/>
          <w:color w:val="000000"/>
        </w:rPr>
        <w:t> </w:t>
      </w:r>
    </w:p>
    <w:p w14:paraId="1A101E28" w14:textId="77777777" w:rsidR="00DC1E85" w:rsidRDefault="00DC1E85" w:rsidP="00DC1E85">
      <w:pPr>
        <w:pStyle w:val="paragraph"/>
        <w:spacing w:before="0" w:beforeAutospacing="0" w:after="0" w:afterAutospacing="0"/>
        <w:ind w:left="360"/>
        <w:textAlignment w:val="baseline"/>
        <w:rPr>
          <w:rFonts w:ascii="Segoe UI" w:hAnsi="Segoe UI" w:cs="Segoe UI"/>
          <w:sz w:val="18"/>
          <w:szCs w:val="18"/>
        </w:rPr>
      </w:pPr>
      <w:r>
        <w:rPr>
          <w:rStyle w:val="eop"/>
          <w:rFonts w:ascii="Calibri" w:eastAsiaTheme="majorEastAsia" w:hAnsi="Calibri" w:cs="Calibri"/>
          <w:color w:val="2C3E50"/>
        </w:rPr>
        <w:t> </w:t>
      </w:r>
    </w:p>
    <w:p w14:paraId="7761965B" w14:textId="77777777" w:rsidR="00DC1E85" w:rsidRDefault="00DC1E85" w:rsidP="00DC1E85">
      <w:pPr>
        <w:pStyle w:val="paragraph"/>
        <w:spacing w:before="0" w:beforeAutospacing="0" w:after="0" w:afterAutospacing="0"/>
        <w:ind w:left="360"/>
        <w:textAlignment w:val="baseline"/>
        <w:rPr>
          <w:rFonts w:ascii="Segoe UI" w:hAnsi="Segoe UI" w:cs="Segoe UI"/>
          <w:sz w:val="18"/>
          <w:szCs w:val="18"/>
        </w:rPr>
      </w:pPr>
      <w:r>
        <w:rPr>
          <w:rStyle w:val="eop"/>
          <w:rFonts w:ascii="Calibri" w:eastAsiaTheme="majorEastAsia" w:hAnsi="Calibri" w:cs="Calibri"/>
          <w:color w:val="2C3E50"/>
        </w:rPr>
        <w:t> </w:t>
      </w:r>
    </w:p>
    <w:p w14:paraId="75D2193E" w14:textId="77777777" w:rsidR="00DC1E85" w:rsidRDefault="00DC1E85" w:rsidP="00DC1E85">
      <w:pPr>
        <w:pStyle w:val="paragraph"/>
        <w:spacing w:before="0" w:beforeAutospacing="0" w:after="0" w:afterAutospacing="0"/>
        <w:ind w:left="360"/>
        <w:textAlignment w:val="baseline"/>
        <w:rPr>
          <w:rFonts w:ascii="Segoe UI" w:hAnsi="Segoe UI" w:cs="Segoe UI"/>
          <w:sz w:val="18"/>
          <w:szCs w:val="18"/>
        </w:rPr>
      </w:pPr>
      <w:r>
        <w:rPr>
          <w:rStyle w:val="eop"/>
          <w:rFonts w:ascii="Calibri" w:eastAsiaTheme="majorEastAsia" w:hAnsi="Calibri" w:cs="Calibri"/>
          <w:color w:val="2C3E50"/>
        </w:rPr>
        <w:t> </w:t>
      </w:r>
    </w:p>
    <w:p w14:paraId="181F46DA" w14:textId="77777777" w:rsidR="00DC1E85" w:rsidRDefault="00DC1E85" w:rsidP="00DC1E85">
      <w:pPr>
        <w:pStyle w:val="paragraph"/>
        <w:spacing w:before="0" w:beforeAutospacing="0" w:after="0" w:afterAutospacing="0"/>
        <w:ind w:left="360"/>
        <w:textAlignment w:val="baseline"/>
        <w:rPr>
          <w:rFonts w:ascii="Segoe UI" w:hAnsi="Segoe UI" w:cs="Segoe UI"/>
          <w:sz w:val="18"/>
          <w:szCs w:val="18"/>
        </w:rPr>
      </w:pPr>
      <w:r>
        <w:rPr>
          <w:rStyle w:val="eop"/>
          <w:rFonts w:ascii="Calibri" w:eastAsiaTheme="majorEastAsia" w:hAnsi="Calibri" w:cs="Calibri"/>
          <w:color w:val="2C3E50"/>
        </w:rPr>
        <w:t> </w:t>
      </w:r>
    </w:p>
    <w:p w14:paraId="0D53C542" w14:textId="77777777" w:rsidR="009F2E43" w:rsidRDefault="009F2E43"/>
    <w:sectPr w:rsidR="009F2E43" w:rsidSect="00B2340C">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CE3554" w14:textId="77777777" w:rsidR="00B2340C" w:rsidRDefault="00B2340C" w:rsidP="00B27E9A">
      <w:pPr>
        <w:spacing w:after="0" w:line="240" w:lineRule="auto"/>
      </w:pPr>
      <w:r>
        <w:separator/>
      </w:r>
    </w:p>
  </w:endnote>
  <w:endnote w:type="continuationSeparator" w:id="0">
    <w:p w14:paraId="7745679B" w14:textId="77777777" w:rsidR="00B2340C" w:rsidRDefault="00B2340C" w:rsidP="00B27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5940025"/>
      <w:docPartObj>
        <w:docPartGallery w:val="Page Numbers (Bottom of Page)"/>
        <w:docPartUnique/>
      </w:docPartObj>
    </w:sdtPr>
    <w:sdtContent>
      <w:p w14:paraId="453DEDD0" w14:textId="6AE06D8E" w:rsidR="00B27E9A" w:rsidRDefault="00B27E9A">
        <w:pPr>
          <w:pStyle w:val="Footer"/>
          <w:jc w:val="right"/>
        </w:pPr>
        <w:r>
          <w:fldChar w:fldCharType="begin"/>
        </w:r>
        <w:r>
          <w:instrText>PAGE   \* MERGEFORMAT</w:instrText>
        </w:r>
        <w:r>
          <w:fldChar w:fldCharType="separate"/>
        </w:r>
        <w:r>
          <w:t>2</w:t>
        </w:r>
        <w:r>
          <w:fldChar w:fldCharType="end"/>
        </w:r>
      </w:p>
    </w:sdtContent>
  </w:sdt>
  <w:p w14:paraId="631BFCC1" w14:textId="77777777" w:rsidR="00B27E9A" w:rsidRDefault="00B27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7517AF" w14:textId="77777777" w:rsidR="00B2340C" w:rsidRDefault="00B2340C" w:rsidP="00B27E9A">
      <w:pPr>
        <w:spacing w:after="0" w:line="240" w:lineRule="auto"/>
      </w:pPr>
      <w:r>
        <w:separator/>
      </w:r>
    </w:p>
  </w:footnote>
  <w:footnote w:type="continuationSeparator" w:id="0">
    <w:p w14:paraId="42E7D4B6" w14:textId="77777777" w:rsidR="00B2340C" w:rsidRDefault="00B2340C" w:rsidP="00B27E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747A3A"/>
    <w:multiLevelType w:val="multilevel"/>
    <w:tmpl w:val="CCC8B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3C06B2"/>
    <w:multiLevelType w:val="multilevel"/>
    <w:tmpl w:val="039CE8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4A5276"/>
    <w:multiLevelType w:val="multilevel"/>
    <w:tmpl w:val="949C8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10F3C65"/>
    <w:multiLevelType w:val="hybridMultilevel"/>
    <w:tmpl w:val="44B663B8"/>
    <w:lvl w:ilvl="0" w:tplc="92904C2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4310D0"/>
    <w:multiLevelType w:val="multilevel"/>
    <w:tmpl w:val="439AF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FF96A9B"/>
    <w:multiLevelType w:val="hybridMultilevel"/>
    <w:tmpl w:val="B7FCADD0"/>
    <w:lvl w:ilvl="0" w:tplc="08D07B4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546D1F"/>
    <w:multiLevelType w:val="multilevel"/>
    <w:tmpl w:val="FF529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2550011"/>
    <w:multiLevelType w:val="multilevel"/>
    <w:tmpl w:val="53BA5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96070388">
    <w:abstractNumId w:val="1"/>
  </w:num>
  <w:num w:numId="2" w16cid:durableId="1333753063">
    <w:abstractNumId w:val="4"/>
  </w:num>
  <w:num w:numId="3" w16cid:durableId="1619992786">
    <w:abstractNumId w:val="7"/>
  </w:num>
  <w:num w:numId="4" w16cid:durableId="1022587211">
    <w:abstractNumId w:val="0"/>
  </w:num>
  <w:num w:numId="5" w16cid:durableId="1534418396">
    <w:abstractNumId w:val="6"/>
  </w:num>
  <w:num w:numId="6" w16cid:durableId="1818716479">
    <w:abstractNumId w:val="2"/>
  </w:num>
  <w:num w:numId="7" w16cid:durableId="1811550678">
    <w:abstractNumId w:val="5"/>
  </w:num>
  <w:num w:numId="8" w16cid:durableId="10109888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202"/>
    <w:rsid w:val="00026B1E"/>
    <w:rsid w:val="0003238F"/>
    <w:rsid w:val="00036D33"/>
    <w:rsid w:val="00083E67"/>
    <w:rsid w:val="000E31B6"/>
    <w:rsid w:val="000F19B0"/>
    <w:rsid w:val="001158D2"/>
    <w:rsid w:val="00143087"/>
    <w:rsid w:val="001547AB"/>
    <w:rsid w:val="00197FC1"/>
    <w:rsid w:val="00224202"/>
    <w:rsid w:val="002C3445"/>
    <w:rsid w:val="003121BB"/>
    <w:rsid w:val="003A5A50"/>
    <w:rsid w:val="003E4B20"/>
    <w:rsid w:val="00402683"/>
    <w:rsid w:val="004057DB"/>
    <w:rsid w:val="00412C3D"/>
    <w:rsid w:val="004158CE"/>
    <w:rsid w:val="00427EE5"/>
    <w:rsid w:val="0044686A"/>
    <w:rsid w:val="00464484"/>
    <w:rsid w:val="004B2495"/>
    <w:rsid w:val="005429FE"/>
    <w:rsid w:val="005700F4"/>
    <w:rsid w:val="00591B9E"/>
    <w:rsid w:val="0059284F"/>
    <w:rsid w:val="005A432C"/>
    <w:rsid w:val="005D39F0"/>
    <w:rsid w:val="00621E98"/>
    <w:rsid w:val="00643864"/>
    <w:rsid w:val="00660A43"/>
    <w:rsid w:val="006702BD"/>
    <w:rsid w:val="006A62F5"/>
    <w:rsid w:val="006E5696"/>
    <w:rsid w:val="00711771"/>
    <w:rsid w:val="00731C7B"/>
    <w:rsid w:val="00773BF7"/>
    <w:rsid w:val="007F43AA"/>
    <w:rsid w:val="008077FA"/>
    <w:rsid w:val="008649E8"/>
    <w:rsid w:val="00882BC0"/>
    <w:rsid w:val="008B4412"/>
    <w:rsid w:val="008D7F31"/>
    <w:rsid w:val="008F43DE"/>
    <w:rsid w:val="00902D0A"/>
    <w:rsid w:val="00943C75"/>
    <w:rsid w:val="009F2E43"/>
    <w:rsid w:val="00A136EE"/>
    <w:rsid w:val="00A445A6"/>
    <w:rsid w:val="00A67571"/>
    <w:rsid w:val="00A817EC"/>
    <w:rsid w:val="00A919AD"/>
    <w:rsid w:val="00AA22A5"/>
    <w:rsid w:val="00AF02BC"/>
    <w:rsid w:val="00B02594"/>
    <w:rsid w:val="00B11E8E"/>
    <w:rsid w:val="00B2340C"/>
    <w:rsid w:val="00B27E9A"/>
    <w:rsid w:val="00B51F96"/>
    <w:rsid w:val="00B562A1"/>
    <w:rsid w:val="00B62FE5"/>
    <w:rsid w:val="00B85093"/>
    <w:rsid w:val="00C627E1"/>
    <w:rsid w:val="00C845FD"/>
    <w:rsid w:val="00CD2863"/>
    <w:rsid w:val="00CD29F0"/>
    <w:rsid w:val="00CD48B4"/>
    <w:rsid w:val="00CD4C38"/>
    <w:rsid w:val="00CE00E0"/>
    <w:rsid w:val="00DC1E85"/>
    <w:rsid w:val="00E1410C"/>
    <w:rsid w:val="00E5271E"/>
    <w:rsid w:val="00ED16DB"/>
    <w:rsid w:val="00F65998"/>
    <w:rsid w:val="00F87FC6"/>
    <w:rsid w:val="00FB337C"/>
    <w:rsid w:val="00FF1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2F0556"/>
  <w15:chartTrackingRefBased/>
  <w15:docId w15:val="{E23565D0-2446-4570-ACF9-18FC49047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2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42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42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42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42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42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42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42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42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2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42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42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42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42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42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42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42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4202"/>
    <w:rPr>
      <w:rFonts w:eastAsiaTheme="majorEastAsia" w:cstheme="majorBidi"/>
      <w:color w:val="272727" w:themeColor="text1" w:themeTint="D8"/>
    </w:rPr>
  </w:style>
  <w:style w:type="paragraph" w:styleId="Title">
    <w:name w:val="Title"/>
    <w:basedOn w:val="Normal"/>
    <w:next w:val="Normal"/>
    <w:link w:val="TitleChar"/>
    <w:uiPriority w:val="10"/>
    <w:qFormat/>
    <w:rsid w:val="002242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2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42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42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4202"/>
    <w:pPr>
      <w:spacing w:before="160"/>
      <w:jc w:val="center"/>
    </w:pPr>
    <w:rPr>
      <w:i/>
      <w:iCs/>
      <w:color w:val="404040" w:themeColor="text1" w:themeTint="BF"/>
    </w:rPr>
  </w:style>
  <w:style w:type="character" w:customStyle="1" w:styleId="QuoteChar">
    <w:name w:val="Quote Char"/>
    <w:basedOn w:val="DefaultParagraphFont"/>
    <w:link w:val="Quote"/>
    <w:uiPriority w:val="29"/>
    <w:rsid w:val="00224202"/>
    <w:rPr>
      <w:i/>
      <w:iCs/>
      <w:color w:val="404040" w:themeColor="text1" w:themeTint="BF"/>
    </w:rPr>
  </w:style>
  <w:style w:type="paragraph" w:styleId="ListParagraph">
    <w:name w:val="List Paragraph"/>
    <w:basedOn w:val="Normal"/>
    <w:uiPriority w:val="34"/>
    <w:qFormat/>
    <w:rsid w:val="00224202"/>
    <w:pPr>
      <w:ind w:left="720"/>
      <w:contextualSpacing/>
    </w:pPr>
  </w:style>
  <w:style w:type="character" w:styleId="IntenseEmphasis">
    <w:name w:val="Intense Emphasis"/>
    <w:basedOn w:val="DefaultParagraphFont"/>
    <w:uiPriority w:val="21"/>
    <w:qFormat/>
    <w:rsid w:val="00224202"/>
    <w:rPr>
      <w:i/>
      <w:iCs/>
      <w:color w:val="0F4761" w:themeColor="accent1" w:themeShade="BF"/>
    </w:rPr>
  </w:style>
  <w:style w:type="paragraph" w:styleId="IntenseQuote">
    <w:name w:val="Intense Quote"/>
    <w:basedOn w:val="Normal"/>
    <w:next w:val="Normal"/>
    <w:link w:val="IntenseQuoteChar"/>
    <w:uiPriority w:val="30"/>
    <w:qFormat/>
    <w:rsid w:val="002242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4202"/>
    <w:rPr>
      <w:i/>
      <w:iCs/>
      <w:color w:val="0F4761" w:themeColor="accent1" w:themeShade="BF"/>
    </w:rPr>
  </w:style>
  <w:style w:type="character" w:styleId="IntenseReference">
    <w:name w:val="Intense Reference"/>
    <w:basedOn w:val="DefaultParagraphFont"/>
    <w:uiPriority w:val="32"/>
    <w:qFormat/>
    <w:rsid w:val="00224202"/>
    <w:rPr>
      <w:b/>
      <w:bCs/>
      <w:smallCaps/>
      <w:color w:val="0F4761" w:themeColor="accent1" w:themeShade="BF"/>
      <w:spacing w:val="5"/>
    </w:rPr>
  </w:style>
  <w:style w:type="paragraph" w:styleId="Header">
    <w:name w:val="header"/>
    <w:basedOn w:val="Normal"/>
    <w:link w:val="HeaderChar"/>
    <w:uiPriority w:val="99"/>
    <w:unhideWhenUsed/>
    <w:rsid w:val="00B27E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E9A"/>
  </w:style>
  <w:style w:type="paragraph" w:styleId="Footer">
    <w:name w:val="footer"/>
    <w:basedOn w:val="Normal"/>
    <w:link w:val="FooterChar"/>
    <w:uiPriority w:val="99"/>
    <w:unhideWhenUsed/>
    <w:rsid w:val="00B27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E9A"/>
  </w:style>
  <w:style w:type="paragraph" w:customStyle="1" w:styleId="paragraph">
    <w:name w:val="paragraph"/>
    <w:basedOn w:val="Normal"/>
    <w:rsid w:val="008F43D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F43DE"/>
  </w:style>
  <w:style w:type="character" w:customStyle="1" w:styleId="eop">
    <w:name w:val="eop"/>
    <w:basedOn w:val="DefaultParagraphFont"/>
    <w:rsid w:val="008F43DE"/>
  </w:style>
  <w:style w:type="paragraph" w:styleId="NoSpacing">
    <w:name w:val="No Spacing"/>
    <w:link w:val="NoSpacingChar"/>
    <w:uiPriority w:val="1"/>
    <w:qFormat/>
    <w:rsid w:val="0059284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9284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773BF7"/>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E5271E"/>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E5271E"/>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E5271E"/>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5159665">
      <w:bodyDiv w:val="1"/>
      <w:marLeft w:val="0"/>
      <w:marRight w:val="0"/>
      <w:marTop w:val="0"/>
      <w:marBottom w:val="0"/>
      <w:divBdr>
        <w:top w:val="none" w:sz="0" w:space="0" w:color="auto"/>
        <w:left w:val="none" w:sz="0" w:space="0" w:color="auto"/>
        <w:bottom w:val="none" w:sz="0" w:space="0" w:color="auto"/>
        <w:right w:val="none" w:sz="0" w:space="0" w:color="auto"/>
      </w:divBdr>
      <w:divsChild>
        <w:div w:id="1568035165">
          <w:marLeft w:val="0"/>
          <w:marRight w:val="0"/>
          <w:marTop w:val="0"/>
          <w:marBottom w:val="0"/>
          <w:divBdr>
            <w:top w:val="none" w:sz="0" w:space="0" w:color="auto"/>
            <w:left w:val="none" w:sz="0" w:space="0" w:color="auto"/>
            <w:bottom w:val="none" w:sz="0" w:space="0" w:color="auto"/>
            <w:right w:val="none" w:sz="0" w:space="0" w:color="auto"/>
          </w:divBdr>
        </w:div>
        <w:div w:id="223105040">
          <w:marLeft w:val="0"/>
          <w:marRight w:val="0"/>
          <w:marTop w:val="0"/>
          <w:marBottom w:val="0"/>
          <w:divBdr>
            <w:top w:val="none" w:sz="0" w:space="0" w:color="auto"/>
            <w:left w:val="none" w:sz="0" w:space="0" w:color="auto"/>
            <w:bottom w:val="none" w:sz="0" w:space="0" w:color="auto"/>
            <w:right w:val="none" w:sz="0" w:space="0" w:color="auto"/>
          </w:divBdr>
        </w:div>
        <w:div w:id="457795595">
          <w:marLeft w:val="0"/>
          <w:marRight w:val="0"/>
          <w:marTop w:val="0"/>
          <w:marBottom w:val="0"/>
          <w:divBdr>
            <w:top w:val="none" w:sz="0" w:space="0" w:color="auto"/>
            <w:left w:val="none" w:sz="0" w:space="0" w:color="auto"/>
            <w:bottom w:val="none" w:sz="0" w:space="0" w:color="auto"/>
            <w:right w:val="none" w:sz="0" w:space="0" w:color="auto"/>
          </w:divBdr>
        </w:div>
      </w:divsChild>
    </w:div>
    <w:div w:id="297346432">
      <w:bodyDiv w:val="1"/>
      <w:marLeft w:val="0"/>
      <w:marRight w:val="0"/>
      <w:marTop w:val="0"/>
      <w:marBottom w:val="0"/>
      <w:divBdr>
        <w:top w:val="none" w:sz="0" w:space="0" w:color="auto"/>
        <w:left w:val="none" w:sz="0" w:space="0" w:color="auto"/>
        <w:bottom w:val="none" w:sz="0" w:space="0" w:color="auto"/>
        <w:right w:val="none" w:sz="0" w:space="0" w:color="auto"/>
      </w:divBdr>
      <w:divsChild>
        <w:div w:id="1153908645">
          <w:marLeft w:val="0"/>
          <w:marRight w:val="0"/>
          <w:marTop w:val="0"/>
          <w:marBottom w:val="0"/>
          <w:divBdr>
            <w:top w:val="none" w:sz="0" w:space="0" w:color="auto"/>
            <w:left w:val="none" w:sz="0" w:space="0" w:color="auto"/>
            <w:bottom w:val="none" w:sz="0" w:space="0" w:color="auto"/>
            <w:right w:val="none" w:sz="0" w:space="0" w:color="auto"/>
          </w:divBdr>
        </w:div>
        <w:div w:id="941954045">
          <w:marLeft w:val="0"/>
          <w:marRight w:val="0"/>
          <w:marTop w:val="0"/>
          <w:marBottom w:val="0"/>
          <w:divBdr>
            <w:top w:val="none" w:sz="0" w:space="0" w:color="auto"/>
            <w:left w:val="none" w:sz="0" w:space="0" w:color="auto"/>
            <w:bottom w:val="none" w:sz="0" w:space="0" w:color="auto"/>
            <w:right w:val="none" w:sz="0" w:space="0" w:color="auto"/>
          </w:divBdr>
        </w:div>
        <w:div w:id="1461731556">
          <w:marLeft w:val="0"/>
          <w:marRight w:val="0"/>
          <w:marTop w:val="0"/>
          <w:marBottom w:val="0"/>
          <w:divBdr>
            <w:top w:val="none" w:sz="0" w:space="0" w:color="auto"/>
            <w:left w:val="none" w:sz="0" w:space="0" w:color="auto"/>
            <w:bottom w:val="none" w:sz="0" w:space="0" w:color="auto"/>
            <w:right w:val="none" w:sz="0" w:space="0" w:color="auto"/>
          </w:divBdr>
        </w:div>
        <w:div w:id="164786534">
          <w:marLeft w:val="0"/>
          <w:marRight w:val="0"/>
          <w:marTop w:val="0"/>
          <w:marBottom w:val="0"/>
          <w:divBdr>
            <w:top w:val="none" w:sz="0" w:space="0" w:color="auto"/>
            <w:left w:val="none" w:sz="0" w:space="0" w:color="auto"/>
            <w:bottom w:val="none" w:sz="0" w:space="0" w:color="auto"/>
            <w:right w:val="none" w:sz="0" w:space="0" w:color="auto"/>
          </w:divBdr>
        </w:div>
        <w:div w:id="124154608">
          <w:marLeft w:val="0"/>
          <w:marRight w:val="0"/>
          <w:marTop w:val="0"/>
          <w:marBottom w:val="0"/>
          <w:divBdr>
            <w:top w:val="none" w:sz="0" w:space="0" w:color="auto"/>
            <w:left w:val="none" w:sz="0" w:space="0" w:color="auto"/>
            <w:bottom w:val="none" w:sz="0" w:space="0" w:color="auto"/>
            <w:right w:val="none" w:sz="0" w:space="0" w:color="auto"/>
          </w:divBdr>
        </w:div>
      </w:divsChild>
    </w:div>
    <w:div w:id="369187429">
      <w:bodyDiv w:val="1"/>
      <w:marLeft w:val="0"/>
      <w:marRight w:val="0"/>
      <w:marTop w:val="0"/>
      <w:marBottom w:val="0"/>
      <w:divBdr>
        <w:top w:val="none" w:sz="0" w:space="0" w:color="auto"/>
        <w:left w:val="none" w:sz="0" w:space="0" w:color="auto"/>
        <w:bottom w:val="none" w:sz="0" w:space="0" w:color="auto"/>
        <w:right w:val="none" w:sz="0" w:space="0" w:color="auto"/>
      </w:divBdr>
      <w:divsChild>
        <w:div w:id="782187090">
          <w:marLeft w:val="0"/>
          <w:marRight w:val="0"/>
          <w:marTop w:val="0"/>
          <w:marBottom w:val="0"/>
          <w:divBdr>
            <w:top w:val="none" w:sz="0" w:space="0" w:color="auto"/>
            <w:left w:val="none" w:sz="0" w:space="0" w:color="auto"/>
            <w:bottom w:val="none" w:sz="0" w:space="0" w:color="auto"/>
            <w:right w:val="none" w:sz="0" w:space="0" w:color="auto"/>
          </w:divBdr>
        </w:div>
        <w:div w:id="1898081553">
          <w:marLeft w:val="0"/>
          <w:marRight w:val="0"/>
          <w:marTop w:val="0"/>
          <w:marBottom w:val="0"/>
          <w:divBdr>
            <w:top w:val="none" w:sz="0" w:space="0" w:color="auto"/>
            <w:left w:val="none" w:sz="0" w:space="0" w:color="auto"/>
            <w:bottom w:val="none" w:sz="0" w:space="0" w:color="auto"/>
            <w:right w:val="none" w:sz="0" w:space="0" w:color="auto"/>
          </w:divBdr>
        </w:div>
        <w:div w:id="1098480788">
          <w:marLeft w:val="0"/>
          <w:marRight w:val="0"/>
          <w:marTop w:val="0"/>
          <w:marBottom w:val="0"/>
          <w:divBdr>
            <w:top w:val="none" w:sz="0" w:space="0" w:color="auto"/>
            <w:left w:val="none" w:sz="0" w:space="0" w:color="auto"/>
            <w:bottom w:val="none" w:sz="0" w:space="0" w:color="auto"/>
            <w:right w:val="none" w:sz="0" w:space="0" w:color="auto"/>
          </w:divBdr>
        </w:div>
        <w:div w:id="2044095037">
          <w:marLeft w:val="0"/>
          <w:marRight w:val="0"/>
          <w:marTop w:val="0"/>
          <w:marBottom w:val="0"/>
          <w:divBdr>
            <w:top w:val="none" w:sz="0" w:space="0" w:color="auto"/>
            <w:left w:val="none" w:sz="0" w:space="0" w:color="auto"/>
            <w:bottom w:val="none" w:sz="0" w:space="0" w:color="auto"/>
            <w:right w:val="none" w:sz="0" w:space="0" w:color="auto"/>
          </w:divBdr>
        </w:div>
        <w:div w:id="1558280856">
          <w:marLeft w:val="0"/>
          <w:marRight w:val="0"/>
          <w:marTop w:val="0"/>
          <w:marBottom w:val="0"/>
          <w:divBdr>
            <w:top w:val="none" w:sz="0" w:space="0" w:color="auto"/>
            <w:left w:val="none" w:sz="0" w:space="0" w:color="auto"/>
            <w:bottom w:val="none" w:sz="0" w:space="0" w:color="auto"/>
            <w:right w:val="none" w:sz="0" w:space="0" w:color="auto"/>
          </w:divBdr>
        </w:div>
        <w:div w:id="1325666211">
          <w:marLeft w:val="0"/>
          <w:marRight w:val="0"/>
          <w:marTop w:val="0"/>
          <w:marBottom w:val="0"/>
          <w:divBdr>
            <w:top w:val="none" w:sz="0" w:space="0" w:color="auto"/>
            <w:left w:val="none" w:sz="0" w:space="0" w:color="auto"/>
            <w:bottom w:val="none" w:sz="0" w:space="0" w:color="auto"/>
            <w:right w:val="none" w:sz="0" w:space="0" w:color="auto"/>
          </w:divBdr>
        </w:div>
        <w:div w:id="1854107266">
          <w:marLeft w:val="0"/>
          <w:marRight w:val="0"/>
          <w:marTop w:val="0"/>
          <w:marBottom w:val="0"/>
          <w:divBdr>
            <w:top w:val="none" w:sz="0" w:space="0" w:color="auto"/>
            <w:left w:val="none" w:sz="0" w:space="0" w:color="auto"/>
            <w:bottom w:val="none" w:sz="0" w:space="0" w:color="auto"/>
            <w:right w:val="none" w:sz="0" w:space="0" w:color="auto"/>
          </w:divBdr>
        </w:div>
        <w:div w:id="314800486">
          <w:marLeft w:val="0"/>
          <w:marRight w:val="0"/>
          <w:marTop w:val="0"/>
          <w:marBottom w:val="0"/>
          <w:divBdr>
            <w:top w:val="none" w:sz="0" w:space="0" w:color="auto"/>
            <w:left w:val="none" w:sz="0" w:space="0" w:color="auto"/>
            <w:bottom w:val="none" w:sz="0" w:space="0" w:color="auto"/>
            <w:right w:val="none" w:sz="0" w:space="0" w:color="auto"/>
          </w:divBdr>
        </w:div>
        <w:div w:id="1960339103">
          <w:marLeft w:val="0"/>
          <w:marRight w:val="0"/>
          <w:marTop w:val="0"/>
          <w:marBottom w:val="0"/>
          <w:divBdr>
            <w:top w:val="none" w:sz="0" w:space="0" w:color="auto"/>
            <w:left w:val="none" w:sz="0" w:space="0" w:color="auto"/>
            <w:bottom w:val="none" w:sz="0" w:space="0" w:color="auto"/>
            <w:right w:val="none" w:sz="0" w:space="0" w:color="auto"/>
          </w:divBdr>
        </w:div>
      </w:divsChild>
    </w:div>
    <w:div w:id="472331468">
      <w:bodyDiv w:val="1"/>
      <w:marLeft w:val="0"/>
      <w:marRight w:val="0"/>
      <w:marTop w:val="0"/>
      <w:marBottom w:val="0"/>
      <w:divBdr>
        <w:top w:val="none" w:sz="0" w:space="0" w:color="auto"/>
        <w:left w:val="none" w:sz="0" w:space="0" w:color="auto"/>
        <w:bottom w:val="none" w:sz="0" w:space="0" w:color="auto"/>
        <w:right w:val="none" w:sz="0" w:space="0" w:color="auto"/>
      </w:divBdr>
      <w:divsChild>
        <w:div w:id="1131634255">
          <w:marLeft w:val="0"/>
          <w:marRight w:val="0"/>
          <w:marTop w:val="0"/>
          <w:marBottom w:val="0"/>
          <w:divBdr>
            <w:top w:val="none" w:sz="0" w:space="0" w:color="auto"/>
            <w:left w:val="none" w:sz="0" w:space="0" w:color="auto"/>
            <w:bottom w:val="none" w:sz="0" w:space="0" w:color="auto"/>
            <w:right w:val="none" w:sz="0" w:space="0" w:color="auto"/>
          </w:divBdr>
        </w:div>
        <w:div w:id="743524422">
          <w:marLeft w:val="0"/>
          <w:marRight w:val="0"/>
          <w:marTop w:val="0"/>
          <w:marBottom w:val="0"/>
          <w:divBdr>
            <w:top w:val="none" w:sz="0" w:space="0" w:color="auto"/>
            <w:left w:val="none" w:sz="0" w:space="0" w:color="auto"/>
            <w:bottom w:val="none" w:sz="0" w:space="0" w:color="auto"/>
            <w:right w:val="none" w:sz="0" w:space="0" w:color="auto"/>
          </w:divBdr>
        </w:div>
        <w:div w:id="1243830045">
          <w:marLeft w:val="0"/>
          <w:marRight w:val="0"/>
          <w:marTop w:val="0"/>
          <w:marBottom w:val="0"/>
          <w:divBdr>
            <w:top w:val="none" w:sz="0" w:space="0" w:color="auto"/>
            <w:left w:val="none" w:sz="0" w:space="0" w:color="auto"/>
            <w:bottom w:val="none" w:sz="0" w:space="0" w:color="auto"/>
            <w:right w:val="none" w:sz="0" w:space="0" w:color="auto"/>
          </w:divBdr>
        </w:div>
        <w:div w:id="307168621">
          <w:marLeft w:val="0"/>
          <w:marRight w:val="0"/>
          <w:marTop w:val="0"/>
          <w:marBottom w:val="0"/>
          <w:divBdr>
            <w:top w:val="none" w:sz="0" w:space="0" w:color="auto"/>
            <w:left w:val="none" w:sz="0" w:space="0" w:color="auto"/>
            <w:bottom w:val="none" w:sz="0" w:space="0" w:color="auto"/>
            <w:right w:val="none" w:sz="0" w:space="0" w:color="auto"/>
          </w:divBdr>
        </w:div>
        <w:div w:id="733966038">
          <w:marLeft w:val="0"/>
          <w:marRight w:val="0"/>
          <w:marTop w:val="0"/>
          <w:marBottom w:val="0"/>
          <w:divBdr>
            <w:top w:val="none" w:sz="0" w:space="0" w:color="auto"/>
            <w:left w:val="none" w:sz="0" w:space="0" w:color="auto"/>
            <w:bottom w:val="none" w:sz="0" w:space="0" w:color="auto"/>
            <w:right w:val="none" w:sz="0" w:space="0" w:color="auto"/>
          </w:divBdr>
        </w:div>
        <w:div w:id="700060015">
          <w:marLeft w:val="0"/>
          <w:marRight w:val="0"/>
          <w:marTop w:val="0"/>
          <w:marBottom w:val="0"/>
          <w:divBdr>
            <w:top w:val="none" w:sz="0" w:space="0" w:color="auto"/>
            <w:left w:val="none" w:sz="0" w:space="0" w:color="auto"/>
            <w:bottom w:val="none" w:sz="0" w:space="0" w:color="auto"/>
            <w:right w:val="none" w:sz="0" w:space="0" w:color="auto"/>
          </w:divBdr>
        </w:div>
        <w:div w:id="1369991219">
          <w:marLeft w:val="0"/>
          <w:marRight w:val="0"/>
          <w:marTop w:val="0"/>
          <w:marBottom w:val="0"/>
          <w:divBdr>
            <w:top w:val="none" w:sz="0" w:space="0" w:color="auto"/>
            <w:left w:val="none" w:sz="0" w:space="0" w:color="auto"/>
            <w:bottom w:val="none" w:sz="0" w:space="0" w:color="auto"/>
            <w:right w:val="none" w:sz="0" w:space="0" w:color="auto"/>
          </w:divBdr>
        </w:div>
      </w:divsChild>
    </w:div>
    <w:div w:id="557984443">
      <w:bodyDiv w:val="1"/>
      <w:marLeft w:val="0"/>
      <w:marRight w:val="0"/>
      <w:marTop w:val="0"/>
      <w:marBottom w:val="0"/>
      <w:divBdr>
        <w:top w:val="none" w:sz="0" w:space="0" w:color="auto"/>
        <w:left w:val="none" w:sz="0" w:space="0" w:color="auto"/>
        <w:bottom w:val="none" w:sz="0" w:space="0" w:color="auto"/>
        <w:right w:val="none" w:sz="0" w:space="0" w:color="auto"/>
      </w:divBdr>
      <w:divsChild>
        <w:div w:id="803081967">
          <w:marLeft w:val="0"/>
          <w:marRight w:val="0"/>
          <w:marTop w:val="0"/>
          <w:marBottom w:val="0"/>
          <w:divBdr>
            <w:top w:val="none" w:sz="0" w:space="0" w:color="auto"/>
            <w:left w:val="none" w:sz="0" w:space="0" w:color="auto"/>
            <w:bottom w:val="none" w:sz="0" w:space="0" w:color="auto"/>
            <w:right w:val="none" w:sz="0" w:space="0" w:color="auto"/>
          </w:divBdr>
        </w:div>
        <w:div w:id="1816295440">
          <w:marLeft w:val="0"/>
          <w:marRight w:val="0"/>
          <w:marTop w:val="0"/>
          <w:marBottom w:val="0"/>
          <w:divBdr>
            <w:top w:val="none" w:sz="0" w:space="0" w:color="auto"/>
            <w:left w:val="none" w:sz="0" w:space="0" w:color="auto"/>
            <w:bottom w:val="none" w:sz="0" w:space="0" w:color="auto"/>
            <w:right w:val="none" w:sz="0" w:space="0" w:color="auto"/>
          </w:divBdr>
        </w:div>
        <w:div w:id="835343944">
          <w:marLeft w:val="0"/>
          <w:marRight w:val="0"/>
          <w:marTop w:val="0"/>
          <w:marBottom w:val="0"/>
          <w:divBdr>
            <w:top w:val="none" w:sz="0" w:space="0" w:color="auto"/>
            <w:left w:val="none" w:sz="0" w:space="0" w:color="auto"/>
            <w:bottom w:val="none" w:sz="0" w:space="0" w:color="auto"/>
            <w:right w:val="none" w:sz="0" w:space="0" w:color="auto"/>
          </w:divBdr>
        </w:div>
      </w:divsChild>
    </w:div>
    <w:div w:id="791636823">
      <w:bodyDiv w:val="1"/>
      <w:marLeft w:val="0"/>
      <w:marRight w:val="0"/>
      <w:marTop w:val="0"/>
      <w:marBottom w:val="0"/>
      <w:divBdr>
        <w:top w:val="none" w:sz="0" w:space="0" w:color="auto"/>
        <w:left w:val="none" w:sz="0" w:space="0" w:color="auto"/>
        <w:bottom w:val="none" w:sz="0" w:space="0" w:color="auto"/>
        <w:right w:val="none" w:sz="0" w:space="0" w:color="auto"/>
      </w:divBdr>
      <w:divsChild>
        <w:div w:id="52319243">
          <w:marLeft w:val="0"/>
          <w:marRight w:val="0"/>
          <w:marTop w:val="0"/>
          <w:marBottom w:val="0"/>
          <w:divBdr>
            <w:top w:val="none" w:sz="0" w:space="0" w:color="auto"/>
            <w:left w:val="none" w:sz="0" w:space="0" w:color="auto"/>
            <w:bottom w:val="none" w:sz="0" w:space="0" w:color="auto"/>
            <w:right w:val="none" w:sz="0" w:space="0" w:color="auto"/>
          </w:divBdr>
        </w:div>
        <w:div w:id="1450583093">
          <w:marLeft w:val="0"/>
          <w:marRight w:val="0"/>
          <w:marTop w:val="0"/>
          <w:marBottom w:val="0"/>
          <w:divBdr>
            <w:top w:val="none" w:sz="0" w:space="0" w:color="auto"/>
            <w:left w:val="none" w:sz="0" w:space="0" w:color="auto"/>
            <w:bottom w:val="none" w:sz="0" w:space="0" w:color="auto"/>
            <w:right w:val="none" w:sz="0" w:space="0" w:color="auto"/>
          </w:divBdr>
        </w:div>
        <w:div w:id="424768966">
          <w:marLeft w:val="0"/>
          <w:marRight w:val="0"/>
          <w:marTop w:val="0"/>
          <w:marBottom w:val="0"/>
          <w:divBdr>
            <w:top w:val="none" w:sz="0" w:space="0" w:color="auto"/>
            <w:left w:val="none" w:sz="0" w:space="0" w:color="auto"/>
            <w:bottom w:val="none" w:sz="0" w:space="0" w:color="auto"/>
            <w:right w:val="none" w:sz="0" w:space="0" w:color="auto"/>
          </w:divBdr>
        </w:div>
        <w:div w:id="1610047957">
          <w:marLeft w:val="0"/>
          <w:marRight w:val="0"/>
          <w:marTop w:val="0"/>
          <w:marBottom w:val="0"/>
          <w:divBdr>
            <w:top w:val="none" w:sz="0" w:space="0" w:color="auto"/>
            <w:left w:val="none" w:sz="0" w:space="0" w:color="auto"/>
            <w:bottom w:val="none" w:sz="0" w:space="0" w:color="auto"/>
            <w:right w:val="none" w:sz="0" w:space="0" w:color="auto"/>
          </w:divBdr>
        </w:div>
        <w:div w:id="1530338724">
          <w:marLeft w:val="0"/>
          <w:marRight w:val="0"/>
          <w:marTop w:val="0"/>
          <w:marBottom w:val="0"/>
          <w:divBdr>
            <w:top w:val="none" w:sz="0" w:space="0" w:color="auto"/>
            <w:left w:val="none" w:sz="0" w:space="0" w:color="auto"/>
            <w:bottom w:val="none" w:sz="0" w:space="0" w:color="auto"/>
            <w:right w:val="none" w:sz="0" w:space="0" w:color="auto"/>
          </w:divBdr>
        </w:div>
        <w:div w:id="444471695">
          <w:marLeft w:val="0"/>
          <w:marRight w:val="0"/>
          <w:marTop w:val="0"/>
          <w:marBottom w:val="0"/>
          <w:divBdr>
            <w:top w:val="none" w:sz="0" w:space="0" w:color="auto"/>
            <w:left w:val="none" w:sz="0" w:space="0" w:color="auto"/>
            <w:bottom w:val="none" w:sz="0" w:space="0" w:color="auto"/>
            <w:right w:val="none" w:sz="0" w:space="0" w:color="auto"/>
          </w:divBdr>
        </w:div>
        <w:div w:id="29847671">
          <w:marLeft w:val="0"/>
          <w:marRight w:val="0"/>
          <w:marTop w:val="0"/>
          <w:marBottom w:val="0"/>
          <w:divBdr>
            <w:top w:val="none" w:sz="0" w:space="0" w:color="auto"/>
            <w:left w:val="none" w:sz="0" w:space="0" w:color="auto"/>
            <w:bottom w:val="none" w:sz="0" w:space="0" w:color="auto"/>
            <w:right w:val="none" w:sz="0" w:space="0" w:color="auto"/>
          </w:divBdr>
        </w:div>
        <w:div w:id="759646546">
          <w:marLeft w:val="0"/>
          <w:marRight w:val="0"/>
          <w:marTop w:val="0"/>
          <w:marBottom w:val="0"/>
          <w:divBdr>
            <w:top w:val="none" w:sz="0" w:space="0" w:color="auto"/>
            <w:left w:val="none" w:sz="0" w:space="0" w:color="auto"/>
            <w:bottom w:val="none" w:sz="0" w:space="0" w:color="auto"/>
            <w:right w:val="none" w:sz="0" w:space="0" w:color="auto"/>
          </w:divBdr>
        </w:div>
        <w:div w:id="1753509073">
          <w:marLeft w:val="0"/>
          <w:marRight w:val="0"/>
          <w:marTop w:val="0"/>
          <w:marBottom w:val="0"/>
          <w:divBdr>
            <w:top w:val="none" w:sz="0" w:space="0" w:color="auto"/>
            <w:left w:val="none" w:sz="0" w:space="0" w:color="auto"/>
            <w:bottom w:val="none" w:sz="0" w:space="0" w:color="auto"/>
            <w:right w:val="none" w:sz="0" w:space="0" w:color="auto"/>
          </w:divBdr>
        </w:div>
        <w:div w:id="616253333">
          <w:marLeft w:val="0"/>
          <w:marRight w:val="0"/>
          <w:marTop w:val="0"/>
          <w:marBottom w:val="0"/>
          <w:divBdr>
            <w:top w:val="none" w:sz="0" w:space="0" w:color="auto"/>
            <w:left w:val="none" w:sz="0" w:space="0" w:color="auto"/>
            <w:bottom w:val="none" w:sz="0" w:space="0" w:color="auto"/>
            <w:right w:val="none" w:sz="0" w:space="0" w:color="auto"/>
          </w:divBdr>
        </w:div>
        <w:div w:id="852568424">
          <w:marLeft w:val="0"/>
          <w:marRight w:val="0"/>
          <w:marTop w:val="0"/>
          <w:marBottom w:val="0"/>
          <w:divBdr>
            <w:top w:val="none" w:sz="0" w:space="0" w:color="auto"/>
            <w:left w:val="none" w:sz="0" w:space="0" w:color="auto"/>
            <w:bottom w:val="none" w:sz="0" w:space="0" w:color="auto"/>
            <w:right w:val="none" w:sz="0" w:space="0" w:color="auto"/>
          </w:divBdr>
        </w:div>
        <w:div w:id="308286049">
          <w:marLeft w:val="0"/>
          <w:marRight w:val="0"/>
          <w:marTop w:val="0"/>
          <w:marBottom w:val="0"/>
          <w:divBdr>
            <w:top w:val="none" w:sz="0" w:space="0" w:color="auto"/>
            <w:left w:val="none" w:sz="0" w:space="0" w:color="auto"/>
            <w:bottom w:val="none" w:sz="0" w:space="0" w:color="auto"/>
            <w:right w:val="none" w:sz="0" w:space="0" w:color="auto"/>
          </w:divBdr>
        </w:div>
      </w:divsChild>
    </w:div>
    <w:div w:id="940181974">
      <w:bodyDiv w:val="1"/>
      <w:marLeft w:val="0"/>
      <w:marRight w:val="0"/>
      <w:marTop w:val="0"/>
      <w:marBottom w:val="0"/>
      <w:divBdr>
        <w:top w:val="none" w:sz="0" w:space="0" w:color="auto"/>
        <w:left w:val="none" w:sz="0" w:space="0" w:color="auto"/>
        <w:bottom w:val="none" w:sz="0" w:space="0" w:color="auto"/>
        <w:right w:val="none" w:sz="0" w:space="0" w:color="auto"/>
      </w:divBdr>
      <w:divsChild>
        <w:div w:id="1160997950">
          <w:marLeft w:val="0"/>
          <w:marRight w:val="0"/>
          <w:marTop w:val="0"/>
          <w:marBottom w:val="0"/>
          <w:divBdr>
            <w:top w:val="none" w:sz="0" w:space="0" w:color="auto"/>
            <w:left w:val="none" w:sz="0" w:space="0" w:color="auto"/>
            <w:bottom w:val="none" w:sz="0" w:space="0" w:color="auto"/>
            <w:right w:val="none" w:sz="0" w:space="0" w:color="auto"/>
          </w:divBdr>
        </w:div>
        <w:div w:id="654993148">
          <w:marLeft w:val="0"/>
          <w:marRight w:val="0"/>
          <w:marTop w:val="0"/>
          <w:marBottom w:val="0"/>
          <w:divBdr>
            <w:top w:val="none" w:sz="0" w:space="0" w:color="auto"/>
            <w:left w:val="none" w:sz="0" w:space="0" w:color="auto"/>
            <w:bottom w:val="none" w:sz="0" w:space="0" w:color="auto"/>
            <w:right w:val="none" w:sz="0" w:space="0" w:color="auto"/>
          </w:divBdr>
        </w:div>
        <w:div w:id="1868785067">
          <w:marLeft w:val="0"/>
          <w:marRight w:val="0"/>
          <w:marTop w:val="0"/>
          <w:marBottom w:val="0"/>
          <w:divBdr>
            <w:top w:val="none" w:sz="0" w:space="0" w:color="auto"/>
            <w:left w:val="none" w:sz="0" w:space="0" w:color="auto"/>
            <w:bottom w:val="none" w:sz="0" w:space="0" w:color="auto"/>
            <w:right w:val="none" w:sz="0" w:space="0" w:color="auto"/>
          </w:divBdr>
        </w:div>
        <w:div w:id="1726685109">
          <w:marLeft w:val="0"/>
          <w:marRight w:val="0"/>
          <w:marTop w:val="0"/>
          <w:marBottom w:val="0"/>
          <w:divBdr>
            <w:top w:val="none" w:sz="0" w:space="0" w:color="auto"/>
            <w:left w:val="none" w:sz="0" w:space="0" w:color="auto"/>
            <w:bottom w:val="none" w:sz="0" w:space="0" w:color="auto"/>
            <w:right w:val="none" w:sz="0" w:space="0" w:color="auto"/>
          </w:divBdr>
        </w:div>
        <w:div w:id="2097315275">
          <w:marLeft w:val="0"/>
          <w:marRight w:val="0"/>
          <w:marTop w:val="0"/>
          <w:marBottom w:val="0"/>
          <w:divBdr>
            <w:top w:val="none" w:sz="0" w:space="0" w:color="auto"/>
            <w:left w:val="none" w:sz="0" w:space="0" w:color="auto"/>
            <w:bottom w:val="none" w:sz="0" w:space="0" w:color="auto"/>
            <w:right w:val="none" w:sz="0" w:space="0" w:color="auto"/>
          </w:divBdr>
        </w:div>
        <w:div w:id="1998260669">
          <w:marLeft w:val="0"/>
          <w:marRight w:val="0"/>
          <w:marTop w:val="0"/>
          <w:marBottom w:val="0"/>
          <w:divBdr>
            <w:top w:val="none" w:sz="0" w:space="0" w:color="auto"/>
            <w:left w:val="none" w:sz="0" w:space="0" w:color="auto"/>
            <w:bottom w:val="none" w:sz="0" w:space="0" w:color="auto"/>
            <w:right w:val="none" w:sz="0" w:space="0" w:color="auto"/>
          </w:divBdr>
        </w:div>
        <w:div w:id="517306561">
          <w:marLeft w:val="0"/>
          <w:marRight w:val="0"/>
          <w:marTop w:val="0"/>
          <w:marBottom w:val="0"/>
          <w:divBdr>
            <w:top w:val="none" w:sz="0" w:space="0" w:color="auto"/>
            <w:left w:val="none" w:sz="0" w:space="0" w:color="auto"/>
            <w:bottom w:val="none" w:sz="0" w:space="0" w:color="auto"/>
            <w:right w:val="none" w:sz="0" w:space="0" w:color="auto"/>
          </w:divBdr>
        </w:div>
      </w:divsChild>
    </w:div>
    <w:div w:id="964891778">
      <w:bodyDiv w:val="1"/>
      <w:marLeft w:val="0"/>
      <w:marRight w:val="0"/>
      <w:marTop w:val="0"/>
      <w:marBottom w:val="0"/>
      <w:divBdr>
        <w:top w:val="none" w:sz="0" w:space="0" w:color="auto"/>
        <w:left w:val="none" w:sz="0" w:space="0" w:color="auto"/>
        <w:bottom w:val="none" w:sz="0" w:space="0" w:color="auto"/>
        <w:right w:val="none" w:sz="0" w:space="0" w:color="auto"/>
      </w:divBdr>
      <w:divsChild>
        <w:div w:id="110826625">
          <w:marLeft w:val="0"/>
          <w:marRight w:val="0"/>
          <w:marTop w:val="0"/>
          <w:marBottom w:val="0"/>
          <w:divBdr>
            <w:top w:val="none" w:sz="0" w:space="0" w:color="auto"/>
            <w:left w:val="none" w:sz="0" w:space="0" w:color="auto"/>
            <w:bottom w:val="none" w:sz="0" w:space="0" w:color="auto"/>
            <w:right w:val="none" w:sz="0" w:space="0" w:color="auto"/>
          </w:divBdr>
        </w:div>
        <w:div w:id="407271990">
          <w:marLeft w:val="0"/>
          <w:marRight w:val="0"/>
          <w:marTop w:val="0"/>
          <w:marBottom w:val="0"/>
          <w:divBdr>
            <w:top w:val="none" w:sz="0" w:space="0" w:color="auto"/>
            <w:left w:val="none" w:sz="0" w:space="0" w:color="auto"/>
            <w:bottom w:val="none" w:sz="0" w:space="0" w:color="auto"/>
            <w:right w:val="none" w:sz="0" w:space="0" w:color="auto"/>
          </w:divBdr>
        </w:div>
        <w:div w:id="482552301">
          <w:marLeft w:val="0"/>
          <w:marRight w:val="0"/>
          <w:marTop w:val="0"/>
          <w:marBottom w:val="0"/>
          <w:divBdr>
            <w:top w:val="none" w:sz="0" w:space="0" w:color="auto"/>
            <w:left w:val="none" w:sz="0" w:space="0" w:color="auto"/>
            <w:bottom w:val="none" w:sz="0" w:space="0" w:color="auto"/>
            <w:right w:val="none" w:sz="0" w:space="0" w:color="auto"/>
          </w:divBdr>
        </w:div>
        <w:div w:id="251593248">
          <w:marLeft w:val="0"/>
          <w:marRight w:val="0"/>
          <w:marTop w:val="0"/>
          <w:marBottom w:val="0"/>
          <w:divBdr>
            <w:top w:val="none" w:sz="0" w:space="0" w:color="auto"/>
            <w:left w:val="none" w:sz="0" w:space="0" w:color="auto"/>
            <w:bottom w:val="none" w:sz="0" w:space="0" w:color="auto"/>
            <w:right w:val="none" w:sz="0" w:space="0" w:color="auto"/>
          </w:divBdr>
        </w:div>
        <w:div w:id="522092376">
          <w:marLeft w:val="0"/>
          <w:marRight w:val="0"/>
          <w:marTop w:val="0"/>
          <w:marBottom w:val="0"/>
          <w:divBdr>
            <w:top w:val="none" w:sz="0" w:space="0" w:color="auto"/>
            <w:left w:val="none" w:sz="0" w:space="0" w:color="auto"/>
            <w:bottom w:val="none" w:sz="0" w:space="0" w:color="auto"/>
            <w:right w:val="none" w:sz="0" w:space="0" w:color="auto"/>
          </w:divBdr>
        </w:div>
        <w:div w:id="865294767">
          <w:marLeft w:val="0"/>
          <w:marRight w:val="0"/>
          <w:marTop w:val="0"/>
          <w:marBottom w:val="0"/>
          <w:divBdr>
            <w:top w:val="none" w:sz="0" w:space="0" w:color="auto"/>
            <w:left w:val="none" w:sz="0" w:space="0" w:color="auto"/>
            <w:bottom w:val="none" w:sz="0" w:space="0" w:color="auto"/>
            <w:right w:val="none" w:sz="0" w:space="0" w:color="auto"/>
          </w:divBdr>
          <w:divsChild>
            <w:div w:id="1311252932">
              <w:marLeft w:val="0"/>
              <w:marRight w:val="0"/>
              <w:marTop w:val="0"/>
              <w:marBottom w:val="0"/>
              <w:divBdr>
                <w:top w:val="none" w:sz="0" w:space="0" w:color="auto"/>
                <w:left w:val="none" w:sz="0" w:space="0" w:color="auto"/>
                <w:bottom w:val="none" w:sz="0" w:space="0" w:color="auto"/>
                <w:right w:val="none" w:sz="0" w:space="0" w:color="auto"/>
              </w:divBdr>
            </w:div>
            <w:div w:id="1934582057">
              <w:marLeft w:val="0"/>
              <w:marRight w:val="0"/>
              <w:marTop w:val="0"/>
              <w:marBottom w:val="0"/>
              <w:divBdr>
                <w:top w:val="none" w:sz="0" w:space="0" w:color="auto"/>
                <w:left w:val="none" w:sz="0" w:space="0" w:color="auto"/>
                <w:bottom w:val="none" w:sz="0" w:space="0" w:color="auto"/>
                <w:right w:val="none" w:sz="0" w:space="0" w:color="auto"/>
              </w:divBdr>
            </w:div>
            <w:div w:id="360130892">
              <w:marLeft w:val="0"/>
              <w:marRight w:val="0"/>
              <w:marTop w:val="0"/>
              <w:marBottom w:val="0"/>
              <w:divBdr>
                <w:top w:val="none" w:sz="0" w:space="0" w:color="auto"/>
                <w:left w:val="none" w:sz="0" w:space="0" w:color="auto"/>
                <w:bottom w:val="none" w:sz="0" w:space="0" w:color="auto"/>
                <w:right w:val="none" w:sz="0" w:space="0" w:color="auto"/>
              </w:divBdr>
            </w:div>
            <w:div w:id="1613896142">
              <w:marLeft w:val="0"/>
              <w:marRight w:val="0"/>
              <w:marTop w:val="0"/>
              <w:marBottom w:val="0"/>
              <w:divBdr>
                <w:top w:val="none" w:sz="0" w:space="0" w:color="auto"/>
                <w:left w:val="none" w:sz="0" w:space="0" w:color="auto"/>
                <w:bottom w:val="none" w:sz="0" w:space="0" w:color="auto"/>
                <w:right w:val="none" w:sz="0" w:space="0" w:color="auto"/>
              </w:divBdr>
            </w:div>
            <w:div w:id="81684329">
              <w:marLeft w:val="0"/>
              <w:marRight w:val="0"/>
              <w:marTop w:val="0"/>
              <w:marBottom w:val="0"/>
              <w:divBdr>
                <w:top w:val="none" w:sz="0" w:space="0" w:color="auto"/>
                <w:left w:val="none" w:sz="0" w:space="0" w:color="auto"/>
                <w:bottom w:val="none" w:sz="0" w:space="0" w:color="auto"/>
                <w:right w:val="none" w:sz="0" w:space="0" w:color="auto"/>
              </w:divBdr>
            </w:div>
            <w:div w:id="1452284764">
              <w:marLeft w:val="0"/>
              <w:marRight w:val="0"/>
              <w:marTop w:val="0"/>
              <w:marBottom w:val="0"/>
              <w:divBdr>
                <w:top w:val="none" w:sz="0" w:space="0" w:color="auto"/>
                <w:left w:val="none" w:sz="0" w:space="0" w:color="auto"/>
                <w:bottom w:val="none" w:sz="0" w:space="0" w:color="auto"/>
                <w:right w:val="none" w:sz="0" w:space="0" w:color="auto"/>
              </w:divBdr>
            </w:div>
            <w:div w:id="1428847105">
              <w:marLeft w:val="0"/>
              <w:marRight w:val="0"/>
              <w:marTop w:val="0"/>
              <w:marBottom w:val="0"/>
              <w:divBdr>
                <w:top w:val="none" w:sz="0" w:space="0" w:color="auto"/>
                <w:left w:val="none" w:sz="0" w:space="0" w:color="auto"/>
                <w:bottom w:val="none" w:sz="0" w:space="0" w:color="auto"/>
                <w:right w:val="none" w:sz="0" w:space="0" w:color="auto"/>
              </w:divBdr>
            </w:div>
            <w:div w:id="616253399">
              <w:marLeft w:val="0"/>
              <w:marRight w:val="0"/>
              <w:marTop w:val="0"/>
              <w:marBottom w:val="0"/>
              <w:divBdr>
                <w:top w:val="none" w:sz="0" w:space="0" w:color="auto"/>
                <w:left w:val="none" w:sz="0" w:space="0" w:color="auto"/>
                <w:bottom w:val="none" w:sz="0" w:space="0" w:color="auto"/>
                <w:right w:val="none" w:sz="0" w:space="0" w:color="auto"/>
              </w:divBdr>
            </w:div>
            <w:div w:id="620191727">
              <w:marLeft w:val="0"/>
              <w:marRight w:val="0"/>
              <w:marTop w:val="0"/>
              <w:marBottom w:val="0"/>
              <w:divBdr>
                <w:top w:val="none" w:sz="0" w:space="0" w:color="auto"/>
                <w:left w:val="none" w:sz="0" w:space="0" w:color="auto"/>
                <w:bottom w:val="none" w:sz="0" w:space="0" w:color="auto"/>
                <w:right w:val="none" w:sz="0" w:space="0" w:color="auto"/>
              </w:divBdr>
            </w:div>
            <w:div w:id="189007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678196">
      <w:bodyDiv w:val="1"/>
      <w:marLeft w:val="0"/>
      <w:marRight w:val="0"/>
      <w:marTop w:val="0"/>
      <w:marBottom w:val="0"/>
      <w:divBdr>
        <w:top w:val="none" w:sz="0" w:space="0" w:color="auto"/>
        <w:left w:val="none" w:sz="0" w:space="0" w:color="auto"/>
        <w:bottom w:val="none" w:sz="0" w:space="0" w:color="auto"/>
        <w:right w:val="none" w:sz="0" w:space="0" w:color="auto"/>
      </w:divBdr>
      <w:divsChild>
        <w:div w:id="1454712747">
          <w:marLeft w:val="0"/>
          <w:marRight w:val="0"/>
          <w:marTop w:val="0"/>
          <w:marBottom w:val="0"/>
          <w:divBdr>
            <w:top w:val="none" w:sz="0" w:space="0" w:color="auto"/>
            <w:left w:val="none" w:sz="0" w:space="0" w:color="auto"/>
            <w:bottom w:val="none" w:sz="0" w:space="0" w:color="auto"/>
            <w:right w:val="none" w:sz="0" w:space="0" w:color="auto"/>
          </w:divBdr>
          <w:divsChild>
            <w:div w:id="325280821">
              <w:marLeft w:val="0"/>
              <w:marRight w:val="0"/>
              <w:marTop w:val="0"/>
              <w:marBottom w:val="0"/>
              <w:divBdr>
                <w:top w:val="none" w:sz="0" w:space="0" w:color="auto"/>
                <w:left w:val="none" w:sz="0" w:space="0" w:color="auto"/>
                <w:bottom w:val="none" w:sz="0" w:space="0" w:color="auto"/>
                <w:right w:val="none" w:sz="0" w:space="0" w:color="auto"/>
              </w:divBdr>
            </w:div>
            <w:div w:id="284503172">
              <w:marLeft w:val="0"/>
              <w:marRight w:val="0"/>
              <w:marTop w:val="0"/>
              <w:marBottom w:val="0"/>
              <w:divBdr>
                <w:top w:val="none" w:sz="0" w:space="0" w:color="auto"/>
                <w:left w:val="none" w:sz="0" w:space="0" w:color="auto"/>
                <w:bottom w:val="none" w:sz="0" w:space="0" w:color="auto"/>
                <w:right w:val="none" w:sz="0" w:space="0" w:color="auto"/>
              </w:divBdr>
            </w:div>
            <w:div w:id="1591353884">
              <w:marLeft w:val="0"/>
              <w:marRight w:val="0"/>
              <w:marTop w:val="0"/>
              <w:marBottom w:val="0"/>
              <w:divBdr>
                <w:top w:val="none" w:sz="0" w:space="0" w:color="auto"/>
                <w:left w:val="none" w:sz="0" w:space="0" w:color="auto"/>
                <w:bottom w:val="none" w:sz="0" w:space="0" w:color="auto"/>
                <w:right w:val="none" w:sz="0" w:space="0" w:color="auto"/>
              </w:divBdr>
            </w:div>
            <w:div w:id="740635016">
              <w:marLeft w:val="0"/>
              <w:marRight w:val="0"/>
              <w:marTop w:val="0"/>
              <w:marBottom w:val="0"/>
              <w:divBdr>
                <w:top w:val="none" w:sz="0" w:space="0" w:color="auto"/>
                <w:left w:val="none" w:sz="0" w:space="0" w:color="auto"/>
                <w:bottom w:val="none" w:sz="0" w:space="0" w:color="auto"/>
                <w:right w:val="none" w:sz="0" w:space="0" w:color="auto"/>
              </w:divBdr>
            </w:div>
            <w:div w:id="947391782">
              <w:marLeft w:val="0"/>
              <w:marRight w:val="0"/>
              <w:marTop w:val="0"/>
              <w:marBottom w:val="0"/>
              <w:divBdr>
                <w:top w:val="none" w:sz="0" w:space="0" w:color="auto"/>
                <w:left w:val="none" w:sz="0" w:space="0" w:color="auto"/>
                <w:bottom w:val="none" w:sz="0" w:space="0" w:color="auto"/>
                <w:right w:val="none" w:sz="0" w:space="0" w:color="auto"/>
              </w:divBdr>
            </w:div>
            <w:div w:id="2064937370">
              <w:marLeft w:val="0"/>
              <w:marRight w:val="0"/>
              <w:marTop w:val="0"/>
              <w:marBottom w:val="0"/>
              <w:divBdr>
                <w:top w:val="none" w:sz="0" w:space="0" w:color="auto"/>
                <w:left w:val="none" w:sz="0" w:space="0" w:color="auto"/>
                <w:bottom w:val="none" w:sz="0" w:space="0" w:color="auto"/>
                <w:right w:val="none" w:sz="0" w:space="0" w:color="auto"/>
              </w:divBdr>
            </w:div>
          </w:divsChild>
        </w:div>
        <w:div w:id="1488090998">
          <w:marLeft w:val="0"/>
          <w:marRight w:val="0"/>
          <w:marTop w:val="0"/>
          <w:marBottom w:val="0"/>
          <w:divBdr>
            <w:top w:val="none" w:sz="0" w:space="0" w:color="auto"/>
            <w:left w:val="none" w:sz="0" w:space="0" w:color="auto"/>
            <w:bottom w:val="none" w:sz="0" w:space="0" w:color="auto"/>
            <w:right w:val="none" w:sz="0" w:space="0" w:color="auto"/>
          </w:divBdr>
        </w:div>
        <w:div w:id="348683498">
          <w:marLeft w:val="0"/>
          <w:marRight w:val="0"/>
          <w:marTop w:val="0"/>
          <w:marBottom w:val="0"/>
          <w:divBdr>
            <w:top w:val="none" w:sz="0" w:space="0" w:color="auto"/>
            <w:left w:val="none" w:sz="0" w:space="0" w:color="auto"/>
            <w:bottom w:val="none" w:sz="0" w:space="0" w:color="auto"/>
            <w:right w:val="none" w:sz="0" w:space="0" w:color="auto"/>
          </w:divBdr>
        </w:div>
        <w:div w:id="970671399">
          <w:marLeft w:val="0"/>
          <w:marRight w:val="0"/>
          <w:marTop w:val="0"/>
          <w:marBottom w:val="0"/>
          <w:divBdr>
            <w:top w:val="none" w:sz="0" w:space="0" w:color="auto"/>
            <w:left w:val="none" w:sz="0" w:space="0" w:color="auto"/>
            <w:bottom w:val="none" w:sz="0" w:space="0" w:color="auto"/>
            <w:right w:val="none" w:sz="0" w:space="0" w:color="auto"/>
          </w:divBdr>
        </w:div>
        <w:div w:id="187568314">
          <w:marLeft w:val="0"/>
          <w:marRight w:val="0"/>
          <w:marTop w:val="0"/>
          <w:marBottom w:val="0"/>
          <w:divBdr>
            <w:top w:val="none" w:sz="0" w:space="0" w:color="auto"/>
            <w:left w:val="none" w:sz="0" w:space="0" w:color="auto"/>
            <w:bottom w:val="none" w:sz="0" w:space="0" w:color="auto"/>
            <w:right w:val="none" w:sz="0" w:space="0" w:color="auto"/>
          </w:divBdr>
        </w:div>
      </w:divsChild>
    </w:div>
    <w:div w:id="1085999514">
      <w:bodyDiv w:val="1"/>
      <w:marLeft w:val="0"/>
      <w:marRight w:val="0"/>
      <w:marTop w:val="0"/>
      <w:marBottom w:val="0"/>
      <w:divBdr>
        <w:top w:val="none" w:sz="0" w:space="0" w:color="auto"/>
        <w:left w:val="none" w:sz="0" w:space="0" w:color="auto"/>
        <w:bottom w:val="none" w:sz="0" w:space="0" w:color="auto"/>
        <w:right w:val="none" w:sz="0" w:space="0" w:color="auto"/>
      </w:divBdr>
      <w:divsChild>
        <w:div w:id="10226234">
          <w:marLeft w:val="0"/>
          <w:marRight w:val="0"/>
          <w:marTop w:val="0"/>
          <w:marBottom w:val="0"/>
          <w:divBdr>
            <w:top w:val="none" w:sz="0" w:space="0" w:color="auto"/>
            <w:left w:val="none" w:sz="0" w:space="0" w:color="auto"/>
            <w:bottom w:val="none" w:sz="0" w:space="0" w:color="auto"/>
            <w:right w:val="none" w:sz="0" w:space="0" w:color="auto"/>
          </w:divBdr>
        </w:div>
        <w:div w:id="1335375482">
          <w:marLeft w:val="0"/>
          <w:marRight w:val="0"/>
          <w:marTop w:val="0"/>
          <w:marBottom w:val="0"/>
          <w:divBdr>
            <w:top w:val="none" w:sz="0" w:space="0" w:color="auto"/>
            <w:left w:val="none" w:sz="0" w:space="0" w:color="auto"/>
            <w:bottom w:val="none" w:sz="0" w:space="0" w:color="auto"/>
            <w:right w:val="none" w:sz="0" w:space="0" w:color="auto"/>
          </w:divBdr>
        </w:div>
        <w:div w:id="2133208273">
          <w:marLeft w:val="0"/>
          <w:marRight w:val="0"/>
          <w:marTop w:val="0"/>
          <w:marBottom w:val="0"/>
          <w:divBdr>
            <w:top w:val="none" w:sz="0" w:space="0" w:color="auto"/>
            <w:left w:val="none" w:sz="0" w:space="0" w:color="auto"/>
            <w:bottom w:val="none" w:sz="0" w:space="0" w:color="auto"/>
            <w:right w:val="none" w:sz="0" w:space="0" w:color="auto"/>
          </w:divBdr>
        </w:div>
        <w:div w:id="1977684754">
          <w:marLeft w:val="0"/>
          <w:marRight w:val="0"/>
          <w:marTop w:val="0"/>
          <w:marBottom w:val="0"/>
          <w:divBdr>
            <w:top w:val="none" w:sz="0" w:space="0" w:color="auto"/>
            <w:left w:val="none" w:sz="0" w:space="0" w:color="auto"/>
            <w:bottom w:val="none" w:sz="0" w:space="0" w:color="auto"/>
            <w:right w:val="none" w:sz="0" w:space="0" w:color="auto"/>
          </w:divBdr>
        </w:div>
        <w:div w:id="755706741">
          <w:marLeft w:val="0"/>
          <w:marRight w:val="0"/>
          <w:marTop w:val="0"/>
          <w:marBottom w:val="0"/>
          <w:divBdr>
            <w:top w:val="none" w:sz="0" w:space="0" w:color="auto"/>
            <w:left w:val="none" w:sz="0" w:space="0" w:color="auto"/>
            <w:bottom w:val="none" w:sz="0" w:space="0" w:color="auto"/>
            <w:right w:val="none" w:sz="0" w:space="0" w:color="auto"/>
          </w:divBdr>
        </w:div>
      </w:divsChild>
    </w:div>
    <w:div w:id="1158615020">
      <w:bodyDiv w:val="1"/>
      <w:marLeft w:val="0"/>
      <w:marRight w:val="0"/>
      <w:marTop w:val="0"/>
      <w:marBottom w:val="0"/>
      <w:divBdr>
        <w:top w:val="none" w:sz="0" w:space="0" w:color="auto"/>
        <w:left w:val="none" w:sz="0" w:space="0" w:color="auto"/>
        <w:bottom w:val="none" w:sz="0" w:space="0" w:color="auto"/>
        <w:right w:val="none" w:sz="0" w:space="0" w:color="auto"/>
      </w:divBdr>
      <w:divsChild>
        <w:div w:id="463431471">
          <w:marLeft w:val="0"/>
          <w:marRight w:val="0"/>
          <w:marTop w:val="0"/>
          <w:marBottom w:val="0"/>
          <w:divBdr>
            <w:top w:val="none" w:sz="0" w:space="0" w:color="auto"/>
            <w:left w:val="none" w:sz="0" w:space="0" w:color="auto"/>
            <w:bottom w:val="none" w:sz="0" w:space="0" w:color="auto"/>
            <w:right w:val="none" w:sz="0" w:space="0" w:color="auto"/>
          </w:divBdr>
        </w:div>
        <w:div w:id="513419212">
          <w:marLeft w:val="0"/>
          <w:marRight w:val="0"/>
          <w:marTop w:val="0"/>
          <w:marBottom w:val="0"/>
          <w:divBdr>
            <w:top w:val="none" w:sz="0" w:space="0" w:color="auto"/>
            <w:left w:val="none" w:sz="0" w:space="0" w:color="auto"/>
            <w:bottom w:val="none" w:sz="0" w:space="0" w:color="auto"/>
            <w:right w:val="none" w:sz="0" w:space="0" w:color="auto"/>
          </w:divBdr>
        </w:div>
        <w:div w:id="1612976524">
          <w:marLeft w:val="0"/>
          <w:marRight w:val="0"/>
          <w:marTop w:val="0"/>
          <w:marBottom w:val="0"/>
          <w:divBdr>
            <w:top w:val="none" w:sz="0" w:space="0" w:color="auto"/>
            <w:left w:val="none" w:sz="0" w:space="0" w:color="auto"/>
            <w:bottom w:val="none" w:sz="0" w:space="0" w:color="auto"/>
            <w:right w:val="none" w:sz="0" w:space="0" w:color="auto"/>
          </w:divBdr>
        </w:div>
      </w:divsChild>
    </w:div>
    <w:div w:id="1362171712">
      <w:bodyDiv w:val="1"/>
      <w:marLeft w:val="0"/>
      <w:marRight w:val="0"/>
      <w:marTop w:val="0"/>
      <w:marBottom w:val="0"/>
      <w:divBdr>
        <w:top w:val="none" w:sz="0" w:space="0" w:color="auto"/>
        <w:left w:val="none" w:sz="0" w:space="0" w:color="auto"/>
        <w:bottom w:val="none" w:sz="0" w:space="0" w:color="auto"/>
        <w:right w:val="none" w:sz="0" w:space="0" w:color="auto"/>
      </w:divBdr>
      <w:divsChild>
        <w:div w:id="841091778">
          <w:marLeft w:val="0"/>
          <w:marRight w:val="0"/>
          <w:marTop w:val="0"/>
          <w:marBottom w:val="0"/>
          <w:divBdr>
            <w:top w:val="none" w:sz="0" w:space="0" w:color="auto"/>
            <w:left w:val="none" w:sz="0" w:space="0" w:color="auto"/>
            <w:bottom w:val="none" w:sz="0" w:space="0" w:color="auto"/>
            <w:right w:val="none" w:sz="0" w:space="0" w:color="auto"/>
          </w:divBdr>
        </w:div>
        <w:div w:id="1038434401">
          <w:marLeft w:val="0"/>
          <w:marRight w:val="0"/>
          <w:marTop w:val="0"/>
          <w:marBottom w:val="0"/>
          <w:divBdr>
            <w:top w:val="none" w:sz="0" w:space="0" w:color="auto"/>
            <w:left w:val="none" w:sz="0" w:space="0" w:color="auto"/>
            <w:bottom w:val="none" w:sz="0" w:space="0" w:color="auto"/>
            <w:right w:val="none" w:sz="0" w:space="0" w:color="auto"/>
          </w:divBdr>
        </w:div>
        <w:div w:id="1483037542">
          <w:marLeft w:val="0"/>
          <w:marRight w:val="0"/>
          <w:marTop w:val="0"/>
          <w:marBottom w:val="0"/>
          <w:divBdr>
            <w:top w:val="none" w:sz="0" w:space="0" w:color="auto"/>
            <w:left w:val="none" w:sz="0" w:space="0" w:color="auto"/>
            <w:bottom w:val="none" w:sz="0" w:space="0" w:color="auto"/>
            <w:right w:val="none" w:sz="0" w:space="0" w:color="auto"/>
          </w:divBdr>
        </w:div>
        <w:div w:id="2059430252">
          <w:marLeft w:val="0"/>
          <w:marRight w:val="0"/>
          <w:marTop w:val="0"/>
          <w:marBottom w:val="0"/>
          <w:divBdr>
            <w:top w:val="none" w:sz="0" w:space="0" w:color="auto"/>
            <w:left w:val="none" w:sz="0" w:space="0" w:color="auto"/>
            <w:bottom w:val="none" w:sz="0" w:space="0" w:color="auto"/>
            <w:right w:val="none" w:sz="0" w:space="0" w:color="auto"/>
          </w:divBdr>
        </w:div>
        <w:div w:id="207105844">
          <w:marLeft w:val="0"/>
          <w:marRight w:val="0"/>
          <w:marTop w:val="0"/>
          <w:marBottom w:val="0"/>
          <w:divBdr>
            <w:top w:val="none" w:sz="0" w:space="0" w:color="auto"/>
            <w:left w:val="none" w:sz="0" w:space="0" w:color="auto"/>
            <w:bottom w:val="none" w:sz="0" w:space="0" w:color="auto"/>
            <w:right w:val="none" w:sz="0" w:space="0" w:color="auto"/>
          </w:divBdr>
        </w:div>
        <w:div w:id="1749420006">
          <w:marLeft w:val="0"/>
          <w:marRight w:val="0"/>
          <w:marTop w:val="0"/>
          <w:marBottom w:val="0"/>
          <w:divBdr>
            <w:top w:val="none" w:sz="0" w:space="0" w:color="auto"/>
            <w:left w:val="none" w:sz="0" w:space="0" w:color="auto"/>
            <w:bottom w:val="none" w:sz="0" w:space="0" w:color="auto"/>
            <w:right w:val="none" w:sz="0" w:space="0" w:color="auto"/>
          </w:divBdr>
        </w:div>
        <w:div w:id="117921887">
          <w:marLeft w:val="0"/>
          <w:marRight w:val="0"/>
          <w:marTop w:val="0"/>
          <w:marBottom w:val="0"/>
          <w:divBdr>
            <w:top w:val="none" w:sz="0" w:space="0" w:color="auto"/>
            <w:left w:val="none" w:sz="0" w:space="0" w:color="auto"/>
            <w:bottom w:val="none" w:sz="0" w:space="0" w:color="auto"/>
            <w:right w:val="none" w:sz="0" w:space="0" w:color="auto"/>
          </w:divBdr>
        </w:div>
        <w:div w:id="1763453770">
          <w:marLeft w:val="0"/>
          <w:marRight w:val="0"/>
          <w:marTop w:val="0"/>
          <w:marBottom w:val="0"/>
          <w:divBdr>
            <w:top w:val="none" w:sz="0" w:space="0" w:color="auto"/>
            <w:left w:val="none" w:sz="0" w:space="0" w:color="auto"/>
            <w:bottom w:val="none" w:sz="0" w:space="0" w:color="auto"/>
            <w:right w:val="none" w:sz="0" w:space="0" w:color="auto"/>
          </w:divBdr>
        </w:div>
        <w:div w:id="1541893016">
          <w:marLeft w:val="0"/>
          <w:marRight w:val="0"/>
          <w:marTop w:val="0"/>
          <w:marBottom w:val="0"/>
          <w:divBdr>
            <w:top w:val="none" w:sz="0" w:space="0" w:color="auto"/>
            <w:left w:val="none" w:sz="0" w:space="0" w:color="auto"/>
            <w:bottom w:val="none" w:sz="0" w:space="0" w:color="auto"/>
            <w:right w:val="none" w:sz="0" w:space="0" w:color="auto"/>
          </w:divBdr>
        </w:div>
      </w:divsChild>
    </w:div>
    <w:div w:id="1365326186">
      <w:bodyDiv w:val="1"/>
      <w:marLeft w:val="0"/>
      <w:marRight w:val="0"/>
      <w:marTop w:val="0"/>
      <w:marBottom w:val="0"/>
      <w:divBdr>
        <w:top w:val="none" w:sz="0" w:space="0" w:color="auto"/>
        <w:left w:val="none" w:sz="0" w:space="0" w:color="auto"/>
        <w:bottom w:val="none" w:sz="0" w:space="0" w:color="auto"/>
        <w:right w:val="none" w:sz="0" w:space="0" w:color="auto"/>
      </w:divBdr>
      <w:divsChild>
        <w:div w:id="1110012835">
          <w:marLeft w:val="0"/>
          <w:marRight w:val="0"/>
          <w:marTop w:val="0"/>
          <w:marBottom w:val="0"/>
          <w:divBdr>
            <w:top w:val="none" w:sz="0" w:space="0" w:color="auto"/>
            <w:left w:val="none" w:sz="0" w:space="0" w:color="auto"/>
            <w:bottom w:val="none" w:sz="0" w:space="0" w:color="auto"/>
            <w:right w:val="none" w:sz="0" w:space="0" w:color="auto"/>
          </w:divBdr>
        </w:div>
        <w:div w:id="1534225938">
          <w:marLeft w:val="0"/>
          <w:marRight w:val="0"/>
          <w:marTop w:val="0"/>
          <w:marBottom w:val="0"/>
          <w:divBdr>
            <w:top w:val="none" w:sz="0" w:space="0" w:color="auto"/>
            <w:left w:val="none" w:sz="0" w:space="0" w:color="auto"/>
            <w:bottom w:val="none" w:sz="0" w:space="0" w:color="auto"/>
            <w:right w:val="none" w:sz="0" w:space="0" w:color="auto"/>
          </w:divBdr>
        </w:div>
        <w:div w:id="13674861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ageing/afs076.(Accessed" TargetMode="External"/><Relationship Id="rId18" Type="http://schemas.openxmlformats.org/officeDocument/2006/relationships/hyperlink" Target="http://www.health.org.uk/" TargetMode="External"/><Relationship Id="rId26" Type="http://schemas.openxmlformats.org/officeDocument/2006/relationships/hyperlink" Target="https://www.ons.gov.uk/peoplepopulationandcommunity/populationandmigration/populationestimates/bulletins/populationandhouseholdestimateswales/census2021" TargetMode="External"/><Relationship Id="rId39" Type="http://schemas.openxmlformats.org/officeDocument/2006/relationships/glossaryDocument" Target="glossary/document.xml"/><Relationship Id="rId21" Type="http://schemas.openxmlformats.org/officeDocument/2006/relationships/hyperlink" Target="https://www.parliament.uk/globalassets/documents/commons/lib/research/key_issues/key-issues-the-ageing-population2007.pdf" TargetMode="External"/><Relationship Id="rId34" Type="http://schemas.openxmlformats.org/officeDocument/2006/relationships/hyperlink" Target="https://www.un.org/development/desa/en/news/population/our-world-is-growing-older.html" TargetMode="External"/><Relationship Id="rId7" Type="http://schemas.openxmlformats.org/officeDocument/2006/relationships/footnotes" Target="footnotes.xml"/><Relationship Id="rId12" Type="http://schemas.openxmlformats.org/officeDocument/2006/relationships/hyperlink" Target="https://www.ageuk.org.uk/services/" TargetMode="External"/><Relationship Id="rId17" Type="http://schemas.openxmlformats.org/officeDocument/2006/relationships/hyperlink" Target="https://www.cqc.org.uk/publications/major-reports/soc202021_01a_pandemic-impact" TargetMode="External"/><Relationship Id="rId25" Type="http://schemas.openxmlformats.org/officeDocument/2006/relationships/hyperlink" Target="http://www.ons.gov.uk/" TargetMode="External"/><Relationship Id="rId33" Type="http://schemas.openxmlformats.org/officeDocument/2006/relationships/hyperlink" Target="https://www.un.org/en/development/desa/population/publications/pdf/ageing/WorldPopulationAgeing2019-Highlights.pdf.(Accessed"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ps.gov.uk/legal-guidance/older-people-prosecuting-crimes-against.(Accessed" TargetMode="External"/><Relationship Id="rId20" Type="http://schemas.openxmlformats.org/officeDocument/2006/relationships/hyperlink" Target="https://scholar.google.com/scholar_lookup?journal=The+Gerontologist&amp;title=Successful+aging&amp;author=R.+J+Havighurst&amp;volume=1&amp;publication_year=(1961)&amp;pages=8-13&amp;" TargetMode="External"/><Relationship Id="rId29" Type="http://schemas.openxmlformats.org/officeDocument/2006/relationships/hyperlink" Target="http://www.ons.gov.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geuk.org.uk/globalassets/age-uk/documents/reports-and-apublications/reports-and-briefings/health--wellbeing/age-uk-briefing-state-of-health-and-care-july-2023-abridged-version.pdf" TargetMode="External"/><Relationship Id="rId24" Type="http://schemas.openxmlformats.org/officeDocument/2006/relationships/hyperlink" Target="https://www.ageuk.org.uk/globalassets/age-uk/documents/reports-and-publications/age_uk_no_age_limit_sept2020.pdf" TargetMode="External"/><Relationship Id="rId32" Type="http://schemas.openxmlformats.org/officeDocument/2006/relationships/hyperlink" Target="http://www.un.org/"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cps.gov.uk/" TargetMode="External"/><Relationship Id="rId23" Type="http://schemas.openxmlformats.org/officeDocument/2006/relationships/hyperlink" Target="https://www.nhs.uk/live-well/exercise/physical-activity-guidelines-older-adults/" TargetMode="External"/><Relationship Id="rId28"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36" Type="http://schemas.openxmlformats.org/officeDocument/2006/relationships/hyperlink" Target="https://pubmed.ncbi.nlm.nih.gov/28104184/" TargetMode="External"/><Relationship Id="rId10" Type="http://schemas.openxmlformats.org/officeDocument/2006/relationships/hyperlink" Target="https://www.who.int/news-room/fact-sheets/detail/ageing-and-health" TargetMode="External"/><Relationship Id="rId19" Type="http://schemas.openxmlformats.org/officeDocument/2006/relationships/hyperlink" Target="https://www.health.org.uk/publications/long-reads/nine-major-challenges-facing-health-and-care-in-england" TargetMode="External"/><Relationship Id="rId31" Type="http://schemas.openxmlformats.org/officeDocument/2006/relationships/hyperlink" Target="https://www.ageuk.org.uk/globalassets/age-uk/documents/reports-and-publications/reports-and-briefings/health--wellbeing/age-uk-briefing-state-of-health-and-care-july-2023-abridged-version.pdf" TargetMode="External"/><Relationship Id="rId4" Type="http://schemas.openxmlformats.org/officeDocument/2006/relationships/styles" Target="styles.xml"/><Relationship Id="rId9" Type="http://schemas.openxmlformats.org/officeDocument/2006/relationships/hyperlink" Target="https://ageing-better.org.uk/sites/default/files/2019-09/Ageing-and-mobility-grand-challenge.pdf" TargetMode="External"/><Relationship Id="rId14" Type="http://schemas.openxmlformats.org/officeDocument/2006/relationships/hyperlink" Target="https://doi.org/10.1212/01.wnl.0000147473.04043.b3" TargetMode="External"/><Relationship Id="rId22" Type="http://schemas.openxmlformats.org/officeDocument/2006/relationships/hyperlink" Target="https://doi.org/10.1007/s10522-016-9641-0(Accessed" TargetMode="External"/><Relationship Id="rId27" Type="http://schemas.openxmlformats.org/officeDocument/2006/relationships/hyperlink" Target="http://www.ons.gov.uk/" TargetMode="External"/><Relationship Id="rId30" Type="http://schemas.openxmlformats.org/officeDocument/2006/relationships/hyperlink" Target="https://www.ons.gov.uk/peoplepopulationandcommunity/healthandsocialcare/healthcaresystem/bulletins/ukhealthaccounts/2021" TargetMode="External"/><Relationship Id="rId35" Type="http://schemas.openxmlformats.org/officeDocument/2006/relationships/hyperlink" Target="https://www.who.int/news-room/fact-sheets/detail/ageing-and-health" TargetMode="Externa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6463015CA5440ACB2ACDA9DEAF85B9F"/>
        <w:category>
          <w:name w:val="General"/>
          <w:gallery w:val="placeholder"/>
        </w:category>
        <w:types>
          <w:type w:val="bbPlcHdr"/>
        </w:types>
        <w:behaviors>
          <w:behavior w:val="content"/>
        </w:behaviors>
        <w:guid w:val="{296E2EA0-BF76-4833-B912-DA863EA46A74}"/>
      </w:docPartPr>
      <w:docPartBody>
        <w:p w:rsidR="006203F6" w:rsidRDefault="00046FC1" w:rsidP="00046FC1">
          <w:pPr>
            <w:pStyle w:val="16463015CA5440ACB2ACDA9DEAF85B9F"/>
          </w:pPr>
          <w:r>
            <w:rPr>
              <w:color w:val="0F4761" w:themeColor="accent1" w:themeShade="BF"/>
            </w:rPr>
            <w:t>[Company name]</w:t>
          </w:r>
        </w:p>
      </w:docPartBody>
    </w:docPart>
    <w:docPart>
      <w:docPartPr>
        <w:name w:val="161BED30403B4A19BC7101349361A533"/>
        <w:category>
          <w:name w:val="General"/>
          <w:gallery w:val="placeholder"/>
        </w:category>
        <w:types>
          <w:type w:val="bbPlcHdr"/>
        </w:types>
        <w:behaviors>
          <w:behavior w:val="content"/>
        </w:behaviors>
        <w:guid w:val="{42779FCE-7227-45D3-BB1A-19D5F3A87273}"/>
      </w:docPartPr>
      <w:docPartBody>
        <w:p w:rsidR="006203F6" w:rsidRDefault="00046FC1" w:rsidP="00046FC1">
          <w:pPr>
            <w:pStyle w:val="161BED30403B4A19BC7101349361A533"/>
          </w:pPr>
          <w:r>
            <w:rPr>
              <w:rFonts w:asciiTheme="majorHAnsi" w:eastAsiaTheme="majorEastAsia" w:hAnsiTheme="majorHAnsi" w:cstheme="majorBidi"/>
              <w:color w:val="156082" w:themeColor="accent1"/>
              <w:sz w:val="88"/>
              <w:szCs w:val="88"/>
            </w:rPr>
            <w:t>[Document title]</w:t>
          </w:r>
        </w:p>
      </w:docPartBody>
    </w:docPart>
    <w:docPart>
      <w:docPartPr>
        <w:name w:val="5B7F4EDD54724C63ABE8D1234F86E27D"/>
        <w:category>
          <w:name w:val="General"/>
          <w:gallery w:val="placeholder"/>
        </w:category>
        <w:types>
          <w:type w:val="bbPlcHdr"/>
        </w:types>
        <w:behaviors>
          <w:behavior w:val="content"/>
        </w:behaviors>
        <w:guid w:val="{ED51BF30-50A9-44C6-A533-39AB992A94BD}"/>
      </w:docPartPr>
      <w:docPartBody>
        <w:p w:rsidR="006203F6" w:rsidRDefault="00046FC1" w:rsidP="00046FC1">
          <w:pPr>
            <w:pStyle w:val="5B7F4EDD54724C63ABE8D1234F86E27D"/>
          </w:pPr>
          <w:r>
            <w:rPr>
              <w:color w:val="156082" w:themeColor="accent1"/>
              <w:sz w:val="28"/>
              <w:szCs w:val="28"/>
            </w:rPr>
            <w:t>[Author name]</w:t>
          </w:r>
        </w:p>
      </w:docPartBody>
    </w:docPart>
    <w:docPart>
      <w:docPartPr>
        <w:name w:val="84594ADA915C42589E8333908061AB77"/>
        <w:category>
          <w:name w:val="General"/>
          <w:gallery w:val="placeholder"/>
        </w:category>
        <w:types>
          <w:type w:val="bbPlcHdr"/>
        </w:types>
        <w:behaviors>
          <w:behavior w:val="content"/>
        </w:behaviors>
        <w:guid w:val="{8D5EE8E5-B173-429E-BE1B-8FABFBB95DD0}"/>
      </w:docPartPr>
      <w:docPartBody>
        <w:p w:rsidR="006203F6" w:rsidRDefault="00046FC1" w:rsidP="00046FC1">
          <w:pPr>
            <w:pStyle w:val="84594ADA915C42589E8333908061AB77"/>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FC1"/>
    <w:rsid w:val="00046FC1"/>
    <w:rsid w:val="005740ED"/>
    <w:rsid w:val="006203F6"/>
    <w:rsid w:val="007B7949"/>
    <w:rsid w:val="00B56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463015CA5440ACB2ACDA9DEAF85B9F">
    <w:name w:val="16463015CA5440ACB2ACDA9DEAF85B9F"/>
    <w:rsid w:val="00046FC1"/>
  </w:style>
  <w:style w:type="paragraph" w:customStyle="1" w:styleId="161BED30403B4A19BC7101349361A533">
    <w:name w:val="161BED30403B4A19BC7101349361A533"/>
    <w:rsid w:val="00046FC1"/>
  </w:style>
  <w:style w:type="paragraph" w:customStyle="1" w:styleId="5B7F4EDD54724C63ABE8D1234F86E27D">
    <w:name w:val="5B7F4EDD54724C63ABE8D1234F86E27D"/>
    <w:rsid w:val="00046FC1"/>
  </w:style>
  <w:style w:type="paragraph" w:customStyle="1" w:styleId="84594ADA915C42589E8333908061AB77">
    <w:name w:val="84594ADA915C42589E8333908061AB77"/>
    <w:rsid w:val="00046F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52D9D0-F3CA-4944-9C1E-778B435AD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3288</Words>
  <Characters>20915</Characters>
  <Application>Microsoft Office Word</Application>
  <DocSecurity>0</DocSecurity>
  <Lines>536</Lines>
  <Paragraphs>99</Paragraphs>
  <ScaleCrop>false</ScaleCrop>
  <HeadingPairs>
    <vt:vector size="2" baseType="variant">
      <vt:variant>
        <vt:lpstr>Title</vt:lpstr>
      </vt:variant>
      <vt:variant>
        <vt:i4>1</vt:i4>
      </vt:variant>
    </vt:vector>
  </HeadingPairs>
  <TitlesOfParts>
    <vt:vector size="1" baseType="lpstr">
      <vt:lpstr>Thriving in Later Years: The older person and the obstacles encountered.</vt:lpstr>
    </vt:vector>
  </TitlesOfParts>
  <Company>Living Well</Company>
  <LinksUpToDate>false</LinksUpToDate>
  <CharactersWithSpaces>24104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Thriving in Later Years: The older person and the obstacles encountered.</dc:title>
  <dc:subject>Cristina Madalina Sandu</dc:subject>
  <dc:creator>Cristina Sandu</dc:creator>
  <cp:keywords/>
  <dc:description/>
  <cp:lastModifiedBy>Cristina Sandu</cp:lastModifiedBy>
  <cp:revision>5</cp:revision>
  <dcterms:created xsi:type="dcterms:W3CDTF">2024-04-03T22:34:00Z</dcterms:created>
  <dcterms:modified xsi:type="dcterms:W3CDTF">2024-04-03T22:58:00Z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74034c60f9c0cc9eeef11b62d60824cc938853da50566c3a3591ad8b92264a40</vt:lpwstr>
  </property>
</Properties>
</file>