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DF86D" w14:textId="77777777" w:rsidR="00B03C52" w:rsidRDefault="00B03C52" w:rsidP="009421A3"/>
    <w:p w14:paraId="5121B796" w14:textId="77777777" w:rsidR="004E2602" w:rsidRPr="004E2602" w:rsidRDefault="004E2602" w:rsidP="004E2602">
      <w:pPr>
        <w:rPr>
          <w:b/>
          <w:bCs/>
        </w:rPr>
      </w:pPr>
      <w:r w:rsidRPr="004E2602">
        <w:rPr>
          <w:b/>
          <w:bCs/>
        </w:rPr>
        <w:t>Student Name: Deborah Agada</w:t>
      </w:r>
    </w:p>
    <w:p w14:paraId="6E690C36" w14:textId="158CE19E" w:rsidR="00B03C52" w:rsidRDefault="004E2602" w:rsidP="004E2602">
      <w:r w:rsidRPr="004E2602">
        <w:rPr>
          <w:b/>
          <w:bCs/>
        </w:rPr>
        <w:t>Student Number: 2224942</w:t>
      </w:r>
    </w:p>
    <w:p w14:paraId="43C1860B" w14:textId="77777777" w:rsidR="00B03C52" w:rsidRDefault="00B03C52" w:rsidP="009421A3"/>
    <w:p w14:paraId="65CDB61A" w14:textId="4F06679B" w:rsidR="009421A3" w:rsidRDefault="009421A3" w:rsidP="009421A3">
      <w:r>
        <w:t>CHAPTER 1 – INTRODUCTION</w:t>
      </w:r>
    </w:p>
    <w:p w14:paraId="1FCFE9BA" w14:textId="77777777" w:rsidR="009421A3" w:rsidRPr="008B1CB2" w:rsidRDefault="009421A3" w:rsidP="008B1CB2">
      <w:pPr>
        <w:spacing w:line="360" w:lineRule="auto"/>
        <w:jc w:val="both"/>
        <w:rPr>
          <w:rFonts w:ascii="Arial" w:hAnsi="Arial" w:cs="Arial"/>
          <w:sz w:val="22"/>
          <w:szCs w:val="22"/>
        </w:rPr>
      </w:pPr>
    </w:p>
    <w:p w14:paraId="064635BA"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1.1 Overview of the Topic</w:t>
      </w:r>
    </w:p>
    <w:p w14:paraId="4E87DA0A" w14:textId="7EFB0736"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Adverse childhood experiences (ACEs) refer to a range of stressful or traumatic events occurring before the age of 18, such as physical, emotional, or sexual abuse, neglect, and household dysfunction (</w:t>
      </w:r>
      <w:proofErr w:type="spellStart"/>
      <w:r w:rsidRPr="008B1CB2">
        <w:rPr>
          <w:rFonts w:ascii="Arial" w:hAnsi="Arial" w:cs="Arial"/>
          <w:sz w:val="22"/>
          <w:szCs w:val="22"/>
        </w:rPr>
        <w:t>Felitti</w:t>
      </w:r>
      <w:proofErr w:type="spellEnd"/>
      <w:r w:rsidRPr="008B1CB2">
        <w:rPr>
          <w:rFonts w:ascii="Arial" w:hAnsi="Arial" w:cs="Arial"/>
          <w:sz w:val="22"/>
          <w:szCs w:val="22"/>
        </w:rPr>
        <w:t xml:space="preserve"> et al., 2019; Anda et al., 1999; Chapman et al., 2007). Originally identified in a seminal US</w:t>
      </w:r>
      <w:r w:rsidRPr="008B1CB2">
        <w:rPr>
          <w:rFonts w:ascii="Cambria Math" w:hAnsi="Cambria Math" w:cs="Cambria Math"/>
          <w:sz w:val="22"/>
          <w:szCs w:val="22"/>
        </w:rPr>
        <w:t>‐</w:t>
      </w:r>
      <w:r w:rsidRPr="008B1CB2">
        <w:rPr>
          <w:rFonts w:ascii="Arial" w:hAnsi="Arial" w:cs="Arial"/>
          <w:sz w:val="22"/>
          <w:szCs w:val="22"/>
        </w:rPr>
        <w:t>based study, ACEs are now recognized globally as major determinants of long</w:t>
      </w:r>
      <w:r w:rsidRPr="008B1CB2">
        <w:rPr>
          <w:rFonts w:ascii="Cambria Math" w:hAnsi="Cambria Math" w:cs="Cambria Math"/>
          <w:sz w:val="22"/>
          <w:szCs w:val="22"/>
        </w:rPr>
        <w:t>‐</w:t>
      </w:r>
      <w:r w:rsidRPr="008B1CB2">
        <w:rPr>
          <w:rFonts w:ascii="Arial" w:hAnsi="Arial" w:cs="Arial"/>
          <w:sz w:val="22"/>
          <w:szCs w:val="22"/>
        </w:rPr>
        <w:t xml:space="preserve">term health and social outcomes (Hughes et al., 2017; Gilbert et al., 2009; Norman et al., 2012). In the United Kingdom, increasing attention has been paid to how ACEs contribute to rising rates of adolescent mental health problems, school exclusion, and youth offending (Bellis et al., 2015; Ford et al., 2007; Public Health England, 2019). Because the UK health and social care systems, school structures, and statutory safeguarding frameworks differ in key aspects from </w:t>
      </w:r>
      <w:r w:rsidR="00206A94">
        <w:rPr>
          <w:rFonts w:ascii="Arial" w:hAnsi="Arial" w:cs="Arial"/>
          <w:sz w:val="22"/>
          <w:szCs w:val="22"/>
        </w:rPr>
        <w:t>those in other countries, it is vital to understand ACE-related trauma specifically within a UK context (Department for Education &amp; Department of Health, 2015; Ofsted,</w:t>
      </w:r>
      <w:r w:rsidRPr="008B1CB2">
        <w:rPr>
          <w:rFonts w:ascii="Arial" w:hAnsi="Arial" w:cs="Arial"/>
          <w:sz w:val="22"/>
          <w:szCs w:val="22"/>
        </w:rPr>
        <w:t xml:space="preserve"> 2022). This chapter introduces ACEs as a public health issue and clarifies that the focus of this dissertation is on UK studies examining ACEs and their psychological, emotional, and behavioural consequences among young people (aged up to 25).</w:t>
      </w:r>
    </w:p>
    <w:p w14:paraId="4CC497AF" w14:textId="77777777" w:rsidR="009421A3" w:rsidRPr="008B1CB2" w:rsidRDefault="009421A3" w:rsidP="008B1CB2">
      <w:pPr>
        <w:spacing w:line="360" w:lineRule="auto"/>
        <w:jc w:val="both"/>
        <w:rPr>
          <w:rFonts w:ascii="Arial" w:hAnsi="Arial" w:cs="Arial"/>
          <w:sz w:val="22"/>
          <w:szCs w:val="22"/>
        </w:rPr>
      </w:pPr>
    </w:p>
    <w:p w14:paraId="2CFBFD8D"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1.2 Definition and Scope of ACEs </w:t>
      </w:r>
    </w:p>
    <w:p w14:paraId="5A3AD00E" w14:textId="5B5D298A"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ACEs encompass events that threaten a child’s physical or emotional safety, including direct maltreatment (physical, emotional or sexual abuse; physical or emotional neglect) as well as environmental adversities (parental substance misuse, mental illness, domestic violence, parental separation or incarceration) (</w:t>
      </w:r>
      <w:proofErr w:type="spellStart"/>
      <w:r w:rsidRPr="008B1CB2">
        <w:rPr>
          <w:rFonts w:ascii="Arial" w:hAnsi="Arial" w:cs="Arial"/>
          <w:sz w:val="22"/>
          <w:szCs w:val="22"/>
        </w:rPr>
        <w:t>Felitti</w:t>
      </w:r>
      <w:proofErr w:type="spellEnd"/>
      <w:r w:rsidRPr="008B1CB2">
        <w:rPr>
          <w:rFonts w:ascii="Arial" w:hAnsi="Arial" w:cs="Arial"/>
          <w:sz w:val="22"/>
          <w:szCs w:val="22"/>
        </w:rPr>
        <w:t xml:space="preserve"> et al., 2019; Burke et al. 2011). In the UK literature, the ACE concept has occasionally been expanded to include experiences such as living in neighbourhoods with high levels of community violence or chronic poverty (Lareya et al., 2015; Maynard et al.</w:t>
      </w:r>
      <w:r w:rsidR="00A8080E">
        <w:rPr>
          <w:rFonts w:ascii="Arial" w:hAnsi="Arial" w:cs="Arial"/>
          <w:sz w:val="22"/>
          <w:szCs w:val="22"/>
        </w:rPr>
        <w:t>,</w:t>
      </w:r>
      <w:r w:rsidRPr="008B1CB2">
        <w:rPr>
          <w:rFonts w:ascii="Arial" w:hAnsi="Arial" w:cs="Arial"/>
          <w:sz w:val="22"/>
          <w:szCs w:val="22"/>
        </w:rPr>
        <w:t xml:space="preserve"> 2019). For this review, "young people" are defined as individuals in the 10–25 age range, which covers the developmental phase from early adolescence to emerging adulthood (Jeffrey et al., 2020; Moffitt et al.</w:t>
      </w:r>
      <w:r w:rsidR="00A8080E">
        <w:rPr>
          <w:rFonts w:ascii="Arial" w:hAnsi="Arial" w:cs="Arial"/>
          <w:sz w:val="22"/>
          <w:szCs w:val="22"/>
        </w:rPr>
        <w:t>,</w:t>
      </w:r>
      <w:r w:rsidRPr="008B1CB2">
        <w:rPr>
          <w:rFonts w:ascii="Arial" w:hAnsi="Arial" w:cs="Arial"/>
          <w:sz w:val="22"/>
          <w:szCs w:val="22"/>
        </w:rPr>
        <w:t xml:space="preserve"> 2011; Masten 2014). This is a crucial age range </w:t>
      </w:r>
      <w:r w:rsidRPr="008B1CB2">
        <w:rPr>
          <w:rFonts w:ascii="Arial" w:hAnsi="Arial" w:cs="Arial"/>
          <w:sz w:val="22"/>
          <w:szCs w:val="22"/>
        </w:rPr>
        <w:lastRenderedPageBreak/>
        <w:t>since brain maturation, social identity</w:t>
      </w:r>
      <w:r w:rsidR="00A8080E">
        <w:rPr>
          <w:rFonts w:ascii="Arial" w:hAnsi="Arial" w:cs="Arial"/>
          <w:sz w:val="22"/>
          <w:szCs w:val="22"/>
        </w:rPr>
        <w:t>,</w:t>
      </w:r>
      <w:r w:rsidRPr="008B1CB2">
        <w:rPr>
          <w:rFonts w:ascii="Arial" w:hAnsi="Arial" w:cs="Arial"/>
          <w:sz w:val="22"/>
          <w:szCs w:val="22"/>
        </w:rPr>
        <w:t xml:space="preserve"> and resilience unfold fully within this period, and ACEs experienced during childhood manifest as mental health or behavioural issues in late adolescence or early adulthood (Lam et al., 2024).</w:t>
      </w:r>
    </w:p>
    <w:p w14:paraId="1D4C8E04" w14:textId="77777777" w:rsidR="009421A3" w:rsidRPr="008B1CB2" w:rsidRDefault="009421A3" w:rsidP="008B1CB2">
      <w:pPr>
        <w:spacing w:line="360" w:lineRule="auto"/>
        <w:jc w:val="both"/>
        <w:rPr>
          <w:rFonts w:ascii="Arial" w:hAnsi="Arial" w:cs="Arial"/>
          <w:sz w:val="22"/>
          <w:szCs w:val="22"/>
        </w:rPr>
      </w:pPr>
    </w:p>
    <w:p w14:paraId="1CF0FCA2"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1.3 Rationale for UK-Specific Focus </w:t>
      </w:r>
    </w:p>
    <w:p w14:paraId="641889C6" w14:textId="1F6ECA6F" w:rsidR="009421A3"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Although international systematic reviews have highlighted the link between ACEs and poor mental health outcomes (Hughes et al., 2017), UK research demonstrates unique contextual factors that may modify these associations. For example, the National Health Service (NHS) and social services in England and Wales operate under statutory safeguarding guidelines that differ from those in North America or continental Europe (Department of Health and Social Care, 2018). Moreover, </w:t>
      </w:r>
      <w:r w:rsidR="007353EB">
        <w:rPr>
          <w:rFonts w:ascii="Arial" w:hAnsi="Arial" w:cs="Arial"/>
          <w:sz w:val="22"/>
          <w:szCs w:val="22"/>
        </w:rPr>
        <w:t xml:space="preserve">the </w:t>
      </w:r>
      <w:r w:rsidRPr="008B1CB2">
        <w:rPr>
          <w:rFonts w:ascii="Arial" w:hAnsi="Arial" w:cs="Arial"/>
          <w:sz w:val="22"/>
          <w:szCs w:val="22"/>
        </w:rPr>
        <w:t>UK</w:t>
      </w:r>
      <w:r w:rsidR="007353EB">
        <w:rPr>
          <w:rFonts w:ascii="Cambria Math" w:hAnsi="Cambria Math" w:cs="Cambria Math"/>
          <w:sz w:val="22"/>
          <w:szCs w:val="22"/>
        </w:rPr>
        <w:t xml:space="preserve">’s </w:t>
      </w:r>
      <w:r w:rsidRPr="008B1CB2">
        <w:rPr>
          <w:rFonts w:ascii="Arial" w:hAnsi="Arial" w:cs="Arial"/>
          <w:sz w:val="22"/>
          <w:szCs w:val="22"/>
        </w:rPr>
        <w:t xml:space="preserve">wide data from NHS Digital indicate that approximately 45 % of young people report at least one ACE by age 18, with higher prevalence in deprived regions such as the Northwest and West Midlands (NHS Digital, 2020). The NSPCC reports that nearly one in four children in England will have experienced serious maltreatment before their 18th birthday (NSPCC, 2021). </w:t>
      </w:r>
      <w:r w:rsidR="003C4CF0">
        <w:rPr>
          <w:rFonts w:ascii="Arial" w:hAnsi="Arial" w:cs="Arial"/>
          <w:sz w:val="22"/>
          <w:szCs w:val="22"/>
        </w:rPr>
        <w:t>Due to these policies and cultural and epidemiological distinctions, findings from other countries may not be generalizable to UK settings. A</w:t>
      </w:r>
      <w:r w:rsidRPr="008B1CB2">
        <w:rPr>
          <w:rFonts w:ascii="Arial" w:hAnsi="Arial" w:cs="Arial"/>
          <w:sz w:val="22"/>
          <w:szCs w:val="22"/>
        </w:rPr>
        <w:t xml:space="preserve"> UK-specific systematic review can therefore uncover patterns and service gaps that are not apparent in international syntheses (Maynard et al., 2019).</w:t>
      </w:r>
    </w:p>
    <w:p w14:paraId="3E1580F5" w14:textId="77777777" w:rsidR="00925DA8" w:rsidRDefault="00925DA8" w:rsidP="008B1CB2">
      <w:pPr>
        <w:spacing w:line="360" w:lineRule="auto"/>
        <w:jc w:val="both"/>
        <w:rPr>
          <w:rFonts w:ascii="Arial" w:hAnsi="Arial" w:cs="Arial"/>
          <w:sz w:val="22"/>
          <w:szCs w:val="22"/>
        </w:rPr>
      </w:pPr>
    </w:p>
    <w:p w14:paraId="73E7B78C" w14:textId="77777777" w:rsidR="00925DA8" w:rsidRPr="008B1CB2" w:rsidRDefault="00925DA8" w:rsidP="008B1CB2">
      <w:pPr>
        <w:spacing w:line="360" w:lineRule="auto"/>
        <w:jc w:val="both"/>
        <w:rPr>
          <w:rFonts w:ascii="Arial" w:hAnsi="Arial" w:cs="Arial"/>
          <w:sz w:val="22"/>
          <w:szCs w:val="22"/>
        </w:rPr>
      </w:pPr>
    </w:p>
    <w:p w14:paraId="1C6A503E" w14:textId="77777777" w:rsidR="009421A3" w:rsidRPr="008B1CB2" w:rsidRDefault="009421A3" w:rsidP="008B1CB2">
      <w:pPr>
        <w:spacing w:line="360" w:lineRule="auto"/>
        <w:jc w:val="both"/>
        <w:rPr>
          <w:rFonts w:ascii="Arial" w:hAnsi="Arial" w:cs="Arial"/>
          <w:sz w:val="22"/>
          <w:szCs w:val="22"/>
        </w:rPr>
      </w:pPr>
    </w:p>
    <w:p w14:paraId="35950FCC"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1.4 Problem Statement and Research Gap </w:t>
      </w:r>
    </w:p>
    <w:p w14:paraId="328BE492" w14:textId="6C5E583C"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Despite a growing body of UK ACE research, no up-to-date systematic review has exclusively aggregated UK</w:t>
      </w:r>
      <w:r w:rsidRPr="008B1CB2">
        <w:rPr>
          <w:rFonts w:ascii="Cambria Math" w:hAnsi="Cambria Math" w:cs="Cambria Math"/>
          <w:sz w:val="22"/>
          <w:szCs w:val="22"/>
        </w:rPr>
        <w:t>‐</w:t>
      </w:r>
      <w:r w:rsidRPr="008B1CB2">
        <w:rPr>
          <w:rFonts w:ascii="Arial" w:hAnsi="Arial" w:cs="Arial"/>
          <w:sz w:val="22"/>
          <w:szCs w:val="22"/>
        </w:rPr>
        <w:t>based, peer-reviewed studies focusing on ACEs and trauma outcomes in young people aged ≤ 25 (Bellis et al. 201</w:t>
      </w:r>
      <w:r w:rsidR="0087536E">
        <w:rPr>
          <w:rFonts w:ascii="Arial" w:hAnsi="Arial" w:cs="Arial"/>
          <w:sz w:val="22"/>
          <w:szCs w:val="22"/>
        </w:rPr>
        <w:t>4</w:t>
      </w:r>
      <w:r w:rsidRPr="008B1CB2">
        <w:rPr>
          <w:rFonts w:ascii="Arial" w:hAnsi="Arial" w:cs="Arial"/>
          <w:sz w:val="22"/>
          <w:szCs w:val="22"/>
        </w:rPr>
        <w:t xml:space="preserve">). Existing UK-focused reviews either combine adult and adolescent populations without age stratification (e.g., Bellis et al., 2015) or encompass broad categories of adversity without a clear thematic synthesis of psychological and behavioural consequences (Moffatt et al., 2018). Additionally, some UK studies yield conflicting findings regarding the magnitude of ACE effects on self-harm versus substance misuse, indicative of heterogeneity in study designs and outcome measures (Baldwin et al., 2023). This fragmented evidence base makes it difficult for practitioners to identify which ACEs pose the greatest trauma risk and which interventions have proven effective locally. </w:t>
      </w:r>
      <w:r w:rsidRPr="008B1CB2">
        <w:rPr>
          <w:rFonts w:ascii="Arial" w:hAnsi="Arial" w:cs="Arial"/>
          <w:sz w:val="22"/>
          <w:szCs w:val="22"/>
        </w:rPr>
        <w:lastRenderedPageBreak/>
        <w:t>Consequently, there is a clear need for a systematic literature review that collates UK</w:t>
      </w:r>
      <w:r w:rsidRPr="008B1CB2">
        <w:rPr>
          <w:rFonts w:ascii="Cambria Math" w:hAnsi="Cambria Math" w:cs="Cambria Math"/>
          <w:sz w:val="22"/>
          <w:szCs w:val="22"/>
        </w:rPr>
        <w:t>‐</w:t>
      </w:r>
      <w:r w:rsidRPr="008B1CB2">
        <w:rPr>
          <w:rFonts w:ascii="Arial" w:hAnsi="Arial" w:cs="Arial"/>
          <w:sz w:val="22"/>
          <w:szCs w:val="22"/>
        </w:rPr>
        <w:t>only, peer-reviewed research to map prevailing trends, outcomes</w:t>
      </w:r>
      <w:r w:rsidR="007C1C59">
        <w:rPr>
          <w:rFonts w:ascii="Arial" w:hAnsi="Arial" w:cs="Arial"/>
          <w:sz w:val="22"/>
          <w:szCs w:val="22"/>
        </w:rPr>
        <w:t>,</w:t>
      </w:r>
      <w:r w:rsidRPr="008B1CB2">
        <w:rPr>
          <w:rFonts w:ascii="Arial" w:hAnsi="Arial" w:cs="Arial"/>
          <w:sz w:val="22"/>
          <w:szCs w:val="22"/>
        </w:rPr>
        <w:t xml:space="preserve"> and intervention models.</w:t>
      </w:r>
    </w:p>
    <w:p w14:paraId="3BCC7840" w14:textId="77777777" w:rsidR="009421A3" w:rsidRPr="008B1CB2" w:rsidRDefault="009421A3" w:rsidP="008B1CB2">
      <w:pPr>
        <w:spacing w:line="360" w:lineRule="auto"/>
        <w:jc w:val="both"/>
        <w:rPr>
          <w:rFonts w:ascii="Arial" w:hAnsi="Arial" w:cs="Arial"/>
          <w:sz w:val="22"/>
          <w:szCs w:val="22"/>
        </w:rPr>
      </w:pPr>
    </w:p>
    <w:p w14:paraId="2E2E0678" w14:textId="29C1C04C"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1.5 Research Aim, Objectives</w:t>
      </w:r>
      <w:r w:rsidR="007C1C59">
        <w:rPr>
          <w:rFonts w:ascii="Arial" w:hAnsi="Arial" w:cs="Arial"/>
          <w:sz w:val="22"/>
          <w:szCs w:val="22"/>
        </w:rPr>
        <w:t>,</w:t>
      </w:r>
      <w:r w:rsidRPr="008B1CB2">
        <w:rPr>
          <w:rFonts w:ascii="Arial" w:hAnsi="Arial" w:cs="Arial"/>
          <w:sz w:val="22"/>
          <w:szCs w:val="22"/>
        </w:rPr>
        <w:t xml:space="preserve"> and Questions </w:t>
      </w:r>
    </w:p>
    <w:p w14:paraId="36BAED8E" w14:textId="77777777" w:rsidR="009421A3" w:rsidRPr="008B1CB2" w:rsidRDefault="009421A3" w:rsidP="008B1CB2">
      <w:pPr>
        <w:spacing w:line="360" w:lineRule="auto"/>
        <w:jc w:val="both"/>
        <w:rPr>
          <w:rFonts w:ascii="Arial" w:hAnsi="Arial" w:cs="Arial"/>
          <w:sz w:val="22"/>
          <w:szCs w:val="22"/>
        </w:rPr>
      </w:pPr>
    </w:p>
    <w:p w14:paraId="3C3830C3"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Aim</w:t>
      </w:r>
    </w:p>
    <w:p w14:paraId="52B369F4" w14:textId="71E4E4E1"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The aim of this systematic literature review of UK-based, peer-reviewed studies examining how ACEs contribute to psychological, emotional</w:t>
      </w:r>
      <w:r w:rsidR="007C1C59">
        <w:rPr>
          <w:rFonts w:ascii="Arial" w:hAnsi="Arial" w:cs="Arial"/>
          <w:sz w:val="22"/>
          <w:szCs w:val="22"/>
        </w:rPr>
        <w:t>,</w:t>
      </w:r>
      <w:r w:rsidRPr="008B1CB2">
        <w:rPr>
          <w:rFonts w:ascii="Arial" w:hAnsi="Arial" w:cs="Arial"/>
          <w:sz w:val="22"/>
          <w:szCs w:val="22"/>
        </w:rPr>
        <w:t xml:space="preserve"> and behavioural trauma outcomes among young people </w:t>
      </w:r>
      <w:r w:rsidR="00952D3C">
        <w:rPr>
          <w:rFonts w:ascii="Arial" w:hAnsi="Arial" w:cs="Arial"/>
          <w:sz w:val="22"/>
          <w:szCs w:val="22"/>
        </w:rPr>
        <w:t xml:space="preserve">is </w:t>
      </w:r>
      <w:r w:rsidRPr="008B1CB2">
        <w:rPr>
          <w:rFonts w:ascii="Arial" w:hAnsi="Arial" w:cs="Arial"/>
          <w:sz w:val="22"/>
          <w:szCs w:val="22"/>
        </w:rPr>
        <w:t>to identify research gaps and inform policy, practice and future research.</w:t>
      </w:r>
    </w:p>
    <w:p w14:paraId="47F4898F" w14:textId="77777777" w:rsidR="009421A3" w:rsidRPr="008B1CB2" w:rsidRDefault="009421A3" w:rsidP="008B1CB2">
      <w:pPr>
        <w:spacing w:line="360" w:lineRule="auto"/>
        <w:jc w:val="both"/>
        <w:rPr>
          <w:rFonts w:ascii="Arial" w:hAnsi="Arial" w:cs="Arial"/>
          <w:sz w:val="22"/>
          <w:szCs w:val="22"/>
        </w:rPr>
      </w:pPr>
    </w:p>
    <w:p w14:paraId="0B4E1D93"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Objectives</w:t>
      </w:r>
    </w:p>
    <w:p w14:paraId="4ED15616"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The objectives guiding this review are to define and critically examine ACEs and their measurement in UK contexts, analyse psychological, emotional and behavioural consequences of ACEs among UK youth, evaluate the effectiveness of existing support and intervention strategies addressing ACE-related trauma in UK settings, and provide evidence-based recommendations for policy, practice and future research relating to ACE prevention and mitigation.</w:t>
      </w:r>
    </w:p>
    <w:p w14:paraId="4FE060FC" w14:textId="77777777" w:rsidR="009421A3" w:rsidRPr="008B1CB2" w:rsidRDefault="009421A3" w:rsidP="008B1CB2">
      <w:pPr>
        <w:spacing w:line="360" w:lineRule="auto"/>
        <w:jc w:val="both"/>
        <w:rPr>
          <w:rFonts w:ascii="Arial" w:hAnsi="Arial" w:cs="Arial"/>
          <w:sz w:val="22"/>
          <w:szCs w:val="22"/>
        </w:rPr>
      </w:pPr>
    </w:p>
    <w:p w14:paraId="6DF578F6"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Research Questions</w:t>
      </w:r>
    </w:p>
    <w:p w14:paraId="7D2E7843"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1.</w:t>
      </w:r>
      <w:r w:rsidRPr="008B1CB2">
        <w:rPr>
          <w:rFonts w:ascii="Arial" w:hAnsi="Arial" w:cs="Arial"/>
          <w:sz w:val="22"/>
          <w:szCs w:val="22"/>
        </w:rPr>
        <w:tab/>
        <w:t>What are the predominant psychological consequences of ACEs among young people in the UK?</w:t>
      </w:r>
    </w:p>
    <w:p w14:paraId="7AC8AF20"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2.</w:t>
      </w:r>
      <w:r w:rsidRPr="008B1CB2">
        <w:rPr>
          <w:rFonts w:ascii="Arial" w:hAnsi="Arial" w:cs="Arial"/>
          <w:sz w:val="22"/>
          <w:szCs w:val="22"/>
        </w:rPr>
        <w:tab/>
        <w:t>Which behavioural and social outcomes (e.g. self-harm, substance misuse, school exclusion) have been linked to ACEs in UK studies?</w:t>
      </w:r>
    </w:p>
    <w:p w14:paraId="7FF36A83"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3.</w:t>
      </w:r>
      <w:r w:rsidRPr="008B1CB2">
        <w:rPr>
          <w:rFonts w:ascii="Arial" w:hAnsi="Arial" w:cs="Arial"/>
          <w:sz w:val="22"/>
          <w:szCs w:val="22"/>
        </w:rPr>
        <w:tab/>
        <w:t>What evidence exists regarding the effectiveness of UK-based interventions in mitigating ACE-related trauma outcomes?</w:t>
      </w:r>
    </w:p>
    <w:p w14:paraId="384A2897" w14:textId="77777777" w:rsidR="009421A3" w:rsidRPr="008B1CB2" w:rsidRDefault="009421A3" w:rsidP="008B1CB2">
      <w:pPr>
        <w:spacing w:line="360" w:lineRule="auto"/>
        <w:jc w:val="both"/>
        <w:rPr>
          <w:rFonts w:ascii="Arial" w:hAnsi="Arial" w:cs="Arial"/>
          <w:sz w:val="22"/>
          <w:szCs w:val="22"/>
        </w:rPr>
      </w:pPr>
    </w:p>
    <w:p w14:paraId="1003EC38"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1.6 Significance and Justification </w:t>
      </w:r>
    </w:p>
    <w:p w14:paraId="0189DF23" w14:textId="4E977FBB"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Understanding the specific dynamics of ACEs within the UK is crucial for several stakeholders. For health and social care practitioners, a UK-focused synthesis will clarify which ACEs are most strongly associated with </w:t>
      </w:r>
      <w:r w:rsidR="000948C5" w:rsidRPr="008B1CB2">
        <w:rPr>
          <w:rFonts w:ascii="Arial" w:hAnsi="Arial" w:cs="Arial"/>
          <w:sz w:val="22"/>
          <w:szCs w:val="22"/>
        </w:rPr>
        <w:t>trauma</w:t>
      </w:r>
      <w:r w:rsidRPr="008B1CB2">
        <w:rPr>
          <w:rFonts w:ascii="Arial" w:hAnsi="Arial" w:cs="Arial"/>
          <w:sz w:val="22"/>
          <w:szCs w:val="22"/>
        </w:rPr>
        <w:t xml:space="preserve"> outcomes, enabling early identification and targeted </w:t>
      </w:r>
      <w:r w:rsidRPr="008B1CB2">
        <w:rPr>
          <w:rFonts w:ascii="Arial" w:hAnsi="Arial" w:cs="Arial"/>
          <w:sz w:val="22"/>
          <w:szCs w:val="22"/>
        </w:rPr>
        <w:lastRenderedPageBreak/>
        <w:t>support. For policymakers, the findings can inform allocation of resources toward evidence-based intervention programmes—such as trauma-informed schools or community youth services—that have demonstrated efficacy in UK settings (Johnson et al., 2019). Academically, this review will highlight methodological limitations in existing studies (e.g.</w:t>
      </w:r>
      <w:r w:rsidR="003547F5">
        <w:rPr>
          <w:rFonts w:ascii="Arial" w:hAnsi="Arial" w:cs="Arial"/>
          <w:sz w:val="22"/>
          <w:szCs w:val="22"/>
        </w:rPr>
        <w:t>,</w:t>
      </w:r>
      <w:r w:rsidRPr="008B1CB2">
        <w:rPr>
          <w:rFonts w:ascii="Arial" w:hAnsi="Arial" w:cs="Arial"/>
          <w:sz w:val="22"/>
          <w:szCs w:val="22"/>
        </w:rPr>
        <w:t xml:space="preserve"> small sample sizes, cross-sectional designs) and pinpoint areas where longitudinal research is needed. For charitable organisations and commissioners, clear evidence regarding service gaps—particularly in under-resourced regions—can guide strategic planning. Ultimately, this dissertation will contribute to the national discourse on reducing the intergenerational transmission of trauma by consolidating UK-based findings on ACEs and youth outcomes.</w:t>
      </w:r>
    </w:p>
    <w:p w14:paraId="2141FD6F" w14:textId="77777777" w:rsidR="009421A3" w:rsidRPr="008B1CB2" w:rsidRDefault="009421A3" w:rsidP="008B1CB2">
      <w:pPr>
        <w:spacing w:line="360" w:lineRule="auto"/>
        <w:jc w:val="both"/>
        <w:rPr>
          <w:rFonts w:ascii="Arial" w:hAnsi="Arial" w:cs="Arial"/>
          <w:sz w:val="22"/>
          <w:szCs w:val="22"/>
        </w:rPr>
      </w:pPr>
    </w:p>
    <w:p w14:paraId="7BA45C3F"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1.7 Structure of the Dissertation </w:t>
      </w:r>
    </w:p>
    <w:p w14:paraId="6B73C8D2"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This dissertation comprises five chapters. Chapter 1 introduces ACEs as a public health concern, defines key concepts, and sets out the research aim, objectives and questions. Chapter 2 reviews the background and context, including conceptual frameworks, UK prevalence data, consequences of ACEs in young people, existing interventions and relevant policy. Chapter 3 details the methodology adopted for the systematic literature review—covering search strategy, inclusion/exclusion criteria, quality appraisal and data synthesis. Chapter 4 presents the results of the review, organised by thematic findings, and offers a critical discussion that integrates UK policy and practice considerations. Finally, Chapter 5 provides evidence-based recommendations, outlines limitations and suggests directions for future research.</w:t>
      </w:r>
    </w:p>
    <w:p w14:paraId="53EC001F"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 </w:t>
      </w:r>
    </w:p>
    <w:p w14:paraId="1FCD8B64"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w:t>
      </w:r>
    </w:p>
    <w:p w14:paraId="2B6944E9" w14:textId="77777777" w:rsidR="009421A3" w:rsidRPr="008B1CB2" w:rsidRDefault="009421A3" w:rsidP="008B1CB2">
      <w:pPr>
        <w:spacing w:line="360" w:lineRule="auto"/>
        <w:jc w:val="both"/>
        <w:rPr>
          <w:rFonts w:ascii="Arial" w:hAnsi="Arial" w:cs="Arial"/>
          <w:sz w:val="22"/>
          <w:szCs w:val="22"/>
        </w:rPr>
      </w:pPr>
    </w:p>
    <w:p w14:paraId="0085605C"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CHAPTER 2 – BACKGROUND AND CONTEXT</w:t>
      </w:r>
    </w:p>
    <w:p w14:paraId="17CE685D" w14:textId="77777777" w:rsidR="009421A3" w:rsidRPr="008B1CB2" w:rsidRDefault="009421A3" w:rsidP="008B1CB2">
      <w:pPr>
        <w:spacing w:line="360" w:lineRule="auto"/>
        <w:jc w:val="both"/>
        <w:rPr>
          <w:rFonts w:ascii="Arial" w:hAnsi="Arial" w:cs="Arial"/>
          <w:sz w:val="22"/>
          <w:szCs w:val="22"/>
        </w:rPr>
      </w:pPr>
    </w:p>
    <w:p w14:paraId="64868170"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2.1 Conceptual Foundations of ACEs </w:t>
      </w:r>
    </w:p>
    <w:p w14:paraId="1720A03C" w14:textId="73A4F705"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The concept of Adverse Childhood Experiences (ACEs) was taken from the seminal work of </w:t>
      </w:r>
      <w:proofErr w:type="spellStart"/>
      <w:r w:rsidRPr="008B1CB2">
        <w:rPr>
          <w:rFonts w:ascii="Arial" w:hAnsi="Arial" w:cs="Arial"/>
          <w:sz w:val="22"/>
          <w:szCs w:val="22"/>
        </w:rPr>
        <w:t>Felitti</w:t>
      </w:r>
      <w:proofErr w:type="spellEnd"/>
      <w:r w:rsidRPr="008B1CB2">
        <w:rPr>
          <w:rFonts w:ascii="Arial" w:hAnsi="Arial" w:cs="Arial"/>
          <w:sz w:val="22"/>
          <w:szCs w:val="22"/>
        </w:rPr>
        <w:t xml:space="preserve"> et al. (2019), who found associations between childhood abuse and household instability and adult health issues and mortality. While the initial study took place in </w:t>
      </w:r>
      <w:r w:rsidR="00737344">
        <w:rPr>
          <w:rFonts w:ascii="Arial" w:hAnsi="Arial" w:cs="Arial"/>
          <w:sz w:val="22"/>
          <w:szCs w:val="22"/>
        </w:rPr>
        <w:t xml:space="preserve">the United States, the theoretical basis has been extensively used throughout the </w:t>
      </w:r>
      <w:r w:rsidRPr="008B1CB2">
        <w:rPr>
          <w:rFonts w:ascii="Arial" w:hAnsi="Arial" w:cs="Arial"/>
          <w:sz w:val="22"/>
          <w:szCs w:val="22"/>
        </w:rPr>
        <w:t xml:space="preserve">United Kingdom. In the UK literature, ACEs are commonly defined as experiences that threaten a child's safety or </w:t>
      </w:r>
      <w:r w:rsidRPr="008B1CB2">
        <w:rPr>
          <w:rFonts w:ascii="Arial" w:hAnsi="Arial" w:cs="Arial"/>
          <w:sz w:val="22"/>
          <w:szCs w:val="22"/>
        </w:rPr>
        <w:lastRenderedPageBreak/>
        <w:t>stability—physical, emotional and sexual abuse; physical or emotional neglect; and family adversities such as parental mental illness, substance misuse, domestic violence or incarceration (Hughes et al., 2017; Bellis et al., 2019). More recently, UK researchers have extended the definition to include contextual adversities such as community violence, poverty and discrimination (Lam et al., 2024; Maynard et al. 2019), representing a more ecologically informed definition of childhood adversity.</w:t>
      </w:r>
    </w:p>
    <w:p w14:paraId="59AFE73A" w14:textId="5CC79738" w:rsidR="009421A3" w:rsidRPr="008B1CB2" w:rsidRDefault="00DC0C64" w:rsidP="008B1CB2">
      <w:pPr>
        <w:spacing w:line="360" w:lineRule="auto"/>
        <w:jc w:val="both"/>
        <w:rPr>
          <w:rFonts w:ascii="Arial" w:hAnsi="Arial" w:cs="Arial"/>
          <w:sz w:val="22"/>
          <w:szCs w:val="22"/>
        </w:rPr>
      </w:pPr>
      <w:r>
        <w:rPr>
          <w:rFonts w:ascii="Arial" w:hAnsi="Arial" w:cs="Arial"/>
          <w:sz w:val="22"/>
          <w:szCs w:val="22"/>
        </w:rPr>
        <w:t>Several</w:t>
      </w:r>
      <w:r w:rsidR="009421A3" w:rsidRPr="008B1CB2">
        <w:rPr>
          <w:rFonts w:ascii="Arial" w:hAnsi="Arial" w:cs="Arial"/>
          <w:sz w:val="22"/>
          <w:szCs w:val="22"/>
        </w:rPr>
        <w:t xml:space="preserve"> theoretical frameworks underpin ACE research. Ecological systems theory (Bronfenbrenner, 1979; Masten</w:t>
      </w:r>
      <w:r w:rsidR="004C1DD0">
        <w:rPr>
          <w:rFonts w:ascii="Arial" w:hAnsi="Arial" w:cs="Arial"/>
          <w:sz w:val="22"/>
          <w:szCs w:val="22"/>
        </w:rPr>
        <w:t>,</w:t>
      </w:r>
      <w:r w:rsidR="009421A3" w:rsidRPr="008B1CB2">
        <w:rPr>
          <w:rFonts w:ascii="Arial" w:hAnsi="Arial" w:cs="Arial"/>
          <w:sz w:val="22"/>
          <w:szCs w:val="22"/>
        </w:rPr>
        <w:t xml:space="preserve"> 2014), commonly cited in UK research, suggests that a child's development is shaped by nested systems—from proximal family and school environments to wider societal structures. This model recognizes the dynamic between neighbourhood disadvantage and domestic instability, which cumulatively increase the risk of trauma (Baldwin et al., 2023). Trauma theory (Herman, 2015), applied in British scholarship, suggests that traumatic experiences have the potential to deplete a young person's sense of safety, autonomy, and trust, and commonly lead to long-term psychological dysregulation (van der Kolk</w:t>
      </w:r>
      <w:r w:rsidR="00021F8F">
        <w:rPr>
          <w:rFonts w:ascii="Arial" w:hAnsi="Arial" w:cs="Arial"/>
          <w:sz w:val="22"/>
          <w:szCs w:val="22"/>
        </w:rPr>
        <w:t>,</w:t>
      </w:r>
      <w:r w:rsidR="009421A3" w:rsidRPr="008B1CB2">
        <w:rPr>
          <w:rFonts w:ascii="Arial" w:hAnsi="Arial" w:cs="Arial"/>
          <w:sz w:val="22"/>
          <w:szCs w:val="22"/>
        </w:rPr>
        <w:t xml:space="preserve"> 2014). Developmental psychopathology models also describe how early adversities impact neurobiological processes—e.g., hypothalamic-pituitary-adrenal (HPA) axis functioning—resulting in changed stress reactivity in adolescence and young adulthood (Gunnar &amp; Quevedo</w:t>
      </w:r>
      <w:r w:rsidR="004C1DD0">
        <w:rPr>
          <w:rFonts w:ascii="Arial" w:hAnsi="Arial" w:cs="Arial"/>
          <w:sz w:val="22"/>
          <w:szCs w:val="22"/>
        </w:rPr>
        <w:t>,</w:t>
      </w:r>
      <w:r w:rsidR="009421A3" w:rsidRPr="008B1CB2">
        <w:rPr>
          <w:rFonts w:ascii="Arial" w:hAnsi="Arial" w:cs="Arial"/>
          <w:sz w:val="22"/>
          <w:szCs w:val="22"/>
        </w:rPr>
        <w:t xml:space="preserve"> 2007; Gunnar &amp; Donzella</w:t>
      </w:r>
      <w:r w:rsidR="004C1DD0">
        <w:rPr>
          <w:rFonts w:ascii="Arial" w:hAnsi="Arial" w:cs="Arial"/>
          <w:sz w:val="22"/>
          <w:szCs w:val="22"/>
        </w:rPr>
        <w:t>,</w:t>
      </w:r>
      <w:r w:rsidR="009421A3" w:rsidRPr="008B1CB2">
        <w:rPr>
          <w:rFonts w:ascii="Arial" w:hAnsi="Arial" w:cs="Arial"/>
          <w:sz w:val="22"/>
          <w:szCs w:val="22"/>
        </w:rPr>
        <w:t xml:space="preserve"> 2002). Taken together, these theories inform UK researchers in understanding how ACEs function across various levels (individual, familial, societal), offering a strong basis for explaining differences in trauma outcomes in youth (Lam et al., 2024).</w:t>
      </w:r>
    </w:p>
    <w:p w14:paraId="4C467635" w14:textId="77777777" w:rsidR="009421A3" w:rsidRPr="008B1CB2" w:rsidRDefault="009421A3" w:rsidP="008B1CB2">
      <w:pPr>
        <w:spacing w:line="360" w:lineRule="auto"/>
        <w:jc w:val="both"/>
        <w:rPr>
          <w:rFonts w:ascii="Arial" w:hAnsi="Arial" w:cs="Arial"/>
          <w:sz w:val="22"/>
          <w:szCs w:val="22"/>
        </w:rPr>
      </w:pPr>
    </w:p>
    <w:p w14:paraId="4631BCCD"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2.2 Prevalence and Epidemiology of ACEs in the UK</w:t>
      </w:r>
    </w:p>
    <w:p w14:paraId="7D24CD60" w14:textId="7BD78086"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In the UK, national prevalence data reveal that ACEs are common among young people. NHS Digital (2020) states that 45 percent of children between the ages of 11 and 17 years had experienced one or more ACEs by the age of 17 years, and around 16 percent had experienced three or more. This is supported by NSPCC (2021), which identifies that one quarter of young people in England and Wales experience severe trauma </w:t>
      </w:r>
      <w:r w:rsidR="00BD6C07">
        <w:rPr>
          <w:rFonts w:ascii="Arial" w:hAnsi="Arial" w:cs="Arial"/>
          <w:sz w:val="22"/>
          <w:szCs w:val="22"/>
        </w:rPr>
        <w:t>before</w:t>
      </w:r>
      <w:r w:rsidRPr="008B1CB2">
        <w:rPr>
          <w:rFonts w:ascii="Arial" w:hAnsi="Arial" w:cs="Arial"/>
          <w:sz w:val="22"/>
          <w:szCs w:val="22"/>
        </w:rPr>
        <w:t xml:space="preserve"> reaching 18 years of age. Bellis et al. (2019) extended these figures across the European Region, demonstrating that UK rates are among the highest in Northern Europe, with 47 per cent of respondents in England and Wales surveyed reporting at least one ACE. Such large-scale surveys employ standardised questionnaires to capture experiences of maltreatment and household dysfunction, enabling comparison across regions and time, and highlighting the substantial burden of childhood adversity in the UK population.</w:t>
      </w:r>
    </w:p>
    <w:p w14:paraId="07E7D1F7" w14:textId="0216E486"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lastRenderedPageBreak/>
        <w:t xml:space="preserve">Prevalence of ACEs in the UK varies markedly by socioeconomic status, geographical location and ethnic background. For instance, Bellis et al. (2019) found that young people in the most deprived quintile of local authorities were almost twice as likely to report multiple ACEs compared to those in the least deprived areas. Regional disparities also </w:t>
      </w:r>
      <w:r w:rsidR="00AF102C" w:rsidRPr="008B1CB2">
        <w:rPr>
          <w:rFonts w:ascii="Arial" w:hAnsi="Arial" w:cs="Arial"/>
          <w:sz w:val="22"/>
          <w:szCs w:val="22"/>
        </w:rPr>
        <w:t>exist</w:t>
      </w:r>
      <w:r w:rsidR="00AF102C">
        <w:rPr>
          <w:rFonts w:ascii="Arial" w:hAnsi="Arial" w:cs="Arial"/>
          <w:sz w:val="22"/>
          <w:szCs w:val="22"/>
        </w:rPr>
        <w:t>;</w:t>
      </w:r>
      <w:r w:rsidRPr="008B1CB2">
        <w:rPr>
          <w:rFonts w:ascii="Arial" w:hAnsi="Arial" w:cs="Arial"/>
          <w:sz w:val="22"/>
          <w:szCs w:val="22"/>
        </w:rPr>
        <w:t xml:space="preserve"> adolescents in parts of Northern England and the West Midlands exhibit higher rates of parental substance misuse and domestic violence than their counterparts in southern England (NHS Digital, 2020). Minority ethnic young people are at greater risk; Lam et al. (2024) identified that Black and Asian children are more likely to suffer neighbourhood violence and insecure housing, circumstances that are increasingly identified as ACEs within UK research. Furthermore, adolescents in care or who have experience of local authority care also demonstrate the highest levels of ACEs, with commonly more than three or four forms of adversity (Hughes et al., 2017).</w:t>
      </w:r>
    </w:p>
    <w:p w14:paraId="636EAE65" w14:textId="7D1E0E6A"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Gender variations are also present; United Kingdom studies have indicated that females report more sexual abuse and emotional neglect, while males report more physical neglect and imprisonment of a parent (Baldwin et al., 2023). Such variations among demographic groups highlight the necessity of taking social determinants and intersectionality into account in the analysis of ACE prevalence in UK contexts.</w:t>
      </w:r>
    </w:p>
    <w:p w14:paraId="28254557" w14:textId="77777777" w:rsidR="009421A3" w:rsidRPr="008B1CB2" w:rsidRDefault="009421A3" w:rsidP="008B1CB2">
      <w:pPr>
        <w:spacing w:line="360" w:lineRule="auto"/>
        <w:jc w:val="both"/>
        <w:rPr>
          <w:rFonts w:ascii="Arial" w:hAnsi="Arial" w:cs="Arial"/>
          <w:sz w:val="22"/>
          <w:szCs w:val="22"/>
        </w:rPr>
      </w:pPr>
    </w:p>
    <w:p w14:paraId="38E1DC9E" w14:textId="5A1D8155"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2.3 Psychological, Emotional, and Behavioural Consequences </w:t>
      </w:r>
    </w:p>
    <w:p w14:paraId="4BD97436"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UK studies consistently link ACEs with poor mental health in adolescents. Hughes et al. (2017) in a meta-analysis demonstrated that UK adolescents with three or more ACEs had nearly five times the likelihood of depression at the age of 18 compared to those with zero ACEs (Burke et al. 2011). Likewise, a longitudinal cohort study conducted by Ford, Burford, and Halligan (2021) discovered that adolescents who experienced several adverse childhood experiences had considerably higher symptoms of post-traumatic stress and anxiety. This was quantified using validated assessment tools, including the Revised Child Anxiety and Depression Scale. </w:t>
      </w:r>
    </w:p>
    <w:p w14:paraId="704C1B26"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Lereya et al. (2015) compared cohorts in the UK and Germany, finding that UK children who experienced peer bullying and maltreatment had higher risks of self-harm and suicidal ideation during adolescence. More recently, Baldwin et al. (2023) used quasi-experimental designs to approximate causal pathways and found that ACE exposure was associated with a 2.7–3.2-fold increase in risk for clinical-level depression or anxiety disorders in early adulthood. These converging findings underscore that ACEs function as potent risk factors for internalising psychopathology, often mediated by disrupted attachment and emotion</w:t>
      </w:r>
      <w:r w:rsidRPr="008B1CB2">
        <w:rPr>
          <w:rFonts w:ascii="Cambria Math" w:hAnsi="Cambria Math" w:cs="Cambria Math"/>
          <w:sz w:val="22"/>
          <w:szCs w:val="22"/>
        </w:rPr>
        <w:t>‐</w:t>
      </w:r>
      <w:r w:rsidRPr="008B1CB2">
        <w:rPr>
          <w:rFonts w:ascii="Arial" w:hAnsi="Arial" w:cs="Arial"/>
          <w:sz w:val="22"/>
          <w:szCs w:val="22"/>
        </w:rPr>
        <w:t>regulation processes in the young brain.</w:t>
      </w:r>
    </w:p>
    <w:p w14:paraId="32BA7159" w14:textId="39932691"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lastRenderedPageBreak/>
        <w:t>Emerging UK studies highlight how ACEs disrupt neurodevelopmental trajectories. Hughes et al. (2017) summarise evidence indicating that repeated exposure to adversity alters HPA-axis regulation, leading to cortisol dysregulation detectable in adolescence. These neuroendocrine changes predict heightened emotional reactivity and worse executive function</w:t>
      </w:r>
      <w:r w:rsidR="00063E2D">
        <w:rPr>
          <w:rFonts w:ascii="Arial" w:hAnsi="Arial" w:cs="Arial"/>
          <w:sz w:val="22"/>
          <w:szCs w:val="22"/>
        </w:rPr>
        <w:t xml:space="preserve">, </w:t>
      </w:r>
      <w:r w:rsidRPr="008B1CB2">
        <w:rPr>
          <w:rFonts w:ascii="Arial" w:hAnsi="Arial" w:cs="Arial"/>
          <w:sz w:val="22"/>
          <w:szCs w:val="22"/>
        </w:rPr>
        <w:t>significant precursors to mood and anxiety disorders (Baldwin et al., 2023). Lam et al. (2024) also discovered that adolescents with more ACEs performed worse on cognitive tests of working memory and attention span, indicating that early toxic stress can have lasting impacts on brain regions critical to self-regulation.</w:t>
      </w:r>
    </w:p>
    <w:p w14:paraId="359B3694"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Behaviourally, ACEs in UK cohorts are strongly associated with risk-taking and social difficulties. Bellis et al. (2019) showed that four or more ACEs in adolescents doubled the risk of substance misuse (alcohol, cannabis) and tripled the risk of early sexual behaviour compared to the no-ACEs population. Mars et al. (2019) discovered that UK teenagers who experienced more adverse childhood experiences (ACEs) had greater incidences of truancy and exclusion from school, which were frequently followed by behavioural issues. Furthermore, Lam et al. (2024) observed that teenagers who had experienced ACEs described widespread impairments in forming peer relationships, which were characterized by social isolation and victimization through bullying, leading to poor academic achievement and social withdrawal.</w:t>
      </w:r>
    </w:p>
    <w:p w14:paraId="1E899E0A" w14:textId="77777777" w:rsidR="009421A3" w:rsidRPr="008B1CB2" w:rsidRDefault="009421A3" w:rsidP="008B1CB2">
      <w:pPr>
        <w:spacing w:line="360" w:lineRule="auto"/>
        <w:jc w:val="both"/>
        <w:rPr>
          <w:rFonts w:ascii="Arial" w:hAnsi="Arial" w:cs="Arial"/>
          <w:sz w:val="22"/>
          <w:szCs w:val="22"/>
        </w:rPr>
      </w:pPr>
    </w:p>
    <w:p w14:paraId="2080AA0B"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2.4 Existing Intervention and Support Strategies </w:t>
      </w:r>
    </w:p>
    <w:p w14:paraId="371EC7EE" w14:textId="77777777" w:rsidR="00904D62" w:rsidRDefault="009421A3" w:rsidP="008B1CB2">
      <w:pPr>
        <w:spacing w:line="360" w:lineRule="auto"/>
        <w:jc w:val="both"/>
        <w:rPr>
          <w:rFonts w:ascii="Arial" w:hAnsi="Arial" w:cs="Arial"/>
          <w:sz w:val="22"/>
          <w:szCs w:val="22"/>
        </w:rPr>
      </w:pPr>
      <w:r w:rsidRPr="008B1CB2">
        <w:rPr>
          <w:rFonts w:ascii="Arial" w:hAnsi="Arial" w:cs="Arial"/>
          <w:sz w:val="22"/>
          <w:szCs w:val="22"/>
        </w:rPr>
        <w:t>Early identification of ACEs is recognized as crucial to early intervention. In the UK, there has been piloting of ACE-screening tools in schools and within community health services. For example, Maynard et al. (2019) undertook a review of trauma-informed UK school practices</w:t>
      </w:r>
      <w:r w:rsidR="00904D62">
        <w:rPr>
          <w:rFonts w:ascii="Arial" w:hAnsi="Arial" w:cs="Arial"/>
          <w:sz w:val="22"/>
          <w:szCs w:val="22"/>
        </w:rPr>
        <w:t>. They found</w:t>
      </w:r>
    </w:p>
    <w:p w14:paraId="03083B9F" w14:textId="6A66CC3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 that screening for ACEs using teacher-training packages and computerized questionnaires enabled early referrals to child and adolescent mental health services (CAMHS). Moreover, NHS England's "Time to Change" program promotes regular inquiry into child trauma within primary care </w:t>
      </w:r>
      <w:proofErr w:type="gramStart"/>
      <w:r w:rsidRPr="008B1CB2">
        <w:rPr>
          <w:rFonts w:ascii="Arial" w:hAnsi="Arial" w:cs="Arial"/>
          <w:sz w:val="22"/>
          <w:szCs w:val="22"/>
        </w:rPr>
        <w:t>through the use of</w:t>
      </w:r>
      <w:proofErr w:type="gramEnd"/>
      <w:r w:rsidRPr="008B1CB2">
        <w:rPr>
          <w:rFonts w:ascii="Arial" w:hAnsi="Arial" w:cs="Arial"/>
          <w:sz w:val="22"/>
          <w:szCs w:val="22"/>
        </w:rPr>
        <w:t xml:space="preserve"> a quick screening modelled from the WHO ACE-IQ tool (NHS Digital, 2020). Uptake remains variable, however, with most schools referencing fears over the lack of staff training and possible re-traumatisation in the absence of sufficient follow-up provision (Maynard et al., 2019). Various UK interventions seek to prevent ACE-linked trauma using psychological therapies and community-based support. Trauma-focused cognitive behaviour therapy (TF-CBT) has been modified within several NHS Trusts to be applied to adolescents with multiple ACE exposures, with notable decreases in PTSD symptoms and depressive ratings (NICE 2017). Group interventions, for example, peer support circles led by </w:t>
      </w:r>
      <w:r w:rsidRPr="008B1CB2">
        <w:rPr>
          <w:rFonts w:ascii="Arial" w:hAnsi="Arial" w:cs="Arial"/>
          <w:sz w:val="22"/>
          <w:szCs w:val="22"/>
        </w:rPr>
        <w:lastRenderedPageBreak/>
        <w:t>young people trained workers, have shown enhanced emotion regulation and decreased feelings of loneliness (</w:t>
      </w:r>
      <w:r w:rsidR="00A556D7" w:rsidRPr="00A556D7">
        <w:rPr>
          <w:rFonts w:ascii="Arial" w:hAnsi="Arial" w:cs="Arial"/>
          <w:sz w:val="22"/>
          <w:szCs w:val="22"/>
        </w:rPr>
        <w:t>Perry, B.D. and Szalavitz, M., 2017</w:t>
      </w:r>
      <w:r w:rsidRPr="008B1CB2">
        <w:rPr>
          <w:rFonts w:ascii="Arial" w:hAnsi="Arial" w:cs="Arial"/>
          <w:sz w:val="22"/>
          <w:szCs w:val="22"/>
        </w:rPr>
        <w:t>).</w:t>
      </w:r>
    </w:p>
    <w:p w14:paraId="6DE3EB25"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Moreover, the charity "Action for Children" presents family-oriented initiatives that include training in parenting competencies alongside modules focused on building resilience, which have demonstrated potential in diminishing the recurrence of Adverse Childhood Experiences (ACEs) among siblings (Baldwin et al., 2023). The community mental health hubs, tested in Manchester and Birmingham, deliver comprehensive services—such as counselling, social work, and educational assistance—tailored specifically for youth affected by ACEs (Lam et al., 2024). Preventive interventions in the UK are increasingly trauma-informed in policy terms.</w:t>
      </w:r>
    </w:p>
    <w:p w14:paraId="5BC0E6F9" w14:textId="29923436"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For example, the Department for Education's "Whole School Approach to Mental Health" promotes the incorporation of social-emotional learning into curricula to respond to the initial indications of trauma (DfE, 2023</w:t>
      </w:r>
      <w:proofErr w:type="gramStart"/>
      <w:r w:rsidRPr="008B1CB2">
        <w:rPr>
          <w:rFonts w:ascii="Arial" w:hAnsi="Arial" w:cs="Arial"/>
          <w:sz w:val="22"/>
          <w:szCs w:val="22"/>
        </w:rPr>
        <w:t>)..</w:t>
      </w:r>
      <w:proofErr w:type="gramEnd"/>
      <w:r w:rsidRPr="008B1CB2">
        <w:rPr>
          <w:rFonts w:ascii="Arial" w:hAnsi="Arial" w:cs="Arial"/>
          <w:sz w:val="22"/>
          <w:szCs w:val="22"/>
        </w:rPr>
        <w:t xml:space="preserve"> In Wales, the "Together for Children and Young People" program mandates multi-agency working to identify and support children at significant risk of ACEs (NHS Digital, 2020). Despite these advances, there are few policy impact assessments, and many initiatives have limited outcome data (Maynard et al., 2019).</w:t>
      </w:r>
    </w:p>
    <w:p w14:paraId="1269CB08" w14:textId="77777777" w:rsidR="009421A3" w:rsidRPr="008B1CB2" w:rsidRDefault="009421A3" w:rsidP="008B1CB2">
      <w:pPr>
        <w:spacing w:line="360" w:lineRule="auto"/>
        <w:jc w:val="both"/>
        <w:rPr>
          <w:rFonts w:ascii="Arial" w:hAnsi="Arial" w:cs="Arial"/>
          <w:sz w:val="22"/>
          <w:szCs w:val="22"/>
        </w:rPr>
      </w:pPr>
    </w:p>
    <w:p w14:paraId="7F9EACF2"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2.5 Policy and Legislative Context </w:t>
      </w:r>
    </w:p>
    <w:p w14:paraId="055DC537" w14:textId="5AA928E3" w:rsidR="009421A3" w:rsidRPr="008B1CB2" w:rsidRDefault="009421A3" w:rsidP="008B1CB2">
      <w:pPr>
        <w:tabs>
          <w:tab w:val="left" w:pos="5812"/>
        </w:tabs>
        <w:spacing w:line="360" w:lineRule="auto"/>
        <w:jc w:val="both"/>
        <w:rPr>
          <w:rFonts w:ascii="Arial" w:hAnsi="Arial" w:cs="Arial"/>
          <w:sz w:val="22"/>
          <w:szCs w:val="22"/>
        </w:rPr>
      </w:pPr>
      <w:r w:rsidRPr="008B1CB2">
        <w:rPr>
          <w:rFonts w:ascii="Arial" w:hAnsi="Arial" w:cs="Arial"/>
          <w:sz w:val="22"/>
          <w:szCs w:val="22"/>
        </w:rPr>
        <w:t xml:space="preserve">UK policy contexts increasingly acknowledge the pivotal position of ACEs in long-term social and health outcomes. The Children Act 2004 and </w:t>
      </w:r>
      <w:r w:rsidR="008B1CB2" w:rsidRPr="008B1CB2">
        <w:rPr>
          <w:rFonts w:ascii="Arial" w:hAnsi="Arial" w:cs="Arial"/>
          <w:sz w:val="22"/>
          <w:szCs w:val="22"/>
        </w:rPr>
        <w:t xml:space="preserve">the </w:t>
      </w:r>
      <w:r w:rsidRPr="008B1CB2">
        <w:rPr>
          <w:rFonts w:ascii="Arial" w:hAnsi="Arial" w:cs="Arial"/>
          <w:sz w:val="22"/>
          <w:szCs w:val="22"/>
        </w:rPr>
        <w:t>latest "Working Together to Safeguard Children 2023" guidance (DfE, 2023) mandate information sharing between local authorities, health services</w:t>
      </w:r>
      <w:r w:rsidR="008B1CB2" w:rsidRPr="008B1CB2">
        <w:rPr>
          <w:rFonts w:ascii="Arial" w:hAnsi="Arial" w:cs="Arial"/>
          <w:sz w:val="22"/>
          <w:szCs w:val="22"/>
        </w:rPr>
        <w:t>,</w:t>
      </w:r>
      <w:r w:rsidRPr="008B1CB2">
        <w:rPr>
          <w:rFonts w:ascii="Arial" w:hAnsi="Arial" w:cs="Arial"/>
          <w:sz w:val="22"/>
          <w:szCs w:val="22"/>
        </w:rPr>
        <w:t xml:space="preserve"> and schools on child welfare concerns—tacitly recognising ACEs as predictive markers for neglect and abuse. NHS England's </w:t>
      </w:r>
      <w:r w:rsidR="005E4C0F" w:rsidRPr="008B1CB2">
        <w:rPr>
          <w:rFonts w:ascii="Arial" w:hAnsi="Arial" w:cs="Arial"/>
          <w:sz w:val="22"/>
          <w:szCs w:val="22"/>
        </w:rPr>
        <w:t>Long-Term</w:t>
      </w:r>
      <w:r w:rsidRPr="008B1CB2">
        <w:rPr>
          <w:rFonts w:ascii="Arial" w:hAnsi="Arial" w:cs="Arial"/>
          <w:sz w:val="22"/>
          <w:szCs w:val="22"/>
        </w:rPr>
        <w:t xml:space="preserve"> Plan (2019) </w:t>
      </w:r>
      <w:r w:rsidR="008B1CB2" w:rsidRPr="008B1CB2">
        <w:rPr>
          <w:rFonts w:ascii="Arial" w:hAnsi="Arial" w:cs="Arial"/>
          <w:sz w:val="22"/>
          <w:szCs w:val="22"/>
        </w:rPr>
        <w:t>emphasizes</w:t>
      </w:r>
      <w:r w:rsidRPr="008B1CB2">
        <w:rPr>
          <w:rFonts w:ascii="Arial" w:hAnsi="Arial" w:cs="Arial"/>
          <w:sz w:val="22"/>
          <w:szCs w:val="22"/>
        </w:rPr>
        <w:t xml:space="preserve"> early intervention in children's mental health, with explicit reference to the need to treat trauma-related conditions (NHS Digital, 2020). The British Psychological Society (BPS) and Royal College of Psychiatrists have jointly advocated for routine ACE screening in CAMHS pathways, positioning trauma-informed care as a standard (BPS, 2021). Additionally, Public Health England’s “Strategic Plan for Children and Young People’s Mental Health” calls for embedding ACE awareness in parenting support and perinatal services (Public Health England, 2015).</w:t>
      </w:r>
    </w:p>
    <w:p w14:paraId="796387D9"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Statutory safeguarding guidance in the UK requires multi-agency collaboration when a child is deemed “in need.” “Working Together to Safeguard Children” (DfE, 2023) stipulates that professionals must identify and report concerns about exposure to domestic violence, parental substance misuse or mental illness—key ACE categories. Local Safeguarding Children Partnerships (LSCPs) oversee audits of serious case reviews, many of which highlight failures </w:t>
      </w:r>
      <w:r w:rsidRPr="008B1CB2">
        <w:rPr>
          <w:rFonts w:ascii="Arial" w:hAnsi="Arial" w:cs="Arial"/>
          <w:sz w:val="22"/>
          <w:szCs w:val="22"/>
        </w:rPr>
        <w:lastRenderedPageBreak/>
        <w:t>to recognise cumulative ACEs (Ofsted, 2022). The Care Quality Commission (CQC) regulates CAMHS providers, ensuring trauma-informed competencies among clinical staff (CQC, 2021). Despite comprehensive frameworks, frontline practitioners report inconsistent training and resource constraints, leading to patchy implementation of ACE-aware safeguarding practices (Kelly et al., 2020).</w:t>
      </w:r>
    </w:p>
    <w:p w14:paraId="7A5F8ADC" w14:textId="77777777" w:rsidR="009421A3" w:rsidRPr="008B1CB2" w:rsidRDefault="009421A3" w:rsidP="008B1CB2">
      <w:pPr>
        <w:spacing w:line="360" w:lineRule="auto"/>
        <w:jc w:val="both"/>
        <w:rPr>
          <w:rFonts w:ascii="Arial" w:hAnsi="Arial" w:cs="Arial"/>
          <w:sz w:val="22"/>
          <w:szCs w:val="22"/>
        </w:rPr>
      </w:pPr>
    </w:p>
    <w:p w14:paraId="3E5F2404"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2.6 Identified Gaps and Justification for Review </w:t>
      </w:r>
    </w:p>
    <w:p w14:paraId="62F57E4D" w14:textId="786614AF"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While UK studies quantify associations between ACE exposure and specific mental health outcomes (Hughes et al., 2017; Lam et al., 2024), many rely on cross-sectional designs that preclude causal inference. Few large-scale longitudinal cohorts in the UK systematically capture ACE timing, typology</w:t>
      </w:r>
      <w:r w:rsidR="00E42470">
        <w:rPr>
          <w:rFonts w:ascii="Arial" w:hAnsi="Arial" w:cs="Arial"/>
          <w:sz w:val="22"/>
          <w:szCs w:val="22"/>
        </w:rPr>
        <w:t>,</w:t>
      </w:r>
      <w:r w:rsidRPr="008B1CB2">
        <w:rPr>
          <w:rFonts w:ascii="Arial" w:hAnsi="Arial" w:cs="Arial"/>
          <w:sz w:val="22"/>
          <w:szCs w:val="22"/>
        </w:rPr>
        <w:t xml:space="preserve"> and dosage alongside developmental trajectories (</w:t>
      </w:r>
      <w:r w:rsidR="00572FA3" w:rsidRPr="00572FA3">
        <w:rPr>
          <w:rFonts w:ascii="Arial" w:hAnsi="Arial" w:cs="Arial"/>
          <w:sz w:val="22"/>
          <w:szCs w:val="22"/>
        </w:rPr>
        <w:t>Bauer</w:t>
      </w:r>
      <w:r w:rsidRPr="008B1CB2">
        <w:rPr>
          <w:rFonts w:ascii="Arial" w:hAnsi="Arial" w:cs="Arial"/>
          <w:sz w:val="22"/>
          <w:szCs w:val="22"/>
        </w:rPr>
        <w:t xml:space="preserve"> et al., 2021). Moreover, national surveys often aggregate diverse ACE types into composite scores, obscuring differential effects of, for example, emotional neglect versus physical abuse (Bellis et al., 2019). Consequently, policymakers and practitioners lack granular data to prioritise interventions for distinct adversity profiles.</w:t>
      </w:r>
    </w:p>
    <w:p w14:paraId="7EFB296F" w14:textId="6170099F"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Qualitative studies exploring </w:t>
      </w:r>
      <w:r w:rsidR="00D6400F">
        <w:rPr>
          <w:rFonts w:ascii="Arial" w:hAnsi="Arial" w:cs="Arial"/>
          <w:sz w:val="22"/>
          <w:szCs w:val="22"/>
        </w:rPr>
        <w:t xml:space="preserve">the </w:t>
      </w:r>
      <w:r w:rsidRPr="008B1CB2">
        <w:rPr>
          <w:rFonts w:ascii="Arial" w:hAnsi="Arial" w:cs="Arial"/>
          <w:sz w:val="22"/>
          <w:szCs w:val="22"/>
        </w:rPr>
        <w:t xml:space="preserve">lived experiences of trauma among UK youth remain scarce. Existing work tends to focus on adult survivors reflecting retrospectively (Mars et al., 2019), rather than capturing adolescents’ perspectives in real time. Mixed methods </w:t>
      </w:r>
      <w:r w:rsidR="00AF102C" w:rsidRPr="008B1CB2">
        <w:rPr>
          <w:rFonts w:ascii="Arial" w:hAnsi="Arial" w:cs="Arial"/>
          <w:sz w:val="22"/>
          <w:szCs w:val="22"/>
        </w:rPr>
        <w:t>approach</w:t>
      </w:r>
      <w:r w:rsidR="00D6400F">
        <w:rPr>
          <w:rFonts w:ascii="Arial" w:hAnsi="Arial" w:cs="Arial"/>
          <w:sz w:val="22"/>
          <w:szCs w:val="22"/>
        </w:rPr>
        <w:t>,</w:t>
      </w:r>
      <w:r w:rsidRPr="008B1CB2">
        <w:rPr>
          <w:rFonts w:ascii="Arial" w:hAnsi="Arial" w:cs="Arial"/>
          <w:sz w:val="22"/>
          <w:szCs w:val="22"/>
        </w:rPr>
        <w:t xml:space="preserve"> bridging epidemiological data with narrative analysis</w:t>
      </w:r>
      <w:r w:rsidR="00AF102C">
        <w:rPr>
          <w:rFonts w:ascii="Arial" w:hAnsi="Arial" w:cs="Arial"/>
          <w:sz w:val="22"/>
          <w:szCs w:val="22"/>
        </w:rPr>
        <w:t>,</w:t>
      </w:r>
      <w:r w:rsidRPr="008B1CB2">
        <w:rPr>
          <w:rFonts w:ascii="Arial" w:hAnsi="Arial" w:cs="Arial"/>
          <w:sz w:val="22"/>
          <w:szCs w:val="22"/>
        </w:rPr>
        <w:t xml:space="preserve"> </w:t>
      </w:r>
      <w:r w:rsidR="00AF102C">
        <w:rPr>
          <w:rFonts w:ascii="Arial" w:hAnsi="Arial" w:cs="Arial"/>
          <w:sz w:val="22"/>
          <w:szCs w:val="22"/>
        </w:rPr>
        <w:t>is</w:t>
      </w:r>
      <w:r w:rsidRPr="008B1CB2">
        <w:rPr>
          <w:rFonts w:ascii="Arial" w:hAnsi="Arial" w:cs="Arial"/>
          <w:sz w:val="22"/>
          <w:szCs w:val="22"/>
        </w:rPr>
        <w:t xml:space="preserve"> rarely employed, limiting understanding of contextual nuances.</w:t>
      </w:r>
    </w:p>
    <w:p w14:paraId="047182E3" w14:textId="1BB5B371"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Given these limitations, a UK</w:t>
      </w:r>
      <w:r w:rsidRPr="008B1CB2">
        <w:rPr>
          <w:rFonts w:ascii="Cambria Math" w:hAnsi="Cambria Math" w:cs="Cambria Math"/>
          <w:sz w:val="22"/>
          <w:szCs w:val="22"/>
        </w:rPr>
        <w:t>‐</w:t>
      </w:r>
      <w:r w:rsidRPr="008B1CB2">
        <w:rPr>
          <w:rFonts w:ascii="Arial" w:hAnsi="Arial" w:cs="Arial"/>
          <w:sz w:val="22"/>
          <w:szCs w:val="22"/>
        </w:rPr>
        <w:t>focused systematic review is necessary to synthesise recent peer-reviewed research</w:t>
      </w:r>
      <w:r w:rsidR="00FC2435">
        <w:rPr>
          <w:rFonts w:ascii="Arial" w:hAnsi="Arial" w:cs="Arial"/>
          <w:sz w:val="22"/>
          <w:szCs w:val="22"/>
        </w:rPr>
        <w:t>,</w:t>
      </w:r>
      <w:r w:rsidRPr="008B1CB2">
        <w:rPr>
          <w:rFonts w:ascii="Arial" w:hAnsi="Arial" w:cs="Arial"/>
          <w:sz w:val="22"/>
          <w:szCs w:val="22"/>
        </w:rPr>
        <w:t xml:space="preserve"> disaggregate ACE typologies, and integrate quantitative findings with thematic insights. By mapping diverse trauma outcomes and intervention models, this review will inform targeted policy, practice improvements</w:t>
      </w:r>
      <w:r w:rsidR="008B1CB2" w:rsidRPr="008B1CB2">
        <w:rPr>
          <w:rFonts w:ascii="Arial" w:hAnsi="Arial" w:cs="Arial"/>
          <w:sz w:val="22"/>
          <w:szCs w:val="22"/>
        </w:rPr>
        <w:t>,</w:t>
      </w:r>
      <w:r w:rsidRPr="008B1CB2">
        <w:rPr>
          <w:rFonts w:ascii="Arial" w:hAnsi="Arial" w:cs="Arial"/>
          <w:sz w:val="22"/>
          <w:szCs w:val="22"/>
        </w:rPr>
        <w:t xml:space="preserve"> and future research directions.</w:t>
      </w:r>
    </w:p>
    <w:p w14:paraId="11B6DFD0" w14:textId="77777777" w:rsidR="009421A3" w:rsidRPr="008B1CB2" w:rsidRDefault="009421A3" w:rsidP="008B1CB2">
      <w:pPr>
        <w:spacing w:line="360" w:lineRule="auto"/>
        <w:jc w:val="both"/>
        <w:rPr>
          <w:rFonts w:ascii="Arial" w:hAnsi="Arial" w:cs="Arial"/>
          <w:sz w:val="22"/>
          <w:szCs w:val="22"/>
        </w:rPr>
      </w:pPr>
    </w:p>
    <w:p w14:paraId="2FB4DB85"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2.7 Theoretical and Conceptual Framework  </w:t>
      </w:r>
    </w:p>
    <w:p w14:paraId="4856568E" w14:textId="6AE524F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To guide synthesis, this review adopts an Ecological-Trauma Framework that integrates Bronfenbrenner’s ecological systems theory with trauma theory. At the microsystem level, individual ACEs (e.g., abuse, neglect) interact with proximal familial relationships; at the mesosystem, school and peer environments either buffer or exacerbate trauma reactions (Baldwin et al., 2023). The exosystemic incorporates community-level factors</w:t>
      </w:r>
      <w:r w:rsidR="00642F9F">
        <w:rPr>
          <w:rFonts w:ascii="Arial" w:hAnsi="Arial" w:cs="Arial"/>
          <w:sz w:val="22"/>
          <w:szCs w:val="22"/>
        </w:rPr>
        <w:t xml:space="preserve"> </w:t>
      </w:r>
      <w:r w:rsidRPr="008B1CB2">
        <w:rPr>
          <w:rFonts w:ascii="Arial" w:hAnsi="Arial" w:cs="Arial"/>
          <w:sz w:val="22"/>
          <w:szCs w:val="22"/>
        </w:rPr>
        <w:t>neighbourhood violence, school resources, and local safeguarding services</w:t>
      </w:r>
      <w:r w:rsidR="0007295A">
        <w:rPr>
          <w:rFonts w:ascii="Arial" w:hAnsi="Arial" w:cs="Arial"/>
          <w:sz w:val="22"/>
          <w:szCs w:val="22"/>
        </w:rPr>
        <w:t>,</w:t>
      </w:r>
      <w:r w:rsidR="00FA0BBF">
        <w:rPr>
          <w:rFonts w:ascii="Arial" w:hAnsi="Arial" w:cs="Arial"/>
          <w:sz w:val="22"/>
          <w:szCs w:val="22"/>
        </w:rPr>
        <w:t xml:space="preserve"> </w:t>
      </w:r>
      <w:r w:rsidRPr="008B1CB2">
        <w:rPr>
          <w:rFonts w:ascii="Arial" w:hAnsi="Arial" w:cs="Arial"/>
          <w:sz w:val="22"/>
          <w:szCs w:val="22"/>
        </w:rPr>
        <w:t xml:space="preserve">that influence access to support (Bellis et al., 2019). The macrosystem includes overarching UK policies, cultural norms, and </w:t>
      </w:r>
      <w:r w:rsidRPr="008B1CB2">
        <w:rPr>
          <w:rFonts w:ascii="Arial" w:hAnsi="Arial" w:cs="Arial"/>
          <w:sz w:val="22"/>
          <w:szCs w:val="22"/>
        </w:rPr>
        <w:lastRenderedPageBreak/>
        <w:t>socioeconomic structures (Hughes et al., 2017). Trauma theory emphasises how toxic stress alters neurobiological pathways, leading to emotional dysregulation and behavioural adaptation (</w:t>
      </w:r>
      <w:proofErr w:type="spellStart"/>
      <w:r w:rsidRPr="008B1CB2">
        <w:rPr>
          <w:rFonts w:ascii="Arial" w:hAnsi="Arial" w:cs="Arial"/>
          <w:sz w:val="22"/>
          <w:szCs w:val="22"/>
        </w:rPr>
        <w:t>Felitti</w:t>
      </w:r>
      <w:proofErr w:type="spellEnd"/>
      <w:r w:rsidRPr="008B1CB2">
        <w:rPr>
          <w:rFonts w:ascii="Arial" w:hAnsi="Arial" w:cs="Arial"/>
          <w:sz w:val="22"/>
          <w:szCs w:val="22"/>
        </w:rPr>
        <w:t xml:space="preserve"> et al., 2019). This combined framework will allow thematic coding of extracted data under domains such as “Individual Trauma Effects,” “Family Dynamics,” “School-Based Supports,” and “Policy Context,” ensuring comprehensive mapping of ACE-related outcomes at multiple levels.</w:t>
      </w:r>
    </w:p>
    <w:p w14:paraId="33436C3D" w14:textId="77777777" w:rsidR="009421A3" w:rsidRPr="008B1CB2" w:rsidRDefault="009421A3" w:rsidP="008B1CB2">
      <w:pPr>
        <w:spacing w:line="360" w:lineRule="auto"/>
        <w:jc w:val="both"/>
        <w:rPr>
          <w:rFonts w:ascii="Arial" w:hAnsi="Arial" w:cs="Arial"/>
          <w:sz w:val="22"/>
          <w:szCs w:val="22"/>
        </w:rPr>
      </w:pPr>
    </w:p>
    <w:p w14:paraId="3C9C3428" w14:textId="77777777"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2.8 Summary </w:t>
      </w:r>
    </w:p>
    <w:p w14:paraId="4F89ADC2" w14:textId="61EEE372" w:rsidR="009421A3" w:rsidRPr="008B1CB2" w:rsidRDefault="009421A3" w:rsidP="008B1CB2">
      <w:pPr>
        <w:spacing w:line="360" w:lineRule="auto"/>
        <w:jc w:val="both"/>
        <w:rPr>
          <w:rFonts w:ascii="Arial" w:hAnsi="Arial" w:cs="Arial"/>
          <w:sz w:val="22"/>
          <w:szCs w:val="22"/>
        </w:rPr>
      </w:pPr>
      <w:r w:rsidRPr="008B1CB2">
        <w:rPr>
          <w:rFonts w:ascii="Arial" w:hAnsi="Arial" w:cs="Arial"/>
          <w:sz w:val="22"/>
          <w:szCs w:val="22"/>
        </w:rPr>
        <w:t xml:space="preserve">This chapter outlines the conceptual underpinnings of ACEs, reviews UK prevalence data and demographic variations, and describes the psychological, neurobiological, and </w:t>
      </w:r>
      <w:r w:rsidR="00200C73" w:rsidRPr="008B1CB2">
        <w:rPr>
          <w:rFonts w:ascii="Arial" w:hAnsi="Arial" w:cs="Arial"/>
          <w:sz w:val="22"/>
          <w:szCs w:val="22"/>
        </w:rPr>
        <w:t>behavioural</w:t>
      </w:r>
      <w:r w:rsidRPr="008B1CB2">
        <w:rPr>
          <w:rFonts w:ascii="Arial" w:hAnsi="Arial" w:cs="Arial"/>
          <w:sz w:val="22"/>
          <w:szCs w:val="22"/>
        </w:rPr>
        <w:t xml:space="preserve"> consequences for young people. It has also summarised existing interventions and policy frameworks, while identifying gaps in quantitative and qualitative evidence. Employing an Ecological-Trauma Framework, the ensuing systematic review will synthesize peer-reviewed UK research to elucidate patterns of trauma outcomes and evaluate intervention efficacy. Chapter 3 will describe the methodology used for literature searching, screening, quality appraisal</w:t>
      </w:r>
      <w:r w:rsidR="008B1CB2" w:rsidRPr="008B1CB2">
        <w:rPr>
          <w:rFonts w:ascii="Arial" w:hAnsi="Arial" w:cs="Arial"/>
          <w:sz w:val="22"/>
          <w:szCs w:val="22"/>
        </w:rPr>
        <w:t>,</w:t>
      </w:r>
      <w:r w:rsidRPr="008B1CB2">
        <w:rPr>
          <w:rFonts w:ascii="Arial" w:hAnsi="Arial" w:cs="Arial"/>
          <w:sz w:val="22"/>
          <w:szCs w:val="22"/>
        </w:rPr>
        <w:t xml:space="preserve"> and thematic synthesis, ensuring transparency and reproducibility of the review process.</w:t>
      </w:r>
    </w:p>
    <w:p w14:paraId="17A26880" w14:textId="77777777" w:rsidR="00E85642" w:rsidRDefault="009421A3" w:rsidP="008B1CB2">
      <w:pPr>
        <w:spacing w:line="360" w:lineRule="auto"/>
        <w:jc w:val="both"/>
        <w:rPr>
          <w:rFonts w:ascii="Arial" w:hAnsi="Arial" w:cs="Arial"/>
          <w:sz w:val="22"/>
          <w:szCs w:val="22"/>
        </w:rPr>
      </w:pPr>
      <w:r w:rsidRPr="008B1CB2">
        <w:rPr>
          <w:rFonts w:ascii="Arial" w:hAnsi="Arial" w:cs="Arial"/>
          <w:sz w:val="22"/>
          <w:szCs w:val="22"/>
        </w:rPr>
        <w:t> </w:t>
      </w:r>
    </w:p>
    <w:p w14:paraId="419209CC" w14:textId="77777777" w:rsidR="00E85642" w:rsidRDefault="00E85642" w:rsidP="008B1CB2">
      <w:pPr>
        <w:spacing w:line="360" w:lineRule="auto"/>
        <w:jc w:val="both"/>
        <w:rPr>
          <w:rFonts w:ascii="Arial" w:hAnsi="Arial" w:cs="Arial"/>
          <w:sz w:val="22"/>
          <w:szCs w:val="22"/>
        </w:rPr>
      </w:pPr>
    </w:p>
    <w:p w14:paraId="711B5572" w14:textId="77777777" w:rsidR="00E85642" w:rsidRDefault="00E85642" w:rsidP="008B1CB2">
      <w:pPr>
        <w:spacing w:line="360" w:lineRule="auto"/>
        <w:jc w:val="both"/>
        <w:rPr>
          <w:rFonts w:ascii="Arial" w:hAnsi="Arial" w:cs="Arial"/>
          <w:sz w:val="22"/>
          <w:szCs w:val="22"/>
        </w:rPr>
      </w:pPr>
    </w:p>
    <w:p w14:paraId="4F5C0BB4" w14:textId="77777777" w:rsidR="00E85642" w:rsidRDefault="00E85642" w:rsidP="008B1CB2">
      <w:pPr>
        <w:spacing w:line="360" w:lineRule="auto"/>
        <w:jc w:val="both"/>
        <w:rPr>
          <w:rFonts w:ascii="Arial" w:hAnsi="Arial" w:cs="Arial"/>
          <w:sz w:val="22"/>
          <w:szCs w:val="22"/>
        </w:rPr>
      </w:pPr>
    </w:p>
    <w:p w14:paraId="595A1D94" w14:textId="77777777" w:rsidR="00E85642" w:rsidRDefault="00E85642" w:rsidP="008B1CB2">
      <w:pPr>
        <w:spacing w:line="360" w:lineRule="auto"/>
        <w:jc w:val="both"/>
        <w:rPr>
          <w:rFonts w:ascii="Arial" w:hAnsi="Arial" w:cs="Arial"/>
          <w:sz w:val="22"/>
          <w:szCs w:val="22"/>
        </w:rPr>
      </w:pPr>
    </w:p>
    <w:p w14:paraId="00080E55" w14:textId="77777777" w:rsidR="00E85642" w:rsidRDefault="00E85642" w:rsidP="008B1CB2">
      <w:pPr>
        <w:spacing w:line="360" w:lineRule="auto"/>
        <w:jc w:val="both"/>
        <w:rPr>
          <w:rFonts w:ascii="Arial" w:hAnsi="Arial" w:cs="Arial"/>
          <w:sz w:val="22"/>
          <w:szCs w:val="22"/>
        </w:rPr>
      </w:pPr>
    </w:p>
    <w:p w14:paraId="25089E14" w14:textId="77777777" w:rsidR="00E85642" w:rsidRDefault="00E85642" w:rsidP="008B1CB2">
      <w:pPr>
        <w:spacing w:line="360" w:lineRule="auto"/>
        <w:jc w:val="both"/>
        <w:rPr>
          <w:rFonts w:ascii="Arial" w:hAnsi="Arial" w:cs="Arial"/>
          <w:sz w:val="22"/>
          <w:szCs w:val="22"/>
        </w:rPr>
      </w:pPr>
    </w:p>
    <w:p w14:paraId="19706324" w14:textId="77777777" w:rsidR="00E85642" w:rsidRDefault="00E85642" w:rsidP="008B1CB2">
      <w:pPr>
        <w:spacing w:line="360" w:lineRule="auto"/>
        <w:jc w:val="both"/>
        <w:rPr>
          <w:rFonts w:ascii="Arial" w:hAnsi="Arial" w:cs="Arial"/>
          <w:sz w:val="22"/>
          <w:szCs w:val="22"/>
        </w:rPr>
      </w:pPr>
    </w:p>
    <w:p w14:paraId="741198C9" w14:textId="77777777" w:rsidR="00E85642" w:rsidRDefault="00E85642" w:rsidP="008B1CB2">
      <w:pPr>
        <w:spacing w:line="360" w:lineRule="auto"/>
        <w:jc w:val="both"/>
        <w:rPr>
          <w:rFonts w:ascii="Arial" w:hAnsi="Arial" w:cs="Arial"/>
          <w:sz w:val="22"/>
          <w:szCs w:val="22"/>
        </w:rPr>
      </w:pPr>
    </w:p>
    <w:p w14:paraId="62FB2A26" w14:textId="77777777" w:rsidR="00E85642" w:rsidRDefault="00E85642" w:rsidP="008B1CB2">
      <w:pPr>
        <w:spacing w:line="360" w:lineRule="auto"/>
        <w:jc w:val="both"/>
        <w:rPr>
          <w:rFonts w:ascii="Arial" w:hAnsi="Arial" w:cs="Arial"/>
          <w:sz w:val="22"/>
          <w:szCs w:val="22"/>
        </w:rPr>
      </w:pPr>
    </w:p>
    <w:p w14:paraId="2E55121F" w14:textId="77777777" w:rsidR="00E85642" w:rsidRDefault="00E85642" w:rsidP="008B1CB2">
      <w:pPr>
        <w:spacing w:line="360" w:lineRule="auto"/>
        <w:jc w:val="both"/>
        <w:rPr>
          <w:rFonts w:ascii="Arial" w:hAnsi="Arial" w:cs="Arial"/>
          <w:sz w:val="22"/>
          <w:szCs w:val="22"/>
        </w:rPr>
      </w:pPr>
    </w:p>
    <w:p w14:paraId="2435F4D2" w14:textId="77777777" w:rsidR="00E85642" w:rsidRDefault="00E85642" w:rsidP="008B1CB2">
      <w:pPr>
        <w:spacing w:line="360" w:lineRule="auto"/>
        <w:jc w:val="both"/>
        <w:rPr>
          <w:rFonts w:ascii="Arial" w:hAnsi="Arial" w:cs="Arial"/>
          <w:sz w:val="22"/>
          <w:szCs w:val="22"/>
        </w:rPr>
      </w:pPr>
    </w:p>
    <w:p w14:paraId="5B00E261" w14:textId="77777777" w:rsidR="00E85642" w:rsidRDefault="00E85642" w:rsidP="008B1CB2">
      <w:pPr>
        <w:spacing w:line="360" w:lineRule="auto"/>
        <w:jc w:val="both"/>
        <w:rPr>
          <w:rFonts w:ascii="Arial" w:hAnsi="Arial" w:cs="Arial"/>
          <w:sz w:val="22"/>
          <w:szCs w:val="22"/>
        </w:rPr>
      </w:pPr>
    </w:p>
    <w:p w14:paraId="3E348EF2" w14:textId="77777777" w:rsidR="00E85642" w:rsidRDefault="00E85642" w:rsidP="008B1CB2">
      <w:pPr>
        <w:spacing w:line="360" w:lineRule="auto"/>
        <w:jc w:val="both"/>
        <w:rPr>
          <w:rFonts w:ascii="Arial" w:hAnsi="Arial" w:cs="Arial"/>
          <w:sz w:val="22"/>
          <w:szCs w:val="22"/>
        </w:rPr>
      </w:pPr>
    </w:p>
    <w:p w14:paraId="5B96EE39" w14:textId="77777777" w:rsidR="00E85642" w:rsidRDefault="00E85642" w:rsidP="008B1CB2">
      <w:pPr>
        <w:spacing w:line="360" w:lineRule="auto"/>
        <w:jc w:val="both"/>
        <w:rPr>
          <w:rFonts w:ascii="Arial" w:hAnsi="Arial" w:cs="Arial"/>
          <w:sz w:val="22"/>
          <w:szCs w:val="22"/>
        </w:rPr>
      </w:pPr>
    </w:p>
    <w:p w14:paraId="0CBBB309" w14:textId="77777777" w:rsidR="00E85642" w:rsidRDefault="00E85642" w:rsidP="008B1CB2">
      <w:pPr>
        <w:spacing w:line="360" w:lineRule="auto"/>
        <w:jc w:val="both"/>
        <w:rPr>
          <w:rFonts w:ascii="Arial" w:hAnsi="Arial" w:cs="Arial"/>
          <w:sz w:val="22"/>
          <w:szCs w:val="22"/>
        </w:rPr>
      </w:pPr>
    </w:p>
    <w:p w14:paraId="065DF45E" w14:textId="77777777" w:rsidR="00061E02" w:rsidRDefault="00061E02" w:rsidP="008B1CB2">
      <w:pPr>
        <w:spacing w:line="360" w:lineRule="auto"/>
        <w:jc w:val="both"/>
        <w:rPr>
          <w:rFonts w:ascii="Arial" w:hAnsi="Arial" w:cs="Arial"/>
          <w:sz w:val="22"/>
          <w:szCs w:val="22"/>
        </w:rPr>
      </w:pPr>
    </w:p>
    <w:p w14:paraId="501BD6AB" w14:textId="24986B6D" w:rsidR="009421A3" w:rsidRDefault="00840460" w:rsidP="008B1CB2">
      <w:pPr>
        <w:spacing w:line="360" w:lineRule="auto"/>
        <w:jc w:val="both"/>
        <w:rPr>
          <w:rFonts w:ascii="Arial" w:hAnsi="Arial" w:cs="Arial"/>
          <w:sz w:val="22"/>
          <w:szCs w:val="22"/>
        </w:rPr>
      </w:pPr>
      <w:r>
        <w:rPr>
          <w:rFonts w:ascii="Arial" w:hAnsi="Arial" w:cs="Arial"/>
          <w:sz w:val="22"/>
          <w:szCs w:val="22"/>
        </w:rPr>
        <w:t>R</w:t>
      </w:r>
      <w:r w:rsidR="00E85642">
        <w:rPr>
          <w:rFonts w:ascii="Arial" w:hAnsi="Arial" w:cs="Arial"/>
          <w:sz w:val="22"/>
          <w:szCs w:val="22"/>
        </w:rPr>
        <w:t>eference List</w:t>
      </w:r>
    </w:p>
    <w:p w14:paraId="04C04DC3" w14:textId="429A3AE2" w:rsidR="00C77583" w:rsidRDefault="00C77583" w:rsidP="008B1CB2">
      <w:pPr>
        <w:spacing w:line="360" w:lineRule="auto"/>
        <w:jc w:val="both"/>
        <w:rPr>
          <w:rFonts w:ascii="Arial" w:hAnsi="Arial" w:cs="Arial"/>
          <w:sz w:val="22"/>
          <w:szCs w:val="22"/>
        </w:rPr>
      </w:pPr>
      <w:r w:rsidRPr="00C77583">
        <w:rPr>
          <w:rFonts w:ascii="Arial" w:hAnsi="Arial" w:cs="Arial"/>
          <w:sz w:val="22"/>
          <w:szCs w:val="22"/>
        </w:rPr>
        <w:t xml:space="preserve">Anda, R.F., Croft, J.B., </w:t>
      </w:r>
      <w:proofErr w:type="spellStart"/>
      <w:r w:rsidRPr="00C77583">
        <w:rPr>
          <w:rFonts w:ascii="Arial" w:hAnsi="Arial" w:cs="Arial"/>
          <w:sz w:val="22"/>
          <w:szCs w:val="22"/>
        </w:rPr>
        <w:t>Felitti</w:t>
      </w:r>
      <w:proofErr w:type="spellEnd"/>
      <w:r w:rsidRPr="00C77583">
        <w:rPr>
          <w:rFonts w:ascii="Arial" w:hAnsi="Arial" w:cs="Arial"/>
          <w:sz w:val="22"/>
          <w:szCs w:val="22"/>
        </w:rPr>
        <w:t>, V.J., Nordenberg, D., Giles, W.H., Williamson, D.F. and Giovino, G.A., 1999. Adverse childhood experiences and smoking during adolescence and adulthood. Jama, 282(17), pp.1652-1658.</w:t>
      </w:r>
    </w:p>
    <w:p w14:paraId="655BD572" w14:textId="63010BDD" w:rsidR="00D656E2" w:rsidRDefault="00D656E2" w:rsidP="008B1CB2">
      <w:pPr>
        <w:spacing w:line="360" w:lineRule="auto"/>
        <w:jc w:val="both"/>
        <w:rPr>
          <w:rFonts w:ascii="Arial" w:hAnsi="Arial" w:cs="Arial"/>
          <w:sz w:val="22"/>
          <w:szCs w:val="22"/>
        </w:rPr>
      </w:pPr>
      <w:r w:rsidRPr="00D656E2">
        <w:rPr>
          <w:rFonts w:ascii="Arial" w:hAnsi="Arial" w:cs="Arial"/>
          <w:sz w:val="22"/>
          <w:szCs w:val="22"/>
        </w:rPr>
        <w:t xml:space="preserve">Baldwin, J.R., Wang, B., </w:t>
      </w:r>
      <w:proofErr w:type="spellStart"/>
      <w:r w:rsidRPr="00D656E2">
        <w:rPr>
          <w:rFonts w:ascii="Arial" w:hAnsi="Arial" w:cs="Arial"/>
          <w:sz w:val="22"/>
          <w:szCs w:val="22"/>
        </w:rPr>
        <w:t>Karwatowska</w:t>
      </w:r>
      <w:proofErr w:type="spellEnd"/>
      <w:r w:rsidRPr="00D656E2">
        <w:rPr>
          <w:rFonts w:ascii="Arial" w:hAnsi="Arial" w:cs="Arial"/>
          <w:sz w:val="22"/>
          <w:szCs w:val="22"/>
        </w:rPr>
        <w:t xml:space="preserve">, L., Schoeler, T., </w:t>
      </w:r>
      <w:proofErr w:type="spellStart"/>
      <w:r w:rsidRPr="00D656E2">
        <w:rPr>
          <w:rFonts w:ascii="Arial" w:hAnsi="Arial" w:cs="Arial"/>
          <w:sz w:val="22"/>
          <w:szCs w:val="22"/>
        </w:rPr>
        <w:t>Tsaligopoulou</w:t>
      </w:r>
      <w:proofErr w:type="spellEnd"/>
      <w:r w:rsidRPr="00D656E2">
        <w:rPr>
          <w:rFonts w:ascii="Arial" w:hAnsi="Arial" w:cs="Arial"/>
          <w:sz w:val="22"/>
          <w:szCs w:val="22"/>
        </w:rPr>
        <w:t xml:space="preserve">, A., </w:t>
      </w:r>
      <w:proofErr w:type="spellStart"/>
      <w:r w:rsidRPr="00D656E2">
        <w:rPr>
          <w:rFonts w:ascii="Arial" w:hAnsi="Arial" w:cs="Arial"/>
          <w:sz w:val="22"/>
          <w:szCs w:val="22"/>
        </w:rPr>
        <w:t>Munafò</w:t>
      </w:r>
      <w:proofErr w:type="spellEnd"/>
      <w:r w:rsidRPr="00D656E2">
        <w:rPr>
          <w:rFonts w:ascii="Arial" w:hAnsi="Arial" w:cs="Arial"/>
          <w:sz w:val="22"/>
          <w:szCs w:val="22"/>
        </w:rPr>
        <w:t xml:space="preserve">, M.R. and </w:t>
      </w:r>
      <w:proofErr w:type="spellStart"/>
      <w:r w:rsidRPr="00D656E2">
        <w:rPr>
          <w:rFonts w:ascii="Arial" w:hAnsi="Arial" w:cs="Arial"/>
          <w:sz w:val="22"/>
          <w:szCs w:val="22"/>
        </w:rPr>
        <w:t>Pingault</w:t>
      </w:r>
      <w:proofErr w:type="spellEnd"/>
      <w:r w:rsidRPr="00D656E2">
        <w:rPr>
          <w:rFonts w:ascii="Arial" w:hAnsi="Arial" w:cs="Arial"/>
          <w:sz w:val="22"/>
          <w:szCs w:val="22"/>
        </w:rPr>
        <w:t>, J.B., 2023. Childhood maltreatment and mental health problems: A systematic review and meta-analysis of quasi-experimental studies. American Journal of Psychiatry, 180(2), pp.117–126.</w:t>
      </w:r>
    </w:p>
    <w:p w14:paraId="3AEA719D" w14:textId="77777777" w:rsidR="008E532C" w:rsidRPr="008E532C" w:rsidRDefault="008E532C" w:rsidP="008E532C">
      <w:pPr>
        <w:spacing w:line="360" w:lineRule="auto"/>
        <w:jc w:val="both"/>
        <w:rPr>
          <w:rFonts w:ascii="Arial" w:hAnsi="Arial" w:cs="Arial"/>
          <w:sz w:val="22"/>
          <w:szCs w:val="22"/>
        </w:rPr>
      </w:pPr>
      <w:bookmarkStart w:id="0" w:name="_Hlk203210642"/>
      <w:r w:rsidRPr="008E532C">
        <w:rPr>
          <w:rFonts w:ascii="Arial" w:hAnsi="Arial" w:cs="Arial"/>
          <w:sz w:val="22"/>
          <w:szCs w:val="22"/>
        </w:rPr>
        <w:t>Bauer,</w:t>
      </w:r>
      <w:bookmarkEnd w:id="0"/>
      <w:r w:rsidRPr="008E532C">
        <w:rPr>
          <w:rFonts w:ascii="Arial" w:hAnsi="Arial" w:cs="Arial"/>
          <w:sz w:val="22"/>
          <w:szCs w:val="22"/>
        </w:rPr>
        <w:t xml:space="preserve"> A., Hammerton, G., Fraser, A., Fairchild, G., Halligan, S.L. (2021) ‘Associations between developmental timing of child abuse and conduct problem trajectories in a UK birth cohort’, BMC Psychiatry, 21(1), p. 89. </w:t>
      </w:r>
    </w:p>
    <w:p w14:paraId="4F156974" w14:textId="77777777" w:rsidR="008E532C" w:rsidRPr="008E532C" w:rsidRDefault="008E532C" w:rsidP="008E532C">
      <w:pPr>
        <w:spacing w:line="360" w:lineRule="auto"/>
        <w:jc w:val="both"/>
        <w:rPr>
          <w:rFonts w:ascii="Arial" w:hAnsi="Arial" w:cs="Arial"/>
          <w:sz w:val="22"/>
          <w:szCs w:val="22"/>
        </w:rPr>
      </w:pPr>
      <w:r w:rsidRPr="008E532C">
        <w:rPr>
          <w:rFonts w:ascii="Arial" w:hAnsi="Arial" w:cs="Arial"/>
          <w:sz w:val="22"/>
          <w:szCs w:val="22"/>
        </w:rPr>
        <w:t>bristol.ac.uk</w:t>
      </w:r>
    </w:p>
    <w:p w14:paraId="025EFBD1" w14:textId="037B63AE" w:rsidR="008E532C" w:rsidRDefault="008E532C" w:rsidP="008E532C">
      <w:pPr>
        <w:spacing w:line="360" w:lineRule="auto"/>
        <w:jc w:val="both"/>
        <w:rPr>
          <w:rFonts w:ascii="Arial" w:hAnsi="Arial" w:cs="Arial"/>
          <w:sz w:val="22"/>
          <w:szCs w:val="22"/>
        </w:rPr>
      </w:pPr>
      <w:r w:rsidRPr="008E532C">
        <w:rPr>
          <w:rFonts w:ascii="Arial" w:hAnsi="Arial" w:cs="Arial"/>
          <w:sz w:val="22"/>
          <w:szCs w:val="22"/>
        </w:rPr>
        <w:t>+2</w:t>
      </w:r>
    </w:p>
    <w:p w14:paraId="420DBACB" w14:textId="7177465A" w:rsidR="003F3B1D" w:rsidRDefault="003F3B1D" w:rsidP="008B1CB2">
      <w:pPr>
        <w:spacing w:line="360" w:lineRule="auto"/>
        <w:jc w:val="both"/>
        <w:rPr>
          <w:rFonts w:ascii="Arial" w:hAnsi="Arial" w:cs="Arial"/>
          <w:sz w:val="22"/>
          <w:szCs w:val="22"/>
        </w:rPr>
      </w:pPr>
      <w:r w:rsidRPr="003F3B1D">
        <w:rPr>
          <w:rFonts w:ascii="Arial" w:hAnsi="Arial" w:cs="Arial"/>
          <w:sz w:val="22"/>
          <w:szCs w:val="22"/>
        </w:rPr>
        <w:t>Bellis, M.A., Lowey, H., Leckenby, N., Hughes, K. and Harrison, D., 2014. Adverse childhood experiences: retrospective study to determine their impact on adult health behaviours and health outcomes in a UK population. Journal of Public Health, 36(1), pp.81-91.</w:t>
      </w:r>
    </w:p>
    <w:p w14:paraId="5D4019D7" w14:textId="4F0CA53E" w:rsidR="00A35A56" w:rsidRDefault="00A35A56" w:rsidP="008B1CB2">
      <w:pPr>
        <w:spacing w:line="360" w:lineRule="auto"/>
        <w:jc w:val="both"/>
        <w:rPr>
          <w:rFonts w:ascii="Arial" w:hAnsi="Arial" w:cs="Arial"/>
          <w:sz w:val="22"/>
          <w:szCs w:val="22"/>
        </w:rPr>
      </w:pPr>
      <w:r w:rsidRPr="00A35A56">
        <w:rPr>
          <w:rFonts w:ascii="Arial" w:hAnsi="Arial" w:cs="Arial"/>
          <w:sz w:val="22"/>
          <w:szCs w:val="22"/>
        </w:rPr>
        <w:t xml:space="preserve">Bellis, M.A., Hughes, K., Leckenby, N., Jones, L., Baban, A., </w:t>
      </w:r>
      <w:proofErr w:type="spellStart"/>
      <w:r w:rsidRPr="00A35A56">
        <w:rPr>
          <w:rFonts w:ascii="Arial" w:hAnsi="Arial" w:cs="Arial"/>
          <w:sz w:val="22"/>
          <w:szCs w:val="22"/>
        </w:rPr>
        <w:t>Kachaeva</w:t>
      </w:r>
      <w:proofErr w:type="spellEnd"/>
      <w:r w:rsidRPr="00A35A56">
        <w:rPr>
          <w:rFonts w:ascii="Arial" w:hAnsi="Arial" w:cs="Arial"/>
          <w:sz w:val="22"/>
          <w:szCs w:val="22"/>
        </w:rPr>
        <w:t xml:space="preserve">, M., Povilaitis, R., </w:t>
      </w:r>
      <w:proofErr w:type="spellStart"/>
      <w:r w:rsidRPr="00A35A56">
        <w:rPr>
          <w:rFonts w:ascii="Arial" w:hAnsi="Arial" w:cs="Arial"/>
          <w:sz w:val="22"/>
          <w:szCs w:val="22"/>
        </w:rPr>
        <w:t>Pudule</w:t>
      </w:r>
      <w:proofErr w:type="spellEnd"/>
      <w:r w:rsidRPr="00A35A56">
        <w:rPr>
          <w:rFonts w:ascii="Arial" w:hAnsi="Arial" w:cs="Arial"/>
          <w:sz w:val="22"/>
          <w:szCs w:val="22"/>
        </w:rPr>
        <w:t xml:space="preserve">, I., </w:t>
      </w:r>
      <w:proofErr w:type="spellStart"/>
      <w:r w:rsidRPr="00A35A56">
        <w:rPr>
          <w:rFonts w:ascii="Arial" w:hAnsi="Arial" w:cs="Arial"/>
          <w:sz w:val="22"/>
          <w:szCs w:val="22"/>
        </w:rPr>
        <w:t>Qirjako</w:t>
      </w:r>
      <w:proofErr w:type="spellEnd"/>
      <w:r w:rsidRPr="00A35A56">
        <w:rPr>
          <w:rFonts w:ascii="Arial" w:hAnsi="Arial" w:cs="Arial"/>
          <w:sz w:val="22"/>
          <w:szCs w:val="22"/>
        </w:rPr>
        <w:t xml:space="preserve">, G., </w:t>
      </w:r>
      <w:proofErr w:type="spellStart"/>
      <w:r w:rsidRPr="00A35A56">
        <w:rPr>
          <w:rFonts w:ascii="Arial" w:hAnsi="Arial" w:cs="Arial"/>
          <w:sz w:val="22"/>
          <w:szCs w:val="22"/>
        </w:rPr>
        <w:t>Ulukol</w:t>
      </w:r>
      <w:proofErr w:type="spellEnd"/>
      <w:r w:rsidRPr="00A35A56">
        <w:rPr>
          <w:rFonts w:ascii="Arial" w:hAnsi="Arial" w:cs="Arial"/>
          <w:sz w:val="22"/>
          <w:szCs w:val="22"/>
        </w:rPr>
        <w:t>, B.</w:t>
      </w:r>
      <w:r w:rsidR="00D46E67">
        <w:rPr>
          <w:rFonts w:ascii="Arial" w:hAnsi="Arial" w:cs="Arial"/>
          <w:sz w:val="22"/>
          <w:szCs w:val="22"/>
        </w:rPr>
        <w:t>,</w:t>
      </w:r>
      <w:r w:rsidRPr="00A35A56">
        <w:rPr>
          <w:rFonts w:ascii="Arial" w:hAnsi="Arial" w:cs="Arial"/>
          <w:sz w:val="22"/>
          <w:szCs w:val="22"/>
        </w:rPr>
        <w:t xml:space="preserve"> and </w:t>
      </w:r>
      <w:proofErr w:type="spellStart"/>
      <w:r w:rsidRPr="00A35A56">
        <w:rPr>
          <w:rFonts w:ascii="Arial" w:hAnsi="Arial" w:cs="Arial"/>
          <w:sz w:val="22"/>
          <w:szCs w:val="22"/>
        </w:rPr>
        <w:t>Ralevah</w:t>
      </w:r>
      <w:proofErr w:type="spellEnd"/>
      <w:r w:rsidRPr="00A35A56">
        <w:rPr>
          <w:rFonts w:ascii="Arial" w:hAnsi="Arial" w:cs="Arial"/>
          <w:sz w:val="22"/>
          <w:szCs w:val="22"/>
        </w:rPr>
        <w:t>, M., 2019. Adverse childhood experiences and associations with health-harming behaviours in young adults: surveys in the European Region. View Article.</w:t>
      </w:r>
    </w:p>
    <w:p w14:paraId="10C600E8" w14:textId="564ACC75" w:rsidR="00227B67" w:rsidRDefault="00227B67" w:rsidP="008B1CB2">
      <w:pPr>
        <w:spacing w:line="360" w:lineRule="auto"/>
        <w:jc w:val="both"/>
        <w:rPr>
          <w:rFonts w:ascii="Arial" w:hAnsi="Arial" w:cs="Arial"/>
          <w:sz w:val="22"/>
          <w:szCs w:val="22"/>
        </w:rPr>
      </w:pPr>
      <w:r w:rsidRPr="00227B67">
        <w:rPr>
          <w:rFonts w:ascii="Arial" w:hAnsi="Arial" w:cs="Arial"/>
          <w:sz w:val="22"/>
          <w:szCs w:val="22"/>
        </w:rPr>
        <w:t>The British Psychological Society (BPS), 2021. Incorporating adversity and trauma-informed practice into routine care in children and young people’s mental health services: A briefing paper. Leicester: The British Psychological Society.</w:t>
      </w:r>
    </w:p>
    <w:p w14:paraId="2F0025F8" w14:textId="6619ECDB" w:rsidR="001C6ED3" w:rsidRDefault="001C6ED3" w:rsidP="008B1CB2">
      <w:pPr>
        <w:spacing w:line="360" w:lineRule="auto"/>
        <w:jc w:val="both"/>
        <w:rPr>
          <w:rFonts w:ascii="Arial" w:hAnsi="Arial" w:cs="Arial"/>
          <w:sz w:val="22"/>
          <w:szCs w:val="22"/>
        </w:rPr>
      </w:pPr>
      <w:r w:rsidRPr="001C6ED3">
        <w:rPr>
          <w:rFonts w:ascii="Arial" w:hAnsi="Arial" w:cs="Arial"/>
          <w:sz w:val="22"/>
          <w:szCs w:val="22"/>
        </w:rPr>
        <w:t>Bronfenbrenner, U., 1979. The ecology of human development: Experiments by nature and design. Harvard University Press.</w:t>
      </w:r>
    </w:p>
    <w:p w14:paraId="1D007D15" w14:textId="7EE7891D" w:rsidR="00B054A8" w:rsidRDefault="00B054A8" w:rsidP="008B1CB2">
      <w:pPr>
        <w:spacing w:line="360" w:lineRule="auto"/>
        <w:jc w:val="both"/>
        <w:rPr>
          <w:rFonts w:ascii="Arial" w:hAnsi="Arial" w:cs="Arial"/>
          <w:sz w:val="22"/>
          <w:szCs w:val="22"/>
        </w:rPr>
      </w:pPr>
      <w:r w:rsidRPr="00B054A8">
        <w:rPr>
          <w:rFonts w:ascii="Arial" w:hAnsi="Arial" w:cs="Arial"/>
          <w:sz w:val="22"/>
          <w:szCs w:val="22"/>
        </w:rPr>
        <w:lastRenderedPageBreak/>
        <w:t xml:space="preserve">Burke, N.J., Hellman, J.L., Scott, B.G., Weems, C.F. and Carrion, V.G., 2011. The impact of adverse childhood experiences on an urban </w:t>
      </w:r>
      <w:proofErr w:type="spellStart"/>
      <w:r w:rsidRPr="00B054A8">
        <w:rPr>
          <w:rFonts w:ascii="Arial" w:hAnsi="Arial" w:cs="Arial"/>
          <w:sz w:val="22"/>
          <w:szCs w:val="22"/>
        </w:rPr>
        <w:t>pediatric</w:t>
      </w:r>
      <w:proofErr w:type="spellEnd"/>
      <w:r w:rsidRPr="00B054A8">
        <w:rPr>
          <w:rFonts w:ascii="Arial" w:hAnsi="Arial" w:cs="Arial"/>
          <w:sz w:val="22"/>
          <w:szCs w:val="22"/>
        </w:rPr>
        <w:t xml:space="preserve"> population. Child abuse &amp; neglect, 35(6), pp.408-413.</w:t>
      </w:r>
    </w:p>
    <w:p w14:paraId="0C7683E7" w14:textId="1B1D2BAB" w:rsidR="00113F37" w:rsidRDefault="00F01F69" w:rsidP="008B1CB2">
      <w:pPr>
        <w:spacing w:line="360" w:lineRule="auto"/>
        <w:jc w:val="both"/>
        <w:rPr>
          <w:rFonts w:ascii="Arial" w:hAnsi="Arial" w:cs="Arial"/>
          <w:sz w:val="22"/>
          <w:szCs w:val="22"/>
        </w:rPr>
      </w:pPr>
      <w:r w:rsidRPr="00F01F69">
        <w:rPr>
          <w:rFonts w:ascii="Arial" w:hAnsi="Arial" w:cs="Arial"/>
          <w:sz w:val="22"/>
          <w:szCs w:val="22"/>
        </w:rPr>
        <w:t>Chapman, D.P., Dube, S.R. and Anda, R.F., 2007. Adverse childhood events as risk factors for negative mental health outcomes. Psychiatric annals, 37(5).</w:t>
      </w:r>
    </w:p>
    <w:p w14:paraId="6B382C97" w14:textId="305EA2FC" w:rsidR="000934F5" w:rsidRDefault="000934F5" w:rsidP="008B1CB2">
      <w:pPr>
        <w:spacing w:line="360" w:lineRule="auto"/>
        <w:jc w:val="both"/>
        <w:rPr>
          <w:rFonts w:ascii="Arial" w:hAnsi="Arial" w:cs="Arial"/>
          <w:sz w:val="22"/>
          <w:szCs w:val="22"/>
        </w:rPr>
      </w:pPr>
      <w:r w:rsidRPr="000934F5">
        <w:rPr>
          <w:rFonts w:ascii="Arial" w:hAnsi="Arial" w:cs="Arial"/>
          <w:sz w:val="22"/>
          <w:szCs w:val="22"/>
        </w:rPr>
        <w:t>Care Quality Commission (CQC) (2021) The Care Quality Commission regulates CAMHS providers, ensuring trauma-informed competencies among clinical staff. London: CQC.</w:t>
      </w:r>
    </w:p>
    <w:p w14:paraId="3E8EF79F" w14:textId="67B01AE2" w:rsidR="003E0B95" w:rsidRDefault="003E0B95" w:rsidP="008B1CB2">
      <w:pPr>
        <w:spacing w:line="360" w:lineRule="auto"/>
        <w:jc w:val="both"/>
        <w:rPr>
          <w:rFonts w:ascii="Arial" w:hAnsi="Arial" w:cs="Arial"/>
          <w:sz w:val="22"/>
          <w:szCs w:val="22"/>
        </w:rPr>
      </w:pPr>
      <w:r w:rsidRPr="003E0B95">
        <w:rPr>
          <w:rFonts w:ascii="Arial" w:hAnsi="Arial" w:cs="Arial"/>
          <w:sz w:val="22"/>
          <w:szCs w:val="22"/>
        </w:rPr>
        <w:t>Department of Health, &amp; Department for Education, 201</w:t>
      </w:r>
      <w:r w:rsidR="00EF5561">
        <w:rPr>
          <w:rFonts w:ascii="Arial" w:hAnsi="Arial" w:cs="Arial"/>
          <w:sz w:val="22"/>
          <w:szCs w:val="22"/>
        </w:rPr>
        <w:t>7</w:t>
      </w:r>
      <w:r w:rsidRPr="003E0B95">
        <w:rPr>
          <w:rFonts w:ascii="Arial" w:hAnsi="Arial" w:cs="Arial"/>
          <w:sz w:val="22"/>
          <w:szCs w:val="22"/>
        </w:rPr>
        <w:t>. Transforming children and young people’s mental health provision: A green paper. London: Department of Health and Department for Education.</w:t>
      </w:r>
    </w:p>
    <w:p w14:paraId="2F6CB50D" w14:textId="57ECCE9C" w:rsidR="006F100A" w:rsidRDefault="006F100A" w:rsidP="008B1CB2">
      <w:pPr>
        <w:spacing w:line="360" w:lineRule="auto"/>
        <w:jc w:val="both"/>
        <w:rPr>
          <w:rFonts w:ascii="Arial" w:hAnsi="Arial" w:cs="Arial"/>
          <w:sz w:val="22"/>
          <w:szCs w:val="22"/>
        </w:rPr>
      </w:pPr>
      <w:r w:rsidRPr="006F100A">
        <w:rPr>
          <w:rFonts w:ascii="Arial" w:hAnsi="Arial" w:cs="Arial"/>
          <w:sz w:val="22"/>
          <w:szCs w:val="22"/>
        </w:rPr>
        <w:t xml:space="preserve">Department for Education (DfE), 2023. Working together to safeguard children 2023: statutory guidance [PDF]. GOV.UK. Available at: </w:t>
      </w:r>
      <w:proofErr w:type="gramStart"/>
      <w:r w:rsidRPr="006F100A">
        <w:rPr>
          <w:rFonts w:ascii="Arial" w:hAnsi="Arial" w:cs="Arial"/>
          <w:sz w:val="22"/>
          <w:szCs w:val="22"/>
        </w:rPr>
        <w:t>https://assets.publishing.service.gov.uk/media/669e7501ab418ab055592a7b/Working_together_to_safeguard_children_2023.pdf  (</w:t>
      </w:r>
      <w:proofErr w:type="gramEnd"/>
      <w:r w:rsidRPr="006F100A">
        <w:rPr>
          <w:rFonts w:ascii="Arial" w:hAnsi="Arial" w:cs="Arial"/>
          <w:sz w:val="22"/>
          <w:szCs w:val="22"/>
        </w:rPr>
        <w:t>Accessed: 6 June 2025).</w:t>
      </w:r>
    </w:p>
    <w:p w14:paraId="00D97F5E" w14:textId="16083320" w:rsidR="00E85642" w:rsidRDefault="00E85642" w:rsidP="008B1CB2">
      <w:pPr>
        <w:spacing w:line="360" w:lineRule="auto"/>
        <w:jc w:val="both"/>
        <w:rPr>
          <w:rFonts w:ascii="Arial" w:hAnsi="Arial" w:cs="Arial"/>
          <w:sz w:val="22"/>
          <w:szCs w:val="22"/>
        </w:rPr>
      </w:pPr>
      <w:proofErr w:type="spellStart"/>
      <w:r w:rsidRPr="00E85642">
        <w:rPr>
          <w:rFonts w:ascii="Arial" w:hAnsi="Arial" w:cs="Arial"/>
          <w:sz w:val="22"/>
          <w:szCs w:val="22"/>
        </w:rPr>
        <w:t>Felitti</w:t>
      </w:r>
      <w:proofErr w:type="spellEnd"/>
      <w:r w:rsidRPr="00E85642">
        <w:rPr>
          <w:rFonts w:ascii="Arial" w:hAnsi="Arial" w:cs="Arial"/>
          <w:sz w:val="22"/>
          <w:szCs w:val="22"/>
        </w:rPr>
        <w:t>, V.J., Anda, R.F., Nordenberg, D., Williamson, D.F., Spitz, A.M., Edwards, V., Koss, M.P. and Marks, J.S., 2019. Reprint of: Relationship of childhood abuse and household dysfunction to many of the leading causes of death in adults: the adverse childhood experiences (ACE) study. American Journal of Preventive Medicine, 56(6), pp.774–786.</w:t>
      </w:r>
    </w:p>
    <w:p w14:paraId="0999B8F0" w14:textId="58F137D2" w:rsidR="00185A88" w:rsidRDefault="00185A88" w:rsidP="008B1CB2">
      <w:pPr>
        <w:spacing w:line="360" w:lineRule="auto"/>
        <w:jc w:val="both"/>
        <w:rPr>
          <w:rFonts w:ascii="Arial" w:hAnsi="Arial" w:cs="Arial"/>
          <w:sz w:val="22"/>
          <w:szCs w:val="22"/>
        </w:rPr>
      </w:pPr>
      <w:proofErr w:type="spellStart"/>
      <w:r w:rsidRPr="00185A88">
        <w:rPr>
          <w:rFonts w:ascii="Arial" w:hAnsi="Arial" w:cs="Arial"/>
          <w:sz w:val="22"/>
          <w:szCs w:val="22"/>
        </w:rPr>
        <w:t>Felitti</w:t>
      </w:r>
      <w:proofErr w:type="spellEnd"/>
      <w:r w:rsidRPr="00185A88">
        <w:rPr>
          <w:rFonts w:ascii="Arial" w:hAnsi="Arial" w:cs="Arial"/>
          <w:sz w:val="22"/>
          <w:szCs w:val="22"/>
        </w:rPr>
        <w:t>, V.J., Anda, R.F., Nordenberg, D., Williamson, D.F., Spitz, A.M., Edwards, V. and Marks, J.S., 1998. Relationship of childhood abuse and household dysfunction to many of the leading causes of death in adults: The Adverse Childhood Experiences (ACE) Study. American journal of preventive medicine, 14(4), pp.245-258.</w:t>
      </w:r>
    </w:p>
    <w:p w14:paraId="569D23F6" w14:textId="75EE137A" w:rsidR="00A561A4" w:rsidRDefault="00A561A4" w:rsidP="008B1CB2">
      <w:pPr>
        <w:spacing w:line="360" w:lineRule="auto"/>
        <w:jc w:val="both"/>
        <w:rPr>
          <w:rFonts w:ascii="Arial" w:hAnsi="Arial" w:cs="Arial"/>
          <w:sz w:val="22"/>
          <w:szCs w:val="22"/>
        </w:rPr>
      </w:pPr>
      <w:r w:rsidRPr="00A561A4">
        <w:rPr>
          <w:rFonts w:ascii="Arial" w:hAnsi="Arial" w:cs="Arial"/>
          <w:sz w:val="22"/>
          <w:szCs w:val="22"/>
        </w:rPr>
        <w:t xml:space="preserve">Ford, T., </w:t>
      </w:r>
      <w:proofErr w:type="spellStart"/>
      <w:r w:rsidRPr="00A561A4">
        <w:rPr>
          <w:rFonts w:ascii="Arial" w:hAnsi="Arial" w:cs="Arial"/>
          <w:sz w:val="22"/>
          <w:szCs w:val="22"/>
        </w:rPr>
        <w:t>Vostanis</w:t>
      </w:r>
      <w:proofErr w:type="spellEnd"/>
      <w:r w:rsidRPr="00A561A4">
        <w:rPr>
          <w:rFonts w:ascii="Arial" w:hAnsi="Arial" w:cs="Arial"/>
          <w:sz w:val="22"/>
          <w:szCs w:val="22"/>
        </w:rPr>
        <w:t>, P., Meltzer, H. and Goodman, R., 2007. Psychiatric disorder among British children looked after by local authorities: comparison with children living in private households. The British Journal of Psychiatry, 190(4), pp.319-325.</w:t>
      </w:r>
    </w:p>
    <w:p w14:paraId="281F46EC" w14:textId="43501038" w:rsidR="00D91C3C" w:rsidRDefault="00D91C3C" w:rsidP="008B1CB2">
      <w:pPr>
        <w:spacing w:line="360" w:lineRule="auto"/>
        <w:jc w:val="both"/>
        <w:rPr>
          <w:rFonts w:ascii="Arial" w:hAnsi="Arial" w:cs="Arial"/>
          <w:sz w:val="22"/>
          <w:szCs w:val="22"/>
        </w:rPr>
      </w:pPr>
      <w:r w:rsidRPr="00D91C3C">
        <w:rPr>
          <w:rFonts w:ascii="Arial" w:hAnsi="Arial" w:cs="Arial"/>
          <w:sz w:val="22"/>
          <w:szCs w:val="22"/>
        </w:rPr>
        <w:t xml:space="preserve">Gilbert, R., Widom, C.S., Browne, K., Fergusson, D., Webb, E. and Janson, S., 2009. Burden and consequences of child maltreatment in high-income countries. The </w:t>
      </w:r>
      <w:r w:rsidR="00F22565">
        <w:rPr>
          <w:rFonts w:ascii="Arial" w:hAnsi="Arial" w:cs="Arial"/>
          <w:sz w:val="22"/>
          <w:szCs w:val="22"/>
        </w:rPr>
        <w:t>Lancet</w:t>
      </w:r>
      <w:r w:rsidRPr="00D91C3C">
        <w:rPr>
          <w:rFonts w:ascii="Arial" w:hAnsi="Arial" w:cs="Arial"/>
          <w:sz w:val="22"/>
          <w:szCs w:val="22"/>
        </w:rPr>
        <w:t>, 373(9657), pp.68-81.</w:t>
      </w:r>
    </w:p>
    <w:p w14:paraId="2865C43F" w14:textId="45F38854" w:rsidR="002A1C3C" w:rsidRDefault="002A1C3C" w:rsidP="008B1CB2">
      <w:pPr>
        <w:spacing w:line="360" w:lineRule="auto"/>
        <w:jc w:val="both"/>
        <w:rPr>
          <w:rFonts w:ascii="Arial" w:hAnsi="Arial" w:cs="Arial"/>
          <w:sz w:val="22"/>
          <w:szCs w:val="22"/>
        </w:rPr>
      </w:pPr>
      <w:r w:rsidRPr="002A1C3C">
        <w:rPr>
          <w:rFonts w:ascii="Arial" w:hAnsi="Arial" w:cs="Arial"/>
          <w:sz w:val="22"/>
          <w:szCs w:val="22"/>
        </w:rPr>
        <w:t>Gunnar, M. and Quevedo, K., 2007. The neurobiology of stress and development. Annu. Rev. Psychol., 58(1), pp.145-</w:t>
      </w:r>
      <w:r w:rsidR="00BE2135" w:rsidRPr="002A1C3C">
        <w:rPr>
          <w:rFonts w:ascii="Arial" w:hAnsi="Arial" w:cs="Arial"/>
          <w:sz w:val="22"/>
          <w:szCs w:val="22"/>
        </w:rPr>
        <w:t>173.</w:t>
      </w:r>
      <w:r w:rsidR="00BE2135">
        <w:rPr>
          <w:rFonts w:ascii="Arial" w:hAnsi="Arial" w:cs="Arial"/>
          <w:sz w:val="22"/>
          <w:szCs w:val="22"/>
        </w:rPr>
        <w:t xml:space="preserve"> &amp; </w:t>
      </w:r>
      <w:r w:rsidR="00BE2135" w:rsidRPr="00BE2135">
        <w:rPr>
          <w:rFonts w:ascii="Arial" w:hAnsi="Arial" w:cs="Arial"/>
          <w:sz w:val="22"/>
          <w:szCs w:val="22"/>
        </w:rPr>
        <w:t xml:space="preserve">Gunnar, M.R. and Donzella, B., 2002. Social regulation of the cortisol levels in early human development. </w:t>
      </w:r>
      <w:proofErr w:type="spellStart"/>
      <w:r w:rsidR="00BE2135" w:rsidRPr="00BE2135">
        <w:rPr>
          <w:rFonts w:ascii="Arial" w:hAnsi="Arial" w:cs="Arial"/>
          <w:sz w:val="22"/>
          <w:szCs w:val="22"/>
        </w:rPr>
        <w:t>Psychoneuroendocrinology</w:t>
      </w:r>
      <w:proofErr w:type="spellEnd"/>
      <w:r w:rsidR="00BE2135" w:rsidRPr="00BE2135">
        <w:rPr>
          <w:rFonts w:ascii="Arial" w:hAnsi="Arial" w:cs="Arial"/>
          <w:sz w:val="22"/>
          <w:szCs w:val="22"/>
        </w:rPr>
        <w:t>, 27(1-2), pp.199-220.</w:t>
      </w:r>
    </w:p>
    <w:p w14:paraId="74A1DF70" w14:textId="0D5CDA76" w:rsidR="0015123A" w:rsidRDefault="0015123A" w:rsidP="008B1CB2">
      <w:pPr>
        <w:spacing w:line="360" w:lineRule="auto"/>
        <w:jc w:val="both"/>
        <w:rPr>
          <w:rFonts w:ascii="Arial" w:hAnsi="Arial" w:cs="Arial"/>
          <w:sz w:val="22"/>
          <w:szCs w:val="22"/>
        </w:rPr>
      </w:pPr>
      <w:r w:rsidRPr="0015123A">
        <w:rPr>
          <w:rFonts w:ascii="Arial" w:hAnsi="Arial" w:cs="Arial"/>
          <w:sz w:val="22"/>
          <w:szCs w:val="22"/>
        </w:rPr>
        <w:lastRenderedPageBreak/>
        <w:t>Herman, J.L., 2015. Trauma and recovery: The aftermath of violence—from domestic abuse to political terror. London: Hachette UK.</w:t>
      </w:r>
    </w:p>
    <w:p w14:paraId="568CB7B4" w14:textId="760607F5" w:rsidR="007A60F0" w:rsidRDefault="007A60F0" w:rsidP="008B1CB2">
      <w:pPr>
        <w:spacing w:line="360" w:lineRule="auto"/>
        <w:jc w:val="both"/>
        <w:rPr>
          <w:rFonts w:ascii="Arial" w:hAnsi="Arial" w:cs="Arial"/>
          <w:sz w:val="22"/>
          <w:szCs w:val="22"/>
        </w:rPr>
      </w:pPr>
      <w:r w:rsidRPr="007A60F0">
        <w:rPr>
          <w:rFonts w:ascii="Arial" w:hAnsi="Arial" w:cs="Arial"/>
          <w:sz w:val="22"/>
          <w:szCs w:val="22"/>
        </w:rPr>
        <w:t xml:space="preserve">Hughes, K., Bellis, M.A., Hardcastle, K.A., Sethi, D., Butchart, A., </w:t>
      </w:r>
      <w:proofErr w:type="spellStart"/>
      <w:r w:rsidRPr="007A60F0">
        <w:rPr>
          <w:rFonts w:ascii="Arial" w:hAnsi="Arial" w:cs="Arial"/>
          <w:sz w:val="22"/>
          <w:szCs w:val="22"/>
        </w:rPr>
        <w:t>Mikton</w:t>
      </w:r>
      <w:proofErr w:type="spellEnd"/>
      <w:r w:rsidRPr="007A60F0">
        <w:rPr>
          <w:rFonts w:ascii="Arial" w:hAnsi="Arial" w:cs="Arial"/>
          <w:sz w:val="22"/>
          <w:szCs w:val="22"/>
        </w:rPr>
        <w:t xml:space="preserve">, C., Jones, L. and Dunne, M.P., 2017. The effect of multiple adverse childhood experiences on health: a systematic review and meta-analysis. The Lancet Public Health, 2(8), </w:t>
      </w:r>
      <w:proofErr w:type="gramStart"/>
      <w:r w:rsidRPr="007A60F0">
        <w:rPr>
          <w:rFonts w:ascii="Arial" w:hAnsi="Arial" w:cs="Arial"/>
          <w:sz w:val="22"/>
          <w:szCs w:val="22"/>
        </w:rPr>
        <w:t>pp.e</w:t>
      </w:r>
      <w:proofErr w:type="gramEnd"/>
      <w:r w:rsidRPr="007A60F0">
        <w:rPr>
          <w:rFonts w:ascii="Arial" w:hAnsi="Arial" w:cs="Arial"/>
          <w:sz w:val="22"/>
          <w:szCs w:val="22"/>
        </w:rPr>
        <w:t>356–e366.</w:t>
      </w:r>
    </w:p>
    <w:p w14:paraId="221F9A78" w14:textId="76B2397B" w:rsidR="00670994" w:rsidRDefault="00670994" w:rsidP="008B1CB2">
      <w:pPr>
        <w:spacing w:line="360" w:lineRule="auto"/>
        <w:jc w:val="both"/>
        <w:rPr>
          <w:rFonts w:ascii="Arial" w:hAnsi="Arial" w:cs="Arial"/>
          <w:sz w:val="22"/>
          <w:szCs w:val="22"/>
        </w:rPr>
      </w:pPr>
      <w:r w:rsidRPr="00670994">
        <w:rPr>
          <w:rFonts w:ascii="Arial" w:hAnsi="Arial" w:cs="Arial"/>
          <w:sz w:val="22"/>
          <w:szCs w:val="22"/>
        </w:rPr>
        <w:t xml:space="preserve">Lam, N., Fairweather, S., Lewer, D., Prescott, M., </w:t>
      </w:r>
      <w:proofErr w:type="spellStart"/>
      <w:r w:rsidRPr="00670994">
        <w:rPr>
          <w:rFonts w:ascii="Arial" w:hAnsi="Arial" w:cs="Arial"/>
          <w:sz w:val="22"/>
          <w:szCs w:val="22"/>
        </w:rPr>
        <w:t>Undugoda</w:t>
      </w:r>
      <w:proofErr w:type="spellEnd"/>
      <w:r w:rsidRPr="00670994">
        <w:rPr>
          <w:rFonts w:ascii="Arial" w:hAnsi="Arial" w:cs="Arial"/>
          <w:sz w:val="22"/>
          <w:szCs w:val="22"/>
        </w:rPr>
        <w:t>, P., Dickerson, J., Gilbody, S. and Wadman, R., 2024. The association between adverse childhood experiences and mental health, behaviour, and educational performance in adolescence: A systematic scoping review. PLOS Mental Health, 1(5), p.e0000165.</w:t>
      </w:r>
    </w:p>
    <w:p w14:paraId="1B91FC67" w14:textId="367B508F" w:rsidR="0034508D" w:rsidRDefault="0034508D" w:rsidP="008B1CB2">
      <w:pPr>
        <w:spacing w:line="360" w:lineRule="auto"/>
        <w:jc w:val="both"/>
        <w:rPr>
          <w:rFonts w:ascii="Arial" w:hAnsi="Arial" w:cs="Arial"/>
          <w:sz w:val="22"/>
          <w:szCs w:val="22"/>
        </w:rPr>
      </w:pPr>
      <w:r w:rsidRPr="0034508D">
        <w:rPr>
          <w:rFonts w:ascii="Arial" w:hAnsi="Arial" w:cs="Arial"/>
          <w:sz w:val="22"/>
          <w:szCs w:val="22"/>
        </w:rPr>
        <w:t>Lereya, S.T., Copeland, W.E., Costello, E.J. and Wolke, D., 2015. Adult mental health consequences of peer bullying and maltreatment in childhood: two cohorts in two countries. The Lancet Psychiatry, 2(6), pp.524-531.</w:t>
      </w:r>
    </w:p>
    <w:p w14:paraId="6F98E4B1" w14:textId="199C9F18" w:rsidR="005240F0" w:rsidRDefault="005240F0" w:rsidP="008B1CB2">
      <w:pPr>
        <w:spacing w:line="360" w:lineRule="auto"/>
        <w:jc w:val="both"/>
        <w:rPr>
          <w:rFonts w:ascii="Arial" w:hAnsi="Arial" w:cs="Arial"/>
          <w:sz w:val="22"/>
          <w:szCs w:val="22"/>
        </w:rPr>
      </w:pPr>
      <w:r w:rsidRPr="005240F0">
        <w:rPr>
          <w:rFonts w:ascii="Arial" w:hAnsi="Arial" w:cs="Arial"/>
          <w:sz w:val="22"/>
          <w:szCs w:val="22"/>
        </w:rPr>
        <w:t>Maynard, B.R., Farina, A., Dell, N.A. and Kelly, M.S., 2019. Effects of trauma-informed approaches in schools: A systematic review. Campbell Systematic Reviews, 15(1–2), p.e1018.</w:t>
      </w:r>
    </w:p>
    <w:p w14:paraId="3342CD99" w14:textId="76F16885" w:rsidR="00111E73" w:rsidRDefault="00111E73" w:rsidP="008B1CB2">
      <w:pPr>
        <w:spacing w:line="360" w:lineRule="auto"/>
        <w:jc w:val="both"/>
        <w:rPr>
          <w:rFonts w:ascii="Arial" w:hAnsi="Arial" w:cs="Arial"/>
          <w:sz w:val="22"/>
          <w:szCs w:val="22"/>
        </w:rPr>
      </w:pPr>
      <w:r w:rsidRPr="00111E73">
        <w:rPr>
          <w:rFonts w:ascii="Arial" w:hAnsi="Arial" w:cs="Arial"/>
          <w:sz w:val="22"/>
          <w:szCs w:val="22"/>
        </w:rPr>
        <w:t>Masten, A.S., 2001. Ordinary magic: Resilience processes in development. American psychologist, 56(3), p.227.</w:t>
      </w:r>
    </w:p>
    <w:p w14:paraId="797484E8" w14:textId="07E36F7B" w:rsidR="00835B4B" w:rsidRDefault="00835B4B" w:rsidP="008B1CB2">
      <w:pPr>
        <w:spacing w:line="360" w:lineRule="auto"/>
        <w:jc w:val="both"/>
        <w:rPr>
          <w:rFonts w:ascii="Arial" w:hAnsi="Arial" w:cs="Arial"/>
          <w:sz w:val="22"/>
          <w:szCs w:val="22"/>
        </w:rPr>
      </w:pPr>
      <w:r w:rsidRPr="00835B4B">
        <w:rPr>
          <w:rFonts w:ascii="Arial" w:hAnsi="Arial" w:cs="Arial"/>
          <w:sz w:val="22"/>
          <w:szCs w:val="22"/>
        </w:rPr>
        <w:t xml:space="preserve">Moffitt, T.E., Arseneault, L., Belsky, D., Dickson, N., Hancox, R.J., Harrington, H., Houts, R., Poulton, R., Roberts, B.W., Ross, S. and Sears, M.R., 2011. A gradient of childhood self-control predicts health, wealth, and public safety. Proceedings of the </w:t>
      </w:r>
      <w:r w:rsidR="0050494A">
        <w:rPr>
          <w:rFonts w:ascii="Arial" w:hAnsi="Arial" w:cs="Arial"/>
          <w:sz w:val="22"/>
          <w:szCs w:val="22"/>
        </w:rPr>
        <w:t>National</w:t>
      </w:r>
      <w:r w:rsidRPr="00835B4B">
        <w:rPr>
          <w:rFonts w:ascii="Arial" w:hAnsi="Arial" w:cs="Arial"/>
          <w:sz w:val="22"/>
          <w:szCs w:val="22"/>
        </w:rPr>
        <w:t xml:space="preserve"> Academy of Sciences, 108(7), pp.2693-2698.</w:t>
      </w:r>
    </w:p>
    <w:p w14:paraId="1BAD9B83" w14:textId="4ECA2356" w:rsidR="000D10C2" w:rsidRDefault="001E4331" w:rsidP="008B1CB2">
      <w:pPr>
        <w:spacing w:line="360" w:lineRule="auto"/>
        <w:jc w:val="both"/>
        <w:rPr>
          <w:rFonts w:ascii="Arial" w:hAnsi="Arial" w:cs="Arial"/>
          <w:sz w:val="22"/>
          <w:szCs w:val="22"/>
        </w:rPr>
      </w:pPr>
      <w:r w:rsidRPr="001E4331">
        <w:rPr>
          <w:rFonts w:ascii="Arial" w:hAnsi="Arial" w:cs="Arial"/>
          <w:sz w:val="22"/>
          <w:szCs w:val="22"/>
        </w:rPr>
        <w:t xml:space="preserve">NHS (2019) The NHS Long Term Plan. Available at: https://www.longtermplan.nhs.uk (Accessed: </w:t>
      </w:r>
      <w:r w:rsidR="00161DAC">
        <w:rPr>
          <w:rFonts w:ascii="Arial" w:hAnsi="Arial" w:cs="Arial"/>
          <w:sz w:val="22"/>
          <w:szCs w:val="22"/>
        </w:rPr>
        <w:t>12</w:t>
      </w:r>
      <w:r w:rsidR="00747D8C">
        <w:rPr>
          <w:rFonts w:ascii="Arial" w:hAnsi="Arial" w:cs="Arial"/>
          <w:sz w:val="22"/>
          <w:szCs w:val="22"/>
        </w:rPr>
        <w:t xml:space="preserve"> July 2025</w:t>
      </w:r>
      <w:r w:rsidRPr="001E4331">
        <w:rPr>
          <w:rFonts w:ascii="Arial" w:hAnsi="Arial" w:cs="Arial"/>
          <w:sz w:val="22"/>
          <w:szCs w:val="22"/>
        </w:rPr>
        <w:t>).</w:t>
      </w:r>
    </w:p>
    <w:p w14:paraId="1746D559" w14:textId="0C7F40DA" w:rsidR="00B623C4" w:rsidRDefault="00B623C4" w:rsidP="008B1CB2">
      <w:pPr>
        <w:spacing w:line="360" w:lineRule="auto"/>
        <w:jc w:val="both"/>
        <w:rPr>
          <w:rFonts w:ascii="Arial" w:hAnsi="Arial" w:cs="Arial"/>
          <w:sz w:val="22"/>
          <w:szCs w:val="22"/>
        </w:rPr>
      </w:pPr>
      <w:r w:rsidRPr="00B623C4">
        <w:rPr>
          <w:rFonts w:ascii="Arial" w:hAnsi="Arial" w:cs="Arial"/>
          <w:sz w:val="22"/>
          <w:szCs w:val="22"/>
        </w:rPr>
        <w:t xml:space="preserve">NHS Digital, 2020. Mental health of children and young people in England, 2020: Wave 1 follow-up to the 2017 survey [Online]. NHS Digital. Available at: </w:t>
      </w:r>
      <w:proofErr w:type="gramStart"/>
      <w:r w:rsidRPr="00B623C4">
        <w:rPr>
          <w:rFonts w:ascii="Arial" w:hAnsi="Arial" w:cs="Arial"/>
          <w:sz w:val="22"/>
          <w:szCs w:val="22"/>
        </w:rPr>
        <w:t>https://digital.nhs.uk/data-and-information/publications/statistical/mental-health-of-children-and-young-people-in-england/2020-wave-1-follow-up  (</w:t>
      </w:r>
      <w:proofErr w:type="gramEnd"/>
      <w:r w:rsidRPr="00B623C4">
        <w:rPr>
          <w:rFonts w:ascii="Arial" w:hAnsi="Arial" w:cs="Arial"/>
          <w:sz w:val="22"/>
          <w:szCs w:val="22"/>
        </w:rPr>
        <w:t>Accessed: 6 June 2025).</w:t>
      </w:r>
    </w:p>
    <w:p w14:paraId="056DF99E" w14:textId="1FFDC0C8" w:rsidR="00F00992" w:rsidRDefault="00F00992" w:rsidP="008B1CB2">
      <w:pPr>
        <w:spacing w:line="360" w:lineRule="auto"/>
        <w:jc w:val="both"/>
        <w:rPr>
          <w:rFonts w:ascii="Arial" w:hAnsi="Arial" w:cs="Arial"/>
          <w:sz w:val="22"/>
          <w:szCs w:val="22"/>
        </w:rPr>
      </w:pPr>
      <w:r w:rsidRPr="00F00992">
        <w:rPr>
          <w:rFonts w:ascii="Arial" w:hAnsi="Arial" w:cs="Arial"/>
          <w:sz w:val="22"/>
          <w:szCs w:val="22"/>
        </w:rPr>
        <w:t>NICE (National Institute for Health and Care Excellence), 2017. Post-traumatic stress disorder: Evidence reviews for psychological, psychosocial</w:t>
      </w:r>
      <w:r w:rsidR="00996D58">
        <w:rPr>
          <w:rFonts w:ascii="Arial" w:hAnsi="Arial" w:cs="Arial"/>
          <w:sz w:val="22"/>
          <w:szCs w:val="22"/>
        </w:rPr>
        <w:t>,</w:t>
      </w:r>
      <w:r w:rsidRPr="00F00992">
        <w:rPr>
          <w:rFonts w:ascii="Arial" w:hAnsi="Arial" w:cs="Arial"/>
          <w:sz w:val="22"/>
          <w:szCs w:val="22"/>
        </w:rPr>
        <w:t xml:space="preserve"> and other non-pharmacological interventions for the prevention of PTSD in adults. NICE Guideline [NG116]. London: NICE. Available at: https://www.nice.org.uk/guidance/ng116/evidence </w:t>
      </w:r>
      <w:r w:rsidR="00996D58">
        <w:rPr>
          <w:rFonts w:ascii="Arial" w:hAnsi="Arial" w:cs="Arial"/>
          <w:sz w:val="22"/>
          <w:szCs w:val="22"/>
        </w:rPr>
        <w:t>(</w:t>
      </w:r>
      <w:r w:rsidRPr="00F00992">
        <w:rPr>
          <w:rFonts w:ascii="Arial" w:hAnsi="Arial" w:cs="Arial"/>
          <w:sz w:val="22"/>
          <w:szCs w:val="22"/>
        </w:rPr>
        <w:t>Accessed 12 July 2025</w:t>
      </w:r>
      <w:r w:rsidR="00996D58">
        <w:rPr>
          <w:rFonts w:ascii="Arial" w:hAnsi="Arial" w:cs="Arial"/>
          <w:sz w:val="22"/>
          <w:szCs w:val="22"/>
        </w:rPr>
        <w:t>)</w:t>
      </w:r>
      <w:r w:rsidRPr="00F00992">
        <w:rPr>
          <w:rFonts w:ascii="Arial" w:hAnsi="Arial" w:cs="Arial"/>
          <w:sz w:val="22"/>
          <w:szCs w:val="22"/>
        </w:rPr>
        <w:t>.</w:t>
      </w:r>
    </w:p>
    <w:p w14:paraId="731E3F0B" w14:textId="6DD6527E" w:rsidR="005D7C1D" w:rsidRDefault="005D7C1D" w:rsidP="008B1CB2">
      <w:pPr>
        <w:spacing w:line="360" w:lineRule="auto"/>
        <w:jc w:val="both"/>
        <w:rPr>
          <w:rFonts w:ascii="Arial" w:hAnsi="Arial" w:cs="Arial"/>
          <w:sz w:val="22"/>
          <w:szCs w:val="22"/>
        </w:rPr>
      </w:pPr>
      <w:r w:rsidRPr="005D7C1D">
        <w:rPr>
          <w:rFonts w:ascii="Arial" w:hAnsi="Arial" w:cs="Arial"/>
          <w:sz w:val="22"/>
          <w:szCs w:val="22"/>
        </w:rPr>
        <w:lastRenderedPageBreak/>
        <w:t xml:space="preserve">Norman, R.E., Byambaa, M., De, R., Butchart, A., Scott, J. and Vos, T., 2012. The long-term health consequences of child physical abuse, emotional abuse, and neglect: a systematic review and meta-analysis. </w:t>
      </w:r>
      <w:proofErr w:type="spellStart"/>
      <w:r w:rsidRPr="005D7C1D">
        <w:rPr>
          <w:rFonts w:ascii="Arial" w:hAnsi="Arial" w:cs="Arial"/>
          <w:sz w:val="22"/>
          <w:szCs w:val="22"/>
        </w:rPr>
        <w:t>PLoS</w:t>
      </w:r>
      <w:proofErr w:type="spellEnd"/>
      <w:r w:rsidRPr="005D7C1D">
        <w:rPr>
          <w:rFonts w:ascii="Arial" w:hAnsi="Arial" w:cs="Arial"/>
          <w:sz w:val="22"/>
          <w:szCs w:val="22"/>
        </w:rPr>
        <w:t xml:space="preserve"> medicine, 9(11), p.e1001349.</w:t>
      </w:r>
    </w:p>
    <w:p w14:paraId="2F3F1ECF" w14:textId="39471AD2" w:rsidR="00884FE2" w:rsidRDefault="00884FE2" w:rsidP="008B1CB2">
      <w:pPr>
        <w:spacing w:line="360" w:lineRule="auto"/>
        <w:jc w:val="both"/>
        <w:rPr>
          <w:rFonts w:ascii="Arial" w:hAnsi="Arial" w:cs="Arial"/>
          <w:sz w:val="22"/>
          <w:szCs w:val="22"/>
        </w:rPr>
      </w:pPr>
      <w:r w:rsidRPr="00884FE2">
        <w:rPr>
          <w:rFonts w:ascii="Arial" w:hAnsi="Arial" w:cs="Arial"/>
          <w:sz w:val="22"/>
          <w:szCs w:val="22"/>
        </w:rPr>
        <w:t>NSPCC, 2021. Childhood Trauma Reported by Young People: Findings from the UK-wide Study. London: NSPCC.</w:t>
      </w:r>
    </w:p>
    <w:p w14:paraId="3A784BD3" w14:textId="36141F61" w:rsidR="009811D4" w:rsidRDefault="009811D4" w:rsidP="008B1CB2">
      <w:pPr>
        <w:spacing w:line="360" w:lineRule="auto"/>
        <w:jc w:val="both"/>
        <w:rPr>
          <w:rFonts w:ascii="Arial" w:hAnsi="Arial" w:cs="Arial"/>
          <w:sz w:val="22"/>
          <w:szCs w:val="22"/>
        </w:rPr>
      </w:pPr>
      <w:r w:rsidRPr="009811D4">
        <w:rPr>
          <w:rFonts w:ascii="Arial" w:hAnsi="Arial" w:cs="Arial"/>
          <w:sz w:val="22"/>
          <w:szCs w:val="22"/>
        </w:rPr>
        <w:t xml:space="preserve">Ofsted (Office for Standards in Education, Children’s Services and Skills), 2022. The Annual Report of His Majesty’s Chief Inspector of Education, Children’s Services and Skills 2021/22. GOV.UK. Available at: </w:t>
      </w:r>
      <w:proofErr w:type="gramStart"/>
      <w:r w:rsidRPr="009811D4">
        <w:rPr>
          <w:rFonts w:ascii="Arial" w:hAnsi="Arial" w:cs="Arial"/>
          <w:sz w:val="22"/>
          <w:szCs w:val="22"/>
        </w:rPr>
        <w:t>https://www.gov.uk/government/publications/ofsted-annual-report-202122-education-childrens-services-and-skills/the-annual-report-of-his-majestys-chief-inspector-of-education-childrens-services-and-skills-202122  (</w:t>
      </w:r>
      <w:proofErr w:type="gramEnd"/>
      <w:r w:rsidRPr="009811D4">
        <w:rPr>
          <w:rFonts w:ascii="Arial" w:hAnsi="Arial" w:cs="Arial"/>
          <w:sz w:val="22"/>
          <w:szCs w:val="22"/>
        </w:rPr>
        <w:t>Accessed: 6 June 2025).</w:t>
      </w:r>
    </w:p>
    <w:p w14:paraId="694A237B" w14:textId="6F9506DB" w:rsidR="00446521" w:rsidRDefault="00446521" w:rsidP="008B1CB2">
      <w:pPr>
        <w:spacing w:line="360" w:lineRule="auto"/>
        <w:jc w:val="both"/>
        <w:rPr>
          <w:rFonts w:ascii="Arial" w:hAnsi="Arial" w:cs="Arial"/>
          <w:sz w:val="22"/>
          <w:szCs w:val="22"/>
        </w:rPr>
      </w:pPr>
      <w:bookmarkStart w:id="1" w:name="_Hlk203206902"/>
      <w:r w:rsidRPr="00446521">
        <w:rPr>
          <w:rFonts w:ascii="Arial" w:hAnsi="Arial" w:cs="Arial"/>
          <w:sz w:val="22"/>
          <w:szCs w:val="22"/>
        </w:rPr>
        <w:t>Perry, B.D. and Szalavitz, M., 2017</w:t>
      </w:r>
      <w:bookmarkEnd w:id="1"/>
      <w:r w:rsidRPr="00446521">
        <w:rPr>
          <w:rFonts w:ascii="Arial" w:hAnsi="Arial" w:cs="Arial"/>
          <w:sz w:val="22"/>
          <w:szCs w:val="22"/>
        </w:rPr>
        <w:t>. The boy who was raised as a dog: And other stories from a child psychiatrist's notebook--What traumatized children can teach us about loss, love, and healing. Hachette UK.</w:t>
      </w:r>
    </w:p>
    <w:p w14:paraId="6F0D02A9" w14:textId="3255CCF9" w:rsidR="000C2D97" w:rsidRDefault="000C2D97" w:rsidP="008B1CB2">
      <w:pPr>
        <w:spacing w:line="360" w:lineRule="auto"/>
        <w:jc w:val="both"/>
        <w:rPr>
          <w:rFonts w:ascii="Arial" w:hAnsi="Arial" w:cs="Arial"/>
          <w:sz w:val="22"/>
          <w:szCs w:val="22"/>
        </w:rPr>
      </w:pPr>
      <w:r w:rsidRPr="000C2D97">
        <w:rPr>
          <w:rFonts w:ascii="Arial" w:hAnsi="Arial" w:cs="Arial"/>
          <w:sz w:val="22"/>
          <w:szCs w:val="22"/>
        </w:rPr>
        <w:t>Public Health England, 2015. Promoting children and young people’s emotional health and wellbeing: A whole school and college approach.</w:t>
      </w:r>
    </w:p>
    <w:p w14:paraId="3A96B58F" w14:textId="099C61D7" w:rsidR="00954ECA" w:rsidRDefault="00954ECA" w:rsidP="008B1CB2">
      <w:pPr>
        <w:spacing w:line="360" w:lineRule="auto"/>
        <w:jc w:val="both"/>
        <w:rPr>
          <w:rFonts w:ascii="Arial" w:hAnsi="Arial" w:cs="Arial"/>
          <w:sz w:val="22"/>
          <w:szCs w:val="22"/>
        </w:rPr>
      </w:pPr>
      <w:r w:rsidRPr="00954ECA">
        <w:rPr>
          <w:rFonts w:ascii="Arial" w:hAnsi="Arial" w:cs="Arial"/>
          <w:sz w:val="22"/>
          <w:szCs w:val="22"/>
        </w:rPr>
        <w:t>Van der Kolk, B., 2014. The body keeps the score: Brain, mind, and body in the healing of trauma. New York, 3, pp.14-211.</w:t>
      </w:r>
    </w:p>
    <w:p w14:paraId="3DD8FC95" w14:textId="77777777" w:rsidR="00081753" w:rsidRPr="008B1CB2" w:rsidRDefault="00081753" w:rsidP="008B1CB2">
      <w:pPr>
        <w:spacing w:line="360" w:lineRule="auto"/>
        <w:jc w:val="both"/>
        <w:rPr>
          <w:rFonts w:ascii="Arial" w:hAnsi="Arial" w:cs="Arial"/>
          <w:sz w:val="22"/>
          <w:szCs w:val="22"/>
        </w:rPr>
      </w:pPr>
    </w:p>
    <w:sectPr w:rsidR="00081753" w:rsidRPr="008B1C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1A3"/>
    <w:rsid w:val="00021F8F"/>
    <w:rsid w:val="00025269"/>
    <w:rsid w:val="00061E02"/>
    <w:rsid w:val="00063E2D"/>
    <w:rsid w:val="0007295A"/>
    <w:rsid w:val="00081753"/>
    <w:rsid w:val="000934F5"/>
    <w:rsid w:val="000948C5"/>
    <w:rsid w:val="000C2D97"/>
    <w:rsid w:val="000D10C2"/>
    <w:rsid w:val="00111E73"/>
    <w:rsid w:val="00113F37"/>
    <w:rsid w:val="0015123A"/>
    <w:rsid w:val="00161DAC"/>
    <w:rsid w:val="00185A88"/>
    <w:rsid w:val="001C6ED3"/>
    <w:rsid w:val="001E4331"/>
    <w:rsid w:val="00200C73"/>
    <w:rsid w:val="00206A94"/>
    <w:rsid w:val="00227B67"/>
    <w:rsid w:val="002A1C3C"/>
    <w:rsid w:val="002F3E92"/>
    <w:rsid w:val="00340C75"/>
    <w:rsid w:val="0034508D"/>
    <w:rsid w:val="003547F5"/>
    <w:rsid w:val="00391C58"/>
    <w:rsid w:val="003A50B8"/>
    <w:rsid w:val="003C4CF0"/>
    <w:rsid w:val="003E0B95"/>
    <w:rsid w:val="003F3B1D"/>
    <w:rsid w:val="00446521"/>
    <w:rsid w:val="004A5034"/>
    <w:rsid w:val="004C1DD0"/>
    <w:rsid w:val="004E2602"/>
    <w:rsid w:val="004F38F2"/>
    <w:rsid w:val="0050494A"/>
    <w:rsid w:val="005240F0"/>
    <w:rsid w:val="00572FA3"/>
    <w:rsid w:val="005825E5"/>
    <w:rsid w:val="005B2DBF"/>
    <w:rsid w:val="005D7C1D"/>
    <w:rsid w:val="005E4C0F"/>
    <w:rsid w:val="005F2914"/>
    <w:rsid w:val="00642F9F"/>
    <w:rsid w:val="00670994"/>
    <w:rsid w:val="006A0D6B"/>
    <w:rsid w:val="006F100A"/>
    <w:rsid w:val="0070423C"/>
    <w:rsid w:val="007353EB"/>
    <w:rsid w:val="00737344"/>
    <w:rsid w:val="00747D8C"/>
    <w:rsid w:val="007A60F0"/>
    <w:rsid w:val="007C1C59"/>
    <w:rsid w:val="00835B4B"/>
    <w:rsid w:val="00840460"/>
    <w:rsid w:val="00856C6E"/>
    <w:rsid w:val="0087536E"/>
    <w:rsid w:val="00884FE2"/>
    <w:rsid w:val="008B1CB2"/>
    <w:rsid w:val="008E532C"/>
    <w:rsid w:val="00903551"/>
    <w:rsid w:val="00904D62"/>
    <w:rsid w:val="00925DA8"/>
    <w:rsid w:val="009421A3"/>
    <w:rsid w:val="00952D3C"/>
    <w:rsid w:val="00954ECA"/>
    <w:rsid w:val="009811D4"/>
    <w:rsid w:val="0099122D"/>
    <w:rsid w:val="00996D58"/>
    <w:rsid w:val="00A35A56"/>
    <w:rsid w:val="00A556D7"/>
    <w:rsid w:val="00A561A4"/>
    <w:rsid w:val="00A8080E"/>
    <w:rsid w:val="00AF102C"/>
    <w:rsid w:val="00B03C52"/>
    <w:rsid w:val="00B054A8"/>
    <w:rsid w:val="00B623C4"/>
    <w:rsid w:val="00BD6C07"/>
    <w:rsid w:val="00BE09C3"/>
    <w:rsid w:val="00BE2135"/>
    <w:rsid w:val="00BF0887"/>
    <w:rsid w:val="00C77583"/>
    <w:rsid w:val="00CC3423"/>
    <w:rsid w:val="00CE40EC"/>
    <w:rsid w:val="00D10B87"/>
    <w:rsid w:val="00D46E67"/>
    <w:rsid w:val="00D6400F"/>
    <w:rsid w:val="00D656E2"/>
    <w:rsid w:val="00D91C3C"/>
    <w:rsid w:val="00DC0C64"/>
    <w:rsid w:val="00E06151"/>
    <w:rsid w:val="00E11474"/>
    <w:rsid w:val="00E42470"/>
    <w:rsid w:val="00E85642"/>
    <w:rsid w:val="00EF5561"/>
    <w:rsid w:val="00F00992"/>
    <w:rsid w:val="00F01F69"/>
    <w:rsid w:val="00F22565"/>
    <w:rsid w:val="00F24975"/>
    <w:rsid w:val="00F65717"/>
    <w:rsid w:val="00F676F8"/>
    <w:rsid w:val="00FA0BBF"/>
    <w:rsid w:val="00FC2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AA3C6"/>
  <w15:chartTrackingRefBased/>
  <w15:docId w15:val="{ECFF56C2-0C9B-4DB1-B7D4-C06D97874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1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21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21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21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21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21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21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21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21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1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21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21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21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21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21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21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21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21A3"/>
    <w:rPr>
      <w:rFonts w:eastAsiaTheme="majorEastAsia" w:cstheme="majorBidi"/>
      <w:color w:val="272727" w:themeColor="text1" w:themeTint="D8"/>
    </w:rPr>
  </w:style>
  <w:style w:type="paragraph" w:styleId="Title">
    <w:name w:val="Title"/>
    <w:basedOn w:val="Normal"/>
    <w:next w:val="Normal"/>
    <w:link w:val="TitleChar"/>
    <w:uiPriority w:val="10"/>
    <w:qFormat/>
    <w:rsid w:val="009421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21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1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21A3"/>
    <w:pPr>
      <w:spacing w:before="160"/>
      <w:jc w:val="center"/>
    </w:pPr>
    <w:rPr>
      <w:i/>
      <w:iCs/>
      <w:color w:val="404040" w:themeColor="text1" w:themeTint="BF"/>
    </w:rPr>
  </w:style>
  <w:style w:type="character" w:customStyle="1" w:styleId="QuoteChar">
    <w:name w:val="Quote Char"/>
    <w:basedOn w:val="DefaultParagraphFont"/>
    <w:link w:val="Quote"/>
    <w:uiPriority w:val="29"/>
    <w:rsid w:val="009421A3"/>
    <w:rPr>
      <w:i/>
      <w:iCs/>
      <w:color w:val="404040" w:themeColor="text1" w:themeTint="BF"/>
    </w:rPr>
  </w:style>
  <w:style w:type="paragraph" w:styleId="ListParagraph">
    <w:name w:val="List Paragraph"/>
    <w:basedOn w:val="Normal"/>
    <w:uiPriority w:val="34"/>
    <w:qFormat/>
    <w:rsid w:val="009421A3"/>
    <w:pPr>
      <w:ind w:left="720"/>
      <w:contextualSpacing/>
    </w:pPr>
  </w:style>
  <w:style w:type="character" w:styleId="IntenseEmphasis">
    <w:name w:val="Intense Emphasis"/>
    <w:basedOn w:val="DefaultParagraphFont"/>
    <w:uiPriority w:val="21"/>
    <w:qFormat/>
    <w:rsid w:val="009421A3"/>
    <w:rPr>
      <w:i/>
      <w:iCs/>
      <w:color w:val="0F4761" w:themeColor="accent1" w:themeShade="BF"/>
    </w:rPr>
  </w:style>
  <w:style w:type="paragraph" w:styleId="IntenseQuote">
    <w:name w:val="Intense Quote"/>
    <w:basedOn w:val="Normal"/>
    <w:next w:val="Normal"/>
    <w:link w:val="IntenseQuoteChar"/>
    <w:uiPriority w:val="30"/>
    <w:qFormat/>
    <w:rsid w:val="009421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21A3"/>
    <w:rPr>
      <w:i/>
      <w:iCs/>
      <w:color w:val="0F4761" w:themeColor="accent1" w:themeShade="BF"/>
    </w:rPr>
  </w:style>
  <w:style w:type="character" w:styleId="IntenseReference">
    <w:name w:val="Intense Reference"/>
    <w:basedOn w:val="DefaultParagraphFont"/>
    <w:uiPriority w:val="32"/>
    <w:qFormat/>
    <w:rsid w:val="009421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7371bde9eaea4218baa6356b0d482d8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9fcc18505b3599dd1146fc4e3f8ec58"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E9EFC7-156E-4B64-A310-88D620173FA5}">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392F261F-B797-46CE-8337-B1E67DD72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EB8F28-B683-418B-80A0-64C3D000EC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4256</Words>
  <Characters>26691</Characters>
  <Application>Microsoft Office Word</Application>
  <DocSecurity>0</DocSecurity>
  <Lines>437</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Agada (2224942)</dc:creator>
  <cp:keywords/>
  <dc:description/>
  <cp:lastModifiedBy>Deborah Agada (2224942)</cp:lastModifiedBy>
  <cp:revision>2</cp:revision>
  <dcterms:created xsi:type="dcterms:W3CDTF">2025-07-24T10:12:00Z</dcterms:created>
  <dcterms:modified xsi:type="dcterms:W3CDTF">2025-07-24T10:12:00Z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8747cfd8-1493-4491-b642-220486083514</vt:lpwstr>
  </property>
  <property fmtid="{D5CDD505-2E9C-101B-9397-08002B2CF9AE}" pid="3" name="ContentTypeId">
    <vt:lpwstr>0x010100A20804DBFC42F64693D899720BA9B0FE</vt:lpwstr>
  </property>
</Properties>
</file>