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ayout w:type="fixed"/>
        <w:tblLook w:val="0600" w:firstRow="0" w:lastRow="0" w:firstColumn="0" w:lastColumn="0" w:noHBand="1" w:noVBand="1"/>
      </w:tblPr>
      <w:tblGrid>
        <w:gridCol w:w="5529"/>
        <w:gridCol w:w="5261"/>
      </w:tblGrid>
      <w:tr w:rsidR="00A81248" w:rsidRPr="003A798E" w14:paraId="6ECB5E4E" w14:textId="77777777" w:rsidTr="00766C02">
        <w:tc>
          <w:tcPr>
            <w:tcW w:w="5529" w:type="dxa"/>
          </w:tcPr>
          <w:p w14:paraId="2B575429" w14:textId="77777777" w:rsidR="00A81248" w:rsidRPr="003A798E" w:rsidRDefault="00A81248" w:rsidP="00A81248">
            <w:pPr>
              <w:pStyle w:val="GraphicAnchor"/>
            </w:pPr>
          </w:p>
        </w:tc>
        <w:tc>
          <w:tcPr>
            <w:tcW w:w="5261" w:type="dxa"/>
          </w:tcPr>
          <w:p w14:paraId="50447F10" w14:textId="77777777" w:rsidR="00A81248" w:rsidRPr="003A798E" w:rsidRDefault="00A81248" w:rsidP="00A81248">
            <w:pPr>
              <w:pStyle w:val="GraphicAnchor"/>
            </w:pPr>
          </w:p>
        </w:tc>
      </w:tr>
      <w:tr w:rsidR="00A81248" w:rsidRPr="003A798E" w14:paraId="4993751A" w14:textId="77777777" w:rsidTr="00766C02">
        <w:trPr>
          <w:trHeight w:val="2719"/>
        </w:trPr>
        <w:tc>
          <w:tcPr>
            <w:tcW w:w="5529" w:type="dxa"/>
          </w:tcPr>
          <w:p w14:paraId="0AEDB9D8" w14:textId="65D14E25" w:rsidR="00A81248" w:rsidRPr="00766C02" w:rsidRDefault="00FF299E" w:rsidP="00C66528">
            <w:pPr>
              <w:pStyle w:val="Heading1"/>
              <w:rPr>
                <w:sz w:val="64"/>
                <w:szCs w:val="64"/>
              </w:rPr>
            </w:pPr>
            <w:r w:rsidRPr="00766C02">
              <w:rPr>
                <w:sz w:val="64"/>
                <w:szCs w:val="64"/>
              </w:rPr>
              <w:t>CASE REVIEW BRIEFING REPORT</w:t>
            </w:r>
          </w:p>
        </w:tc>
        <w:tc>
          <w:tcPr>
            <w:tcW w:w="5261" w:type="dxa"/>
          </w:tcPr>
          <w:p w14:paraId="5CFF4F56" w14:textId="0F60C52D" w:rsidR="00A81248" w:rsidRPr="003A798E" w:rsidRDefault="00A81248"/>
        </w:tc>
      </w:tr>
      <w:tr w:rsidR="00FF299E" w:rsidRPr="003A798E" w14:paraId="2FE6D199" w14:textId="77777777" w:rsidTr="00766C02">
        <w:trPr>
          <w:trHeight w:val="5771"/>
        </w:trPr>
        <w:tc>
          <w:tcPr>
            <w:tcW w:w="5529" w:type="dxa"/>
            <w:vMerge w:val="restart"/>
          </w:tcPr>
          <w:p w14:paraId="39003EA3" w14:textId="072ED7B2" w:rsidR="00FF299E" w:rsidRPr="003A798E" w:rsidRDefault="00FF299E">
            <w:r w:rsidRPr="003A798E">
              <w:rPr>
                <w:noProof/>
                <w:lang w:eastAsia="en-AU"/>
              </w:rPr>
              <mc:AlternateContent>
                <mc:Choice Requires="wpg">
                  <w:drawing>
                    <wp:anchor distT="0" distB="0" distL="114300" distR="114300" simplePos="0" relativeHeight="251663360" behindDoc="1" locked="0" layoutInCell="1" allowOverlap="1" wp14:anchorId="5BECCFE1" wp14:editId="70EB73B7">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42596A8A" id="Group 1" o:spid="_x0000_s1026" alt="&quot;&quot;" style="position:absolute;margin-left:-35.1pt;margin-top:-176.6pt;width:612pt;height:791.7pt;z-index:-251653120;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61" w:type="dxa"/>
          </w:tcPr>
          <w:p w14:paraId="596FC509" w14:textId="438A7636" w:rsidR="00FF299E" w:rsidRPr="003A798E" w:rsidRDefault="00FF299E"/>
        </w:tc>
      </w:tr>
      <w:tr w:rsidR="00FF299E" w:rsidRPr="003A798E" w14:paraId="54D528D9" w14:textId="77777777" w:rsidTr="00766C02">
        <w:trPr>
          <w:trHeight w:val="4813"/>
        </w:trPr>
        <w:tc>
          <w:tcPr>
            <w:tcW w:w="5529" w:type="dxa"/>
            <w:vMerge/>
          </w:tcPr>
          <w:p w14:paraId="3CBFE97B" w14:textId="77777777" w:rsidR="00FF299E" w:rsidRPr="003A798E" w:rsidRDefault="00FF299E">
            <w:pPr>
              <w:rPr>
                <w:noProof/>
                <w:lang w:eastAsia="en-AU"/>
              </w:rPr>
            </w:pPr>
          </w:p>
        </w:tc>
        <w:tc>
          <w:tcPr>
            <w:tcW w:w="5261" w:type="dxa"/>
          </w:tcPr>
          <w:p w14:paraId="2DD39CC7" w14:textId="77777777" w:rsidR="00766C02" w:rsidRDefault="00766C02" w:rsidP="00FF299E">
            <w:pPr>
              <w:pStyle w:val="Heading2"/>
              <w:rPr>
                <w:sz w:val="28"/>
                <w:szCs w:val="18"/>
              </w:rPr>
            </w:pPr>
          </w:p>
          <w:p w14:paraId="63DFB666" w14:textId="77777777" w:rsidR="00766C02" w:rsidRDefault="00766C02" w:rsidP="00FF299E">
            <w:pPr>
              <w:pStyle w:val="Heading2"/>
              <w:rPr>
                <w:sz w:val="28"/>
                <w:szCs w:val="18"/>
              </w:rPr>
            </w:pPr>
          </w:p>
          <w:p w14:paraId="6604AB5F" w14:textId="77777777" w:rsidR="00766C02" w:rsidRDefault="00766C02" w:rsidP="00FF299E">
            <w:pPr>
              <w:pStyle w:val="Heading2"/>
              <w:rPr>
                <w:sz w:val="28"/>
                <w:szCs w:val="18"/>
              </w:rPr>
            </w:pPr>
          </w:p>
          <w:p w14:paraId="1AD38C05" w14:textId="35B69784" w:rsidR="00FF299E" w:rsidRPr="00FF299E" w:rsidRDefault="00FF299E" w:rsidP="00FF299E">
            <w:pPr>
              <w:pStyle w:val="Heading2"/>
              <w:rPr>
                <w:sz w:val="28"/>
                <w:szCs w:val="18"/>
              </w:rPr>
            </w:pPr>
            <w:r w:rsidRPr="00FF299E">
              <w:rPr>
                <w:sz w:val="28"/>
                <w:szCs w:val="18"/>
              </w:rPr>
              <w:t>Using the</w:t>
            </w:r>
            <w:r w:rsidR="00351F2E">
              <w:rPr>
                <w:sz w:val="28"/>
                <w:szCs w:val="18"/>
              </w:rPr>
              <w:t xml:space="preserve"> Working Memory Model (Baddeley &amp; Hitch, 1974)</w:t>
            </w:r>
            <w:r w:rsidRPr="00FF299E">
              <w:rPr>
                <w:sz w:val="28"/>
                <w:szCs w:val="18"/>
              </w:rPr>
              <w:t xml:space="preserve"> from Cognitive Psychology to understand </w:t>
            </w:r>
            <w:r w:rsidR="000E131D">
              <w:rPr>
                <w:sz w:val="28"/>
                <w:szCs w:val="18"/>
              </w:rPr>
              <w:t xml:space="preserve">police </w:t>
            </w:r>
            <w:r w:rsidR="00E90514">
              <w:rPr>
                <w:sz w:val="28"/>
                <w:szCs w:val="18"/>
              </w:rPr>
              <w:t>failings in addressing antisocial behaviour</w:t>
            </w:r>
            <w:r w:rsidR="002803FF">
              <w:rPr>
                <w:sz w:val="28"/>
                <w:szCs w:val="18"/>
              </w:rPr>
              <w:t xml:space="preserve"> in a local authority</w:t>
            </w:r>
            <w:r w:rsidRPr="00FF299E">
              <w:rPr>
                <w:sz w:val="28"/>
                <w:szCs w:val="18"/>
              </w:rPr>
              <w:t xml:space="preserve">, and suggestions of new working practices/measures </w:t>
            </w:r>
            <w:r w:rsidR="00913380">
              <w:rPr>
                <w:sz w:val="28"/>
                <w:szCs w:val="18"/>
              </w:rPr>
              <w:t>b</w:t>
            </w:r>
            <w:r w:rsidRPr="00FF299E">
              <w:rPr>
                <w:sz w:val="28"/>
                <w:szCs w:val="18"/>
              </w:rPr>
              <w:t xml:space="preserve">ased upon knowledge of the cognitive mechanisms proposed by the theory.  </w:t>
            </w:r>
          </w:p>
          <w:p w14:paraId="296CFA90" w14:textId="77777777" w:rsidR="00FF299E" w:rsidRPr="003A798E" w:rsidRDefault="00FF299E"/>
        </w:tc>
      </w:tr>
    </w:tbl>
    <w:p w14:paraId="7FDB8637" w14:textId="14E5021D" w:rsidR="000C4ED1" w:rsidRPr="003A798E" w:rsidRDefault="000C4ED1"/>
    <w:tbl>
      <w:tblPr>
        <w:tblW w:w="10773" w:type="dxa"/>
        <w:shd w:val="clear" w:color="auto" w:fill="EDF0F4" w:themeFill="accent3"/>
        <w:tblLayout w:type="fixed"/>
        <w:tblCellMar>
          <w:left w:w="0" w:type="dxa"/>
          <w:right w:w="0" w:type="dxa"/>
        </w:tblCellMar>
        <w:tblLook w:val="0600" w:firstRow="0" w:lastRow="0" w:firstColumn="0" w:lastColumn="0" w:noHBand="1" w:noVBand="1"/>
      </w:tblPr>
      <w:tblGrid>
        <w:gridCol w:w="10773"/>
      </w:tblGrid>
      <w:tr w:rsidR="00766C02" w:rsidRPr="003A798E" w14:paraId="3B42F6A6" w14:textId="77777777" w:rsidTr="00FA38A4">
        <w:trPr>
          <w:trHeight w:val="5682"/>
        </w:trPr>
        <w:tc>
          <w:tcPr>
            <w:tcW w:w="10773" w:type="dxa"/>
            <w:shd w:val="clear" w:color="auto" w:fill="EDF0F4" w:themeFill="accent3"/>
          </w:tcPr>
          <w:p w14:paraId="1594F49B" w14:textId="1BC1788F" w:rsidR="00766C02" w:rsidRPr="003A798E" w:rsidRDefault="00766C02" w:rsidP="001205A1">
            <w:pPr>
              <w:pStyle w:val="Heading3"/>
            </w:pPr>
            <w:r>
              <w:lastRenderedPageBreak/>
              <w:t>BACKGROUND TO THE BRIEFING REPORT</w:t>
            </w:r>
          </w:p>
          <w:p w14:paraId="72F0928E" w14:textId="77777777" w:rsidR="00351F2E" w:rsidRDefault="00351F2E" w:rsidP="00351F2E">
            <w:pPr>
              <w:spacing w:line="360" w:lineRule="auto"/>
            </w:pPr>
          </w:p>
          <w:p w14:paraId="1A16F640" w14:textId="77777777" w:rsidR="00351F2E" w:rsidRDefault="00351F2E" w:rsidP="00351F2E">
            <w:pPr>
              <w:autoSpaceDE w:val="0"/>
              <w:autoSpaceDN w:val="0"/>
              <w:adjustRightInd w:val="0"/>
              <w:spacing w:line="360" w:lineRule="auto"/>
              <w:ind w:firstLine="720"/>
              <w:rPr>
                <w:rFonts w:ascii="Times New Roman" w:hAnsi="Times New Roman" w:cs="Times New Roman"/>
              </w:rPr>
            </w:pPr>
            <w:r w:rsidRPr="00CA6780">
              <w:rPr>
                <w:rFonts w:ascii="Times New Roman" w:hAnsi="Times New Roman" w:cs="Times New Roman"/>
              </w:rPr>
              <w:t xml:space="preserve"> </w:t>
            </w:r>
            <w:r>
              <w:rPr>
                <w:rFonts w:ascii="Times New Roman" w:hAnsi="Times New Roman" w:cs="Times New Roman"/>
              </w:rPr>
              <w:t>I</w:t>
            </w:r>
            <w:r w:rsidRPr="00CA6780">
              <w:rPr>
                <w:rFonts w:ascii="Times New Roman" w:hAnsi="Times New Roman" w:cs="Times New Roman"/>
              </w:rPr>
              <w:t xml:space="preserve">n October 2024, </w:t>
            </w:r>
            <w:proofErr w:type="spellStart"/>
            <w:r w:rsidRPr="00CA6780">
              <w:rPr>
                <w:rFonts w:ascii="Times New Roman" w:hAnsi="Times New Roman" w:cs="Times New Roman"/>
              </w:rPr>
              <w:t>Glynafonshire</w:t>
            </w:r>
            <w:proofErr w:type="spellEnd"/>
            <w:r w:rsidRPr="00CA6780">
              <w:rPr>
                <w:rFonts w:ascii="Times New Roman" w:hAnsi="Times New Roman" w:cs="Times New Roman"/>
              </w:rPr>
              <w:t xml:space="preserve"> County Council commissioned a case review in response to the local police force’s handling of rising antisocial </w:t>
            </w:r>
            <w:proofErr w:type="spellStart"/>
            <w:r w:rsidRPr="00CA6780">
              <w:rPr>
                <w:rFonts w:ascii="Times New Roman" w:hAnsi="Times New Roman" w:cs="Times New Roman"/>
              </w:rPr>
              <w:t>behaviour</w:t>
            </w:r>
            <w:proofErr w:type="spellEnd"/>
            <w:r w:rsidRPr="00CA6780">
              <w:rPr>
                <w:rFonts w:ascii="Times New Roman" w:hAnsi="Times New Roman" w:cs="Times New Roman"/>
              </w:rPr>
              <w:t xml:space="preserve">. </w:t>
            </w:r>
            <w:r>
              <w:rPr>
                <w:rFonts w:ascii="Times New Roman" w:hAnsi="Times New Roman" w:cs="Times New Roman"/>
              </w:rPr>
              <w:t>I</w:t>
            </w:r>
            <w:r w:rsidRPr="00CA6780">
              <w:rPr>
                <w:rFonts w:ascii="Times New Roman" w:hAnsi="Times New Roman" w:cs="Times New Roman"/>
              </w:rPr>
              <w:t xml:space="preserve">ncidents such as vandalism, public disturbances, reckless driving, and noise complaints from a specific group have significantly increased. Despite numerous community reports, police responses were frequently delayed and inconsistent. The </w:t>
            </w:r>
            <w:r>
              <w:rPr>
                <w:rFonts w:ascii="Times New Roman" w:hAnsi="Times New Roman" w:cs="Times New Roman"/>
              </w:rPr>
              <w:t xml:space="preserve">case </w:t>
            </w:r>
            <w:r w:rsidRPr="00CA6780">
              <w:rPr>
                <w:rFonts w:ascii="Times New Roman" w:hAnsi="Times New Roman" w:cs="Times New Roman"/>
              </w:rPr>
              <w:t xml:space="preserve">review identified multiple failings, including slow response times, inadequate follow-up procedures, limited patrol presence, poor </w:t>
            </w:r>
            <w:proofErr w:type="spellStart"/>
            <w:r w:rsidRPr="00CA6780">
              <w:rPr>
                <w:rFonts w:ascii="Times New Roman" w:hAnsi="Times New Roman" w:cs="Times New Roman"/>
              </w:rPr>
              <w:t>prioritisation</w:t>
            </w:r>
            <w:proofErr w:type="spellEnd"/>
            <w:r w:rsidRPr="00CA6780">
              <w:rPr>
                <w:rFonts w:ascii="Times New Roman" w:hAnsi="Times New Roman" w:cs="Times New Roman"/>
              </w:rPr>
              <w:t xml:space="preserve"> of resources, and weak community engagement. These issues contributed to a breakdown in public trust, heightened the risk of escalation, caused economic harm to local businesses, growing fear and frustration among residents.</w:t>
            </w:r>
          </w:p>
          <w:p w14:paraId="7DF1ABF2" w14:textId="77777777" w:rsidR="00351F2E" w:rsidRDefault="00351F2E" w:rsidP="00351F2E">
            <w:pPr>
              <w:autoSpaceDE w:val="0"/>
              <w:autoSpaceDN w:val="0"/>
              <w:adjustRightInd w:val="0"/>
              <w:spacing w:line="360" w:lineRule="auto"/>
              <w:rPr>
                <w:rFonts w:ascii="Times New Roman" w:hAnsi="Times New Roman" w:cs="Times New Roman"/>
              </w:rPr>
            </w:pPr>
          </w:p>
          <w:p w14:paraId="3B5E53AF" w14:textId="77777777" w:rsidR="00351F2E" w:rsidRDefault="00351F2E" w:rsidP="00351F2E">
            <w:pPr>
              <w:autoSpaceDE w:val="0"/>
              <w:autoSpaceDN w:val="0"/>
              <w:adjustRightInd w:val="0"/>
              <w:spacing w:line="360" w:lineRule="auto"/>
              <w:ind w:firstLine="720"/>
              <w:rPr>
                <w:rFonts w:ascii="Times New Roman" w:hAnsi="Times New Roman" w:cs="Times New Roman"/>
              </w:rPr>
            </w:pPr>
            <w:r w:rsidRPr="00CA6780">
              <w:rPr>
                <w:rFonts w:ascii="Times New Roman" w:hAnsi="Times New Roman" w:cs="Times New Roman"/>
              </w:rPr>
              <w:t xml:space="preserve">The situation culminated in a violent incident on June 8th, 2024, near a community park, where police took 53 minutes to respond. The incident resulted in several injuries and </w:t>
            </w:r>
            <w:proofErr w:type="spellStart"/>
            <w:r w:rsidRPr="00CA6780">
              <w:rPr>
                <w:rFonts w:ascii="Times New Roman" w:hAnsi="Times New Roman" w:cs="Times New Roman"/>
              </w:rPr>
              <w:t>hospitalisations</w:t>
            </w:r>
            <w:proofErr w:type="spellEnd"/>
            <w:r w:rsidRPr="00CA6780">
              <w:rPr>
                <w:rFonts w:ascii="Times New Roman" w:hAnsi="Times New Roman" w:cs="Times New Roman"/>
              </w:rPr>
              <w:t xml:space="preserve">, deepening public concerns about police effectiveness. </w:t>
            </w:r>
            <w:r w:rsidRPr="00861DD2">
              <w:rPr>
                <w:rFonts w:ascii="Times New Roman" w:hAnsi="Times New Roman" w:cs="Times New Roman"/>
              </w:rPr>
              <w:t>The Chief Superintendent, Catrin Wyn-James</w:t>
            </w:r>
            <w:r>
              <w:rPr>
                <w:rFonts w:ascii="Times New Roman" w:hAnsi="Times New Roman" w:cs="Times New Roman"/>
              </w:rPr>
              <w:t>,</w:t>
            </w:r>
            <w:r w:rsidRPr="00CA6780">
              <w:rPr>
                <w:rFonts w:ascii="Times New Roman" w:hAnsi="Times New Roman" w:cs="Times New Roman"/>
              </w:rPr>
              <w:t xml:space="preserve"> cited several challenges contributing to the failings: limited resources due to budget cuts and staff shortages, rising call volumes, the complexity of antisocial </w:t>
            </w:r>
            <w:proofErr w:type="spellStart"/>
            <w:r w:rsidRPr="00CA6780">
              <w:rPr>
                <w:rFonts w:ascii="Times New Roman" w:hAnsi="Times New Roman" w:cs="Times New Roman"/>
              </w:rPr>
              <w:t>behaviour</w:t>
            </w:r>
            <w:proofErr w:type="spellEnd"/>
            <w:r w:rsidRPr="00CA6780">
              <w:rPr>
                <w:rFonts w:ascii="Times New Roman" w:hAnsi="Times New Roman" w:cs="Times New Roman"/>
              </w:rPr>
              <w:t xml:space="preserve"> (linked to mental health, substance misuse, and poverty), legal and procedural constraints, and low community engagement and underreporting.</w:t>
            </w:r>
            <w:r>
              <w:rPr>
                <w:rFonts w:ascii="Times New Roman" w:hAnsi="Times New Roman" w:cs="Times New Roman"/>
              </w:rPr>
              <w:t xml:space="preserve"> </w:t>
            </w:r>
          </w:p>
          <w:p w14:paraId="2CBD224A" w14:textId="77777777" w:rsidR="00351F2E" w:rsidRDefault="00351F2E" w:rsidP="00351F2E">
            <w:pPr>
              <w:autoSpaceDE w:val="0"/>
              <w:autoSpaceDN w:val="0"/>
              <w:adjustRightInd w:val="0"/>
              <w:spacing w:line="360" w:lineRule="auto"/>
              <w:ind w:firstLine="720"/>
              <w:rPr>
                <w:rFonts w:ascii="Times New Roman" w:hAnsi="Times New Roman" w:cs="Times New Roman"/>
              </w:rPr>
            </w:pPr>
          </w:p>
          <w:p w14:paraId="6ED92FD2" w14:textId="77777777" w:rsidR="00351F2E" w:rsidRPr="00871D22" w:rsidRDefault="00351F2E" w:rsidP="00351F2E">
            <w:pPr>
              <w:autoSpaceDE w:val="0"/>
              <w:autoSpaceDN w:val="0"/>
              <w:adjustRightInd w:val="0"/>
              <w:spacing w:line="360" w:lineRule="auto"/>
              <w:ind w:firstLine="720"/>
              <w:rPr>
                <w:rFonts w:ascii="Times New Roman" w:hAnsi="Times New Roman" w:cs="Times New Roman"/>
              </w:rPr>
            </w:pPr>
            <w:r w:rsidRPr="00CA6780">
              <w:rPr>
                <w:rFonts w:ascii="Times New Roman" w:hAnsi="Times New Roman" w:cs="Times New Roman"/>
              </w:rPr>
              <w:t xml:space="preserve">Given the police’s role in public safety, the findings highlighted the urgent need for reform. The goal was to enhance the handling of antisocial </w:t>
            </w:r>
            <w:proofErr w:type="spellStart"/>
            <w:r w:rsidRPr="00CA6780">
              <w:rPr>
                <w:rFonts w:ascii="Times New Roman" w:hAnsi="Times New Roman" w:cs="Times New Roman"/>
              </w:rPr>
              <w:t>behaviour</w:t>
            </w:r>
            <w:proofErr w:type="spellEnd"/>
            <w:r w:rsidRPr="00CA6780">
              <w:rPr>
                <w:rFonts w:ascii="Times New Roman" w:hAnsi="Times New Roman" w:cs="Times New Roman"/>
              </w:rPr>
              <w:t xml:space="preserve">, rebuild public trust, and </w:t>
            </w:r>
            <w:r>
              <w:rPr>
                <w:rFonts w:ascii="Times New Roman" w:hAnsi="Times New Roman" w:cs="Times New Roman"/>
              </w:rPr>
              <w:t>encourage</w:t>
            </w:r>
            <w:r w:rsidRPr="00CA6780">
              <w:rPr>
                <w:rFonts w:ascii="Times New Roman" w:hAnsi="Times New Roman" w:cs="Times New Roman"/>
              </w:rPr>
              <w:t xml:space="preserve"> a safer environment. This briefing report will examine how Cognitive Psychology, specifically, the Working Memory Model (WMM</w:t>
            </w:r>
            <w:r>
              <w:rPr>
                <w:rFonts w:ascii="Times New Roman" w:hAnsi="Times New Roman" w:cs="Times New Roman"/>
              </w:rPr>
              <w:t>; Badd</w:t>
            </w:r>
            <w:r w:rsidRPr="003F7F6D">
              <w:rPr>
                <w:rFonts w:ascii="Times New Roman" w:hAnsi="Times New Roman" w:cs="Times New Roman"/>
              </w:rPr>
              <w:t xml:space="preserve">eley </w:t>
            </w:r>
            <w:r>
              <w:rPr>
                <w:rFonts w:ascii="Times New Roman" w:hAnsi="Times New Roman" w:cs="Times New Roman"/>
              </w:rPr>
              <w:t>&amp;</w:t>
            </w:r>
            <w:r w:rsidRPr="003F7F6D">
              <w:rPr>
                <w:rFonts w:ascii="Times New Roman" w:hAnsi="Times New Roman" w:cs="Times New Roman"/>
              </w:rPr>
              <w:t xml:space="preserve"> Hitch</w:t>
            </w:r>
            <w:r>
              <w:rPr>
                <w:rFonts w:ascii="Times New Roman" w:hAnsi="Times New Roman" w:cs="Times New Roman"/>
              </w:rPr>
              <w:t xml:space="preserve">, </w:t>
            </w:r>
            <w:r w:rsidRPr="003F7F6D">
              <w:rPr>
                <w:rFonts w:ascii="Times New Roman" w:hAnsi="Times New Roman" w:cs="Times New Roman"/>
              </w:rPr>
              <w:t>1974</w:t>
            </w:r>
            <w:r w:rsidRPr="00CA6780">
              <w:rPr>
                <w:rFonts w:ascii="Times New Roman" w:hAnsi="Times New Roman" w:cs="Times New Roman"/>
              </w:rPr>
              <w:t>), can help explain the causes of these failures and propose strategies to enhance police procedures and prevent future incidents.</w:t>
            </w:r>
          </w:p>
          <w:p w14:paraId="514E3B4F" w14:textId="1D0C7B4F" w:rsidR="00766C02" w:rsidRPr="003A798E" w:rsidRDefault="00766C02" w:rsidP="00351F2E">
            <w:pPr>
              <w:autoSpaceDE w:val="0"/>
              <w:autoSpaceDN w:val="0"/>
              <w:adjustRightInd w:val="0"/>
              <w:spacing w:line="360" w:lineRule="auto"/>
              <w:ind w:firstLine="720"/>
            </w:pPr>
          </w:p>
        </w:tc>
      </w:tr>
      <w:tr w:rsidR="00766C02" w:rsidRPr="003A798E" w14:paraId="7720E703" w14:textId="77777777" w:rsidTr="00FA38A4">
        <w:trPr>
          <w:trHeight w:val="7629"/>
        </w:trPr>
        <w:tc>
          <w:tcPr>
            <w:tcW w:w="10773" w:type="dxa"/>
            <w:shd w:val="clear" w:color="auto" w:fill="EDF0F4" w:themeFill="accent3"/>
          </w:tcPr>
          <w:p w14:paraId="5B2807DB" w14:textId="4CFD915F" w:rsidR="00766C02" w:rsidRDefault="00766C02" w:rsidP="00766C02">
            <w:pPr>
              <w:pStyle w:val="Heading3"/>
            </w:pPr>
            <w:r>
              <w:lastRenderedPageBreak/>
              <w:t xml:space="preserve">THE </w:t>
            </w:r>
            <w:r w:rsidR="00351F2E">
              <w:t>WORKING MEMORY MODEL (BADDELEY &amp; HITCH, 1974)</w:t>
            </w:r>
            <w:r>
              <w:t xml:space="preserve"> </w:t>
            </w:r>
          </w:p>
          <w:p w14:paraId="7EA315AD" w14:textId="77777777" w:rsidR="00351F2E" w:rsidRDefault="00351F2E" w:rsidP="00351F2E"/>
          <w:p w14:paraId="0D1C4375" w14:textId="77777777" w:rsidR="00351F2E" w:rsidRDefault="00351F2E" w:rsidP="00351F2E">
            <w:pPr>
              <w:spacing w:line="360" w:lineRule="auto"/>
              <w:ind w:firstLine="720"/>
              <w:rPr>
                <w:rFonts w:ascii="Times New Roman" w:hAnsi="Times New Roman" w:cs="Times New Roman"/>
              </w:rPr>
            </w:pPr>
            <w:r w:rsidRPr="003F7F6D">
              <w:rPr>
                <w:rFonts w:ascii="Times New Roman" w:hAnsi="Times New Roman" w:cs="Times New Roman"/>
              </w:rPr>
              <w:t xml:space="preserve">WMM, </w:t>
            </w:r>
            <w:r>
              <w:rPr>
                <w:rFonts w:ascii="Times New Roman" w:hAnsi="Times New Roman" w:cs="Times New Roman"/>
              </w:rPr>
              <w:t>as expanded by Baddeley (2000), based on the original model by Baddeley and Hitch (1974),</w:t>
            </w:r>
            <w:r w:rsidRPr="003F7F6D">
              <w:rPr>
                <w:rFonts w:ascii="Times New Roman" w:hAnsi="Times New Roman" w:cs="Times New Roman"/>
              </w:rPr>
              <w:t xml:space="preserve"> is a </w:t>
            </w:r>
            <w:r>
              <w:rPr>
                <w:rFonts w:ascii="Times New Roman" w:hAnsi="Times New Roman" w:cs="Times New Roman"/>
              </w:rPr>
              <w:t>central</w:t>
            </w:r>
            <w:r w:rsidRPr="003F7F6D">
              <w:rPr>
                <w:rFonts w:ascii="Times New Roman" w:hAnsi="Times New Roman" w:cs="Times New Roman"/>
              </w:rPr>
              <w:t xml:space="preserve"> </w:t>
            </w:r>
            <w:r>
              <w:rPr>
                <w:rFonts w:ascii="Times New Roman" w:hAnsi="Times New Roman" w:cs="Times New Roman"/>
              </w:rPr>
              <w:t>model</w:t>
            </w:r>
            <w:r w:rsidRPr="003F7F6D">
              <w:rPr>
                <w:rFonts w:ascii="Times New Roman" w:hAnsi="Times New Roman" w:cs="Times New Roman"/>
              </w:rPr>
              <w:t xml:space="preserve"> in cognitive psychology that clarifies how </w:t>
            </w:r>
            <w:r>
              <w:rPr>
                <w:rFonts w:ascii="Times New Roman" w:hAnsi="Times New Roman" w:cs="Times New Roman"/>
              </w:rPr>
              <w:t>data</w:t>
            </w:r>
            <w:r w:rsidRPr="003F7F6D">
              <w:rPr>
                <w:rFonts w:ascii="Times New Roman" w:hAnsi="Times New Roman" w:cs="Times New Roman"/>
              </w:rPr>
              <w:t xml:space="preserve"> is provisionally </w:t>
            </w:r>
            <w:r>
              <w:rPr>
                <w:rFonts w:ascii="Times New Roman" w:hAnsi="Times New Roman" w:cs="Times New Roman"/>
              </w:rPr>
              <w:t xml:space="preserve">held and actively processed during cognitive tasks (Eysenck &amp; Keane, 2020). </w:t>
            </w:r>
            <w:r w:rsidRPr="00CA6780">
              <w:rPr>
                <w:rFonts w:ascii="Times New Roman" w:eastAsia="Times New Roman" w:hAnsi="Times New Roman" w:cs="Times New Roman"/>
                <w:lang w:eastAsia="en-GB"/>
              </w:rPr>
              <w:t>The model emerged as a response to the limitations o</w:t>
            </w:r>
            <w:r>
              <w:rPr>
                <w:rFonts w:ascii="Times New Roman" w:eastAsia="Times New Roman" w:hAnsi="Times New Roman" w:cs="Times New Roman"/>
                <w:lang w:eastAsia="en-GB"/>
              </w:rPr>
              <w:t xml:space="preserve">n </w:t>
            </w:r>
            <w:r w:rsidRPr="00CA6780">
              <w:rPr>
                <w:rFonts w:ascii="Times New Roman" w:eastAsia="Times New Roman" w:hAnsi="Times New Roman" w:cs="Times New Roman"/>
                <w:lang w:eastAsia="en-GB"/>
              </w:rPr>
              <w:t xml:space="preserve">research on short-term memory, which was </w:t>
            </w:r>
            <w:r>
              <w:rPr>
                <w:rFonts w:ascii="Times New Roman" w:eastAsia="Times New Roman" w:hAnsi="Times New Roman" w:cs="Times New Roman"/>
                <w:lang w:eastAsia="en-GB"/>
              </w:rPr>
              <w:t>primari</w:t>
            </w:r>
            <w:r w:rsidRPr="00CA6780">
              <w:rPr>
                <w:rFonts w:ascii="Times New Roman" w:eastAsia="Times New Roman" w:hAnsi="Times New Roman" w:cs="Times New Roman"/>
                <w:lang w:eastAsia="en-GB"/>
              </w:rPr>
              <w:t>ly regarded as a passive, single-store system</w:t>
            </w:r>
            <w:r>
              <w:rPr>
                <w:rFonts w:ascii="Times New Roman" w:eastAsia="Times New Roman" w:hAnsi="Times New Roman" w:cs="Times New Roman"/>
                <w:lang w:eastAsia="en-GB"/>
              </w:rPr>
              <w:t xml:space="preserve"> (Barak &amp; </w:t>
            </w:r>
            <w:proofErr w:type="spellStart"/>
            <w:r>
              <w:rPr>
                <w:rFonts w:ascii="Times New Roman" w:eastAsia="Times New Roman" w:hAnsi="Times New Roman" w:cs="Times New Roman"/>
                <w:lang w:eastAsia="en-GB"/>
              </w:rPr>
              <w:t>Tsodyks</w:t>
            </w:r>
            <w:proofErr w:type="spellEnd"/>
            <w:r>
              <w:rPr>
                <w:rFonts w:ascii="Times New Roman" w:eastAsia="Times New Roman" w:hAnsi="Times New Roman" w:cs="Times New Roman"/>
                <w:lang w:eastAsia="en-GB"/>
              </w:rPr>
              <w:t xml:space="preserve">, 2014; </w:t>
            </w:r>
            <w:r>
              <w:rPr>
                <w:rFonts w:ascii="Times New Roman" w:hAnsi="Times New Roman" w:cs="Times New Roman"/>
              </w:rPr>
              <w:t xml:space="preserve">Towse et al., 2025). </w:t>
            </w:r>
            <w:r w:rsidRPr="003F7F6D">
              <w:rPr>
                <w:rFonts w:ascii="Times New Roman" w:hAnsi="Times New Roman" w:cs="Times New Roman"/>
              </w:rPr>
              <w:t>Baddeley and Hitch (1974)</w:t>
            </w:r>
            <w:r>
              <w:rPr>
                <w:rFonts w:ascii="Times New Roman" w:hAnsi="Times New Roman" w:cs="Times New Roman"/>
              </w:rPr>
              <w:t xml:space="preserve"> adopted a more dynamic approach, moving beyond repetitive experimentation to pose broader questions about the function of short-term memory in everyday cognition (Towse et al., 2025). </w:t>
            </w:r>
            <w:r w:rsidRPr="003F7F6D">
              <w:rPr>
                <w:rFonts w:ascii="Times New Roman" w:hAnsi="Times New Roman" w:cs="Times New Roman"/>
              </w:rPr>
              <w:t>Baddeley and Hitch (1974</w:t>
            </w:r>
            <w:r>
              <w:rPr>
                <w:rFonts w:ascii="Times New Roman" w:hAnsi="Times New Roman" w:cs="Times New Roman"/>
              </w:rPr>
              <w:t xml:space="preserve">) found that individuals could perform a verbal reasoning task while simultaneously remembering a string of digits, suggesting that multiple components within working memory can operate independently. The model </w:t>
            </w:r>
            <w:proofErr w:type="spellStart"/>
            <w:r>
              <w:rPr>
                <w:rFonts w:ascii="Times New Roman" w:hAnsi="Times New Roman" w:cs="Times New Roman"/>
              </w:rPr>
              <w:t>conceptualises</w:t>
            </w:r>
            <w:proofErr w:type="spellEnd"/>
            <w:r>
              <w:rPr>
                <w:rFonts w:ascii="Times New Roman" w:hAnsi="Times New Roman" w:cs="Times New Roman"/>
              </w:rPr>
              <w:t xml:space="preserve"> short-term memory as an active, integrated system that supports the performance of complex mental processes, such as</w:t>
            </w:r>
            <w:r w:rsidRPr="003F7F6D">
              <w:rPr>
                <w:rFonts w:ascii="Times New Roman" w:hAnsi="Times New Roman" w:cs="Times New Roman"/>
              </w:rPr>
              <w:t xml:space="preserve"> reasoning, </w:t>
            </w:r>
            <w:r>
              <w:rPr>
                <w:rFonts w:ascii="Times New Roman" w:hAnsi="Times New Roman" w:cs="Times New Roman"/>
              </w:rPr>
              <w:t>learning</w:t>
            </w:r>
            <w:r w:rsidRPr="003F7F6D">
              <w:rPr>
                <w:rFonts w:ascii="Times New Roman" w:hAnsi="Times New Roman" w:cs="Times New Roman"/>
              </w:rPr>
              <w:t xml:space="preserve">, and </w:t>
            </w:r>
            <w:r>
              <w:rPr>
                <w:rFonts w:ascii="Times New Roman" w:hAnsi="Times New Roman" w:cs="Times New Roman"/>
              </w:rPr>
              <w:t xml:space="preserve">language </w:t>
            </w:r>
            <w:r w:rsidRPr="003F7F6D">
              <w:rPr>
                <w:rFonts w:ascii="Times New Roman" w:hAnsi="Times New Roman" w:cs="Times New Roman"/>
              </w:rPr>
              <w:t>comprehension</w:t>
            </w:r>
            <w:r>
              <w:rPr>
                <w:rFonts w:ascii="Times New Roman" w:hAnsi="Times New Roman" w:cs="Times New Roman"/>
              </w:rPr>
              <w:t xml:space="preserve"> (</w:t>
            </w:r>
            <w:r w:rsidRPr="003F7F6D">
              <w:rPr>
                <w:rFonts w:ascii="Times New Roman" w:hAnsi="Times New Roman" w:cs="Times New Roman"/>
              </w:rPr>
              <w:t xml:space="preserve">Baddeley </w:t>
            </w:r>
            <w:r>
              <w:rPr>
                <w:rFonts w:ascii="Times New Roman" w:hAnsi="Times New Roman" w:cs="Times New Roman"/>
              </w:rPr>
              <w:t>&amp;</w:t>
            </w:r>
            <w:r w:rsidRPr="003F7F6D">
              <w:rPr>
                <w:rFonts w:ascii="Times New Roman" w:hAnsi="Times New Roman" w:cs="Times New Roman"/>
              </w:rPr>
              <w:t xml:space="preserve"> Hitch</w:t>
            </w:r>
            <w:r>
              <w:rPr>
                <w:rFonts w:ascii="Times New Roman" w:hAnsi="Times New Roman" w:cs="Times New Roman"/>
              </w:rPr>
              <w:t xml:space="preserve">, 1974; Eysenck &amp; Keane, 2020; Towse et al., 2025). A closer examination of WMM mechanisms can offer further insights into how specific cognitive processes operate. </w:t>
            </w:r>
          </w:p>
          <w:p w14:paraId="1054A737" w14:textId="77777777" w:rsidR="00351F2E" w:rsidRPr="00D57CEC" w:rsidRDefault="00351F2E" w:rsidP="00351F2E">
            <w:pPr>
              <w:spacing w:line="360" w:lineRule="auto"/>
              <w:ind w:firstLine="720"/>
              <w:rPr>
                <w:rFonts w:ascii="Times New Roman" w:hAnsi="Times New Roman" w:cs="Times New Roman"/>
              </w:rPr>
            </w:pPr>
          </w:p>
          <w:p w14:paraId="1A9F95F1" w14:textId="77777777" w:rsidR="00351F2E" w:rsidRPr="00F07A72" w:rsidRDefault="00351F2E" w:rsidP="00351F2E">
            <w:pPr>
              <w:spacing w:line="360" w:lineRule="auto"/>
              <w:ind w:firstLine="720"/>
              <w:rPr>
                <w:rFonts w:ascii="Times New Roman" w:hAnsi="Times New Roman" w:cs="Times New Roman"/>
              </w:rPr>
            </w:pPr>
            <w:r w:rsidRPr="00CA6780">
              <w:rPr>
                <w:rFonts w:ascii="Times New Roman" w:eastAsia="Times New Roman" w:hAnsi="Times New Roman" w:cs="Times New Roman"/>
                <w:lang w:eastAsia="en-GB"/>
              </w:rPr>
              <w:t>The WMM proposes four components</w:t>
            </w:r>
            <w:r>
              <w:rPr>
                <w:rFonts w:ascii="Times New Roman" w:eastAsia="Times New Roman" w:hAnsi="Times New Roman" w:cs="Times New Roman"/>
                <w:lang w:eastAsia="en-GB"/>
              </w:rPr>
              <w:t>, e</w:t>
            </w:r>
            <w:r w:rsidRPr="00CA6780">
              <w:rPr>
                <w:rFonts w:ascii="Times New Roman" w:eastAsia="Times New Roman" w:hAnsi="Times New Roman" w:cs="Times New Roman"/>
                <w:lang w:eastAsia="en-GB"/>
              </w:rPr>
              <w:t xml:space="preserve">ach </w:t>
            </w:r>
            <w:r>
              <w:rPr>
                <w:rFonts w:ascii="Times New Roman" w:eastAsia="Times New Roman" w:hAnsi="Times New Roman" w:cs="Times New Roman"/>
                <w:lang w:eastAsia="en-GB"/>
              </w:rPr>
              <w:t>serving</w:t>
            </w:r>
            <w:r w:rsidRPr="00CA6780">
              <w:rPr>
                <w:rFonts w:ascii="Times New Roman" w:eastAsia="Times New Roman" w:hAnsi="Times New Roman" w:cs="Times New Roman"/>
                <w:lang w:eastAsia="en-GB"/>
              </w:rPr>
              <w:t xml:space="preserve"> a distinct role in processing and storing information</w:t>
            </w:r>
            <w:r>
              <w:rPr>
                <w:rFonts w:ascii="Times New Roman" w:eastAsia="Times New Roman" w:hAnsi="Times New Roman" w:cs="Times New Roman"/>
                <w:lang w:eastAsia="en-GB"/>
              </w:rPr>
              <w:t xml:space="preserve"> (</w:t>
            </w:r>
            <w:r w:rsidRPr="00B97DB6">
              <w:rPr>
                <w:rFonts w:ascii="Times New Roman" w:hAnsi="Times New Roman" w:cs="Times New Roman"/>
              </w:rPr>
              <w:t>Eysenck &amp; Keane, 2020</w:t>
            </w:r>
            <w:r>
              <w:rPr>
                <w:rFonts w:ascii="Times New Roman" w:hAnsi="Times New Roman" w:cs="Times New Roman"/>
              </w:rPr>
              <w:t>)</w:t>
            </w:r>
            <w:r w:rsidRPr="00CA6780">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Firstly, t</w:t>
            </w:r>
            <w:r w:rsidRPr="00CA6780">
              <w:rPr>
                <w:rFonts w:ascii="Times New Roman" w:eastAsia="Times New Roman" w:hAnsi="Times New Roman" w:cs="Times New Roman"/>
                <w:lang w:eastAsia="en-GB"/>
              </w:rPr>
              <w:t>he central executive</w:t>
            </w:r>
            <w:r>
              <w:rPr>
                <w:rFonts w:ascii="Times New Roman" w:eastAsia="Times New Roman" w:hAnsi="Times New Roman" w:cs="Times New Roman"/>
                <w:lang w:eastAsia="en-GB"/>
              </w:rPr>
              <w:t xml:space="preserve">, </w:t>
            </w:r>
            <w:r w:rsidRPr="00CA6780">
              <w:rPr>
                <w:rFonts w:ascii="Times New Roman" w:eastAsia="Times New Roman" w:hAnsi="Times New Roman" w:cs="Times New Roman"/>
                <w:lang w:eastAsia="en-GB"/>
              </w:rPr>
              <w:t>believed to rely heavily on the prefrontal cortex (</w:t>
            </w:r>
            <w:proofErr w:type="spellStart"/>
            <w:r w:rsidRPr="00CA6780">
              <w:rPr>
                <w:rFonts w:ascii="Times New Roman" w:eastAsia="Times New Roman" w:hAnsi="Times New Roman" w:cs="Times New Roman"/>
                <w:lang w:eastAsia="en-GB"/>
              </w:rPr>
              <w:t>Funahashi</w:t>
            </w:r>
            <w:proofErr w:type="spellEnd"/>
            <w:r w:rsidRPr="00CA6780">
              <w:rPr>
                <w:rFonts w:ascii="Times New Roman" w:eastAsia="Times New Roman" w:hAnsi="Times New Roman" w:cs="Times New Roman"/>
                <w:lang w:eastAsia="en-GB"/>
              </w:rPr>
              <w:t>, 2017)</w:t>
            </w:r>
            <w:r>
              <w:rPr>
                <w:rFonts w:ascii="Times New Roman" w:eastAsia="Times New Roman" w:hAnsi="Times New Roman" w:cs="Times New Roman"/>
                <w:lang w:eastAsia="en-GB"/>
              </w:rPr>
              <w:t xml:space="preserve">, </w:t>
            </w:r>
            <w:r w:rsidRPr="00CA6780">
              <w:rPr>
                <w:rFonts w:ascii="Times New Roman" w:eastAsia="Times New Roman" w:hAnsi="Times New Roman" w:cs="Times New Roman"/>
                <w:lang w:eastAsia="en-GB"/>
              </w:rPr>
              <w:t xml:space="preserve">is the </w:t>
            </w:r>
            <w:r>
              <w:rPr>
                <w:rFonts w:ascii="Times New Roman" w:eastAsia="Times New Roman" w:hAnsi="Times New Roman" w:cs="Times New Roman"/>
                <w:lang w:eastAsia="en-GB"/>
              </w:rPr>
              <w:t xml:space="preserve">primary control system responsible for focusing, dividing, and switching </w:t>
            </w:r>
            <w:r>
              <w:rPr>
                <w:rFonts w:ascii="Times New Roman" w:hAnsi="Times New Roman" w:cs="Times New Roman"/>
              </w:rPr>
              <w:t xml:space="preserve">attention, thereby engaging in complex cognitive tasks </w:t>
            </w:r>
            <w:r w:rsidRPr="00B97DB6">
              <w:rPr>
                <w:rFonts w:ascii="Times New Roman" w:hAnsi="Times New Roman" w:cs="Times New Roman"/>
              </w:rPr>
              <w:t>(Baddeley, 1996; Eysenck &amp; Keane, 2020)</w:t>
            </w:r>
            <w:r>
              <w:rPr>
                <w:rFonts w:ascii="Times New Roman" w:hAnsi="Times New Roman" w:cs="Times New Roman"/>
              </w:rPr>
              <w:t>.</w:t>
            </w:r>
            <w:r>
              <w:rPr>
                <w:rFonts w:ascii="Times New Roman" w:eastAsia="Times New Roman" w:hAnsi="Times New Roman" w:cs="Times New Roman"/>
                <w:lang w:eastAsia="en-GB"/>
              </w:rPr>
              <w:t xml:space="preserve"> </w:t>
            </w:r>
            <w:r w:rsidRPr="00C24039">
              <w:rPr>
                <w:rFonts w:ascii="Times New Roman" w:hAnsi="Times New Roman" w:cs="Times New Roman"/>
              </w:rPr>
              <w:t>Rather than storing information itself, the central executive divides and allocates limited cognitive resources to the other sub</w:t>
            </w:r>
            <w:r>
              <w:rPr>
                <w:rFonts w:ascii="Times New Roman" w:hAnsi="Times New Roman" w:cs="Times New Roman"/>
              </w:rPr>
              <w:t>-components</w:t>
            </w:r>
            <w:r w:rsidRPr="00C24039">
              <w:rPr>
                <w:rFonts w:ascii="Times New Roman" w:hAnsi="Times New Roman" w:cs="Times New Roman"/>
              </w:rPr>
              <w:t xml:space="preserve"> based on their current demands, ensuring efficient processing (Eysenck &amp; Keane, 2020</w:t>
            </w:r>
            <w:r>
              <w:rPr>
                <w:rFonts w:ascii="Times New Roman" w:hAnsi="Times New Roman" w:cs="Times New Roman"/>
              </w:rPr>
              <w:t xml:space="preserve">; </w:t>
            </w:r>
            <w:proofErr w:type="spellStart"/>
            <w:r w:rsidRPr="00CA6780">
              <w:rPr>
                <w:rFonts w:ascii="Times New Roman" w:eastAsia="Times New Roman" w:hAnsi="Times New Roman" w:cs="Times New Roman"/>
                <w:lang w:eastAsia="en-GB"/>
              </w:rPr>
              <w:t>Funahashi</w:t>
            </w:r>
            <w:proofErr w:type="spellEnd"/>
            <w:r w:rsidRPr="00CA6780">
              <w:rPr>
                <w:rFonts w:ascii="Times New Roman" w:eastAsia="Times New Roman" w:hAnsi="Times New Roman" w:cs="Times New Roman"/>
                <w:lang w:eastAsia="en-GB"/>
              </w:rPr>
              <w:t>, 2017</w:t>
            </w:r>
            <w:r w:rsidRPr="00C24039">
              <w:rPr>
                <w:rFonts w:ascii="Times New Roman" w:hAnsi="Times New Roman" w:cs="Times New Roman"/>
              </w:rPr>
              <w:t>).</w:t>
            </w:r>
            <w:r>
              <w:rPr>
                <w:rFonts w:ascii="Times New Roman" w:eastAsia="Times New Roman" w:hAnsi="Times New Roman" w:cs="Times New Roman"/>
                <w:lang w:eastAsia="en-GB"/>
              </w:rPr>
              <w:t xml:space="preserve"> However, Baddeley’s (1996) research demonstrated that concurrent verbal or spatial tasks caused interference and impaired random number generation, highlighting its limited capacity, particularly in terms of attentional control during dual-task performance. Furthermore, Chen and Bailey’s (2021) meta-analysis of dual-task studies found that arithmetic performance declined most significantly when the secondary activity engaged the central executive. This proposes that the central executive is the most demanding constituent of working memory and prone to overload, affecting its functions, due to its limited capacity during complex tasks (Baddeley, 1996; Chen &amp; Bailey, 2021).</w:t>
            </w:r>
          </w:p>
          <w:p w14:paraId="7747F16D" w14:textId="77777777" w:rsidR="00351F2E" w:rsidRPr="00C27D92" w:rsidRDefault="00351F2E" w:rsidP="00351F2E">
            <w:pPr>
              <w:spacing w:line="360" w:lineRule="auto"/>
              <w:ind w:firstLine="720"/>
              <w:rPr>
                <w:rFonts w:ascii="Times New Roman" w:eastAsia="Times New Roman" w:hAnsi="Times New Roman" w:cs="Times New Roman"/>
                <w:lang w:eastAsia="en-GB"/>
              </w:rPr>
            </w:pPr>
          </w:p>
          <w:p w14:paraId="1E05C940" w14:textId="77777777" w:rsidR="00351F2E" w:rsidRPr="00FC2274" w:rsidRDefault="00351F2E" w:rsidP="00351F2E">
            <w:pPr>
              <w:autoSpaceDE w:val="0"/>
              <w:autoSpaceDN w:val="0"/>
              <w:adjustRightInd w:val="0"/>
              <w:spacing w:line="360" w:lineRule="auto"/>
              <w:ind w:firstLine="720"/>
              <w:rPr>
                <w:rFonts w:ascii="Times New Roman" w:hAnsi="Times New Roman" w:cs="Times New Roman"/>
                <w:kern w:val="2"/>
              </w:rPr>
            </w:pPr>
            <w:r w:rsidRPr="009840E8">
              <w:rPr>
                <w:rFonts w:ascii="Times New Roman" w:hAnsi="Times New Roman" w:cs="Times New Roman"/>
              </w:rPr>
              <w:t>Secondly, the phonological loop</w:t>
            </w:r>
            <w:r>
              <w:rPr>
                <w:rFonts w:ascii="Times New Roman" w:hAnsi="Times New Roman" w:cs="Times New Roman"/>
              </w:rPr>
              <w:t>,</w:t>
            </w:r>
            <w:r w:rsidRPr="009840E8">
              <w:rPr>
                <w:rFonts w:ascii="Times New Roman" w:hAnsi="Times New Roman" w:cs="Times New Roman"/>
              </w:rPr>
              <w:t xml:space="preserve"> </w:t>
            </w:r>
            <w:r>
              <w:rPr>
                <w:rFonts w:ascii="Times New Roman" w:hAnsi="Times New Roman" w:cs="Times New Roman"/>
              </w:rPr>
              <w:t xml:space="preserve">a </w:t>
            </w:r>
            <w:r w:rsidRPr="009840E8">
              <w:rPr>
                <w:rFonts w:ascii="Times New Roman" w:hAnsi="Times New Roman" w:cs="Times New Roman"/>
              </w:rPr>
              <w:t>limited-capacity system</w:t>
            </w:r>
            <w:r>
              <w:rPr>
                <w:rFonts w:ascii="Times New Roman" w:hAnsi="Times New Roman" w:cs="Times New Roman"/>
              </w:rPr>
              <w:t>, is</w:t>
            </w:r>
            <w:r w:rsidRPr="009840E8">
              <w:rPr>
                <w:rFonts w:ascii="Times New Roman" w:hAnsi="Times New Roman" w:cs="Times New Roman"/>
              </w:rPr>
              <w:t xml:space="preserve"> involved in processing and storing verbal and auditory information, </w:t>
            </w:r>
            <w:r>
              <w:rPr>
                <w:rFonts w:ascii="Times New Roman" w:hAnsi="Times New Roman" w:cs="Times New Roman"/>
              </w:rPr>
              <w:t xml:space="preserve">with </w:t>
            </w:r>
            <w:r w:rsidRPr="009840E8">
              <w:rPr>
                <w:rFonts w:ascii="Times New Roman" w:hAnsi="Times New Roman" w:cs="Times New Roman"/>
              </w:rPr>
              <w:t xml:space="preserve">two mechanisms: the phonological store, which passively stores </w:t>
            </w:r>
            <w:r>
              <w:rPr>
                <w:rFonts w:ascii="Times New Roman" w:hAnsi="Times New Roman" w:cs="Times New Roman"/>
              </w:rPr>
              <w:t>verbal expression</w:t>
            </w:r>
            <w:r w:rsidRPr="009840E8">
              <w:rPr>
                <w:rFonts w:ascii="Times New Roman" w:hAnsi="Times New Roman" w:cs="Times New Roman"/>
              </w:rPr>
              <w:t xml:space="preserve">, and the articulatory control process, which repeats this </w:t>
            </w:r>
            <w:r>
              <w:rPr>
                <w:rFonts w:ascii="Times New Roman" w:hAnsi="Times New Roman" w:cs="Times New Roman"/>
              </w:rPr>
              <w:t>data</w:t>
            </w:r>
            <w:r w:rsidRPr="009840E8">
              <w:rPr>
                <w:rFonts w:ascii="Times New Roman" w:hAnsi="Times New Roman" w:cs="Times New Roman"/>
              </w:rPr>
              <w:t xml:space="preserve"> to preserve it</w:t>
            </w:r>
            <w:r>
              <w:rPr>
                <w:rFonts w:ascii="Times New Roman" w:hAnsi="Times New Roman" w:cs="Times New Roman"/>
              </w:rPr>
              <w:t xml:space="preserve">s retention </w:t>
            </w:r>
            <w:r w:rsidRPr="009840E8">
              <w:rPr>
                <w:rFonts w:ascii="Times New Roman" w:hAnsi="Times New Roman" w:cs="Times New Roman"/>
              </w:rPr>
              <w:t xml:space="preserve">(Eysenck &amp; </w:t>
            </w:r>
            <w:r w:rsidRPr="009840E8">
              <w:rPr>
                <w:rFonts w:ascii="Times New Roman" w:hAnsi="Times New Roman" w:cs="Times New Roman"/>
              </w:rPr>
              <w:lastRenderedPageBreak/>
              <w:t xml:space="preserve">Keane, 2020). The articulatory control process enables subvocal rehearsal by actively refreshing the contents of the phonological store, preventing degeneration (Baddeley, 2003; Baddeley &amp; </w:t>
            </w:r>
            <w:r w:rsidRPr="005A3AFF">
              <w:rPr>
                <w:rFonts w:ascii="Times New Roman" w:hAnsi="Times New Roman" w:cs="Times New Roman"/>
              </w:rPr>
              <w:t>Hitch, 1974) For example, when individuals try to remember a phone number, they typically repeat the digits silently</w:t>
            </w:r>
            <w:r>
              <w:rPr>
                <w:rFonts w:ascii="Times New Roman" w:hAnsi="Times New Roman" w:cs="Times New Roman"/>
              </w:rPr>
              <w:t xml:space="preserve"> in their mind </w:t>
            </w:r>
            <w:r w:rsidRPr="005A3AFF">
              <w:rPr>
                <w:rFonts w:ascii="Times New Roman" w:hAnsi="Times New Roman" w:cs="Times New Roman"/>
              </w:rPr>
              <w:t xml:space="preserve">using </w:t>
            </w:r>
            <w:r>
              <w:rPr>
                <w:rFonts w:ascii="Times New Roman" w:hAnsi="Times New Roman" w:cs="Times New Roman"/>
              </w:rPr>
              <w:t>their inner voice (</w:t>
            </w:r>
            <w:proofErr w:type="spellStart"/>
            <w:r w:rsidRPr="005A3AFF">
              <w:rPr>
                <w:rFonts w:ascii="Times New Roman" w:hAnsi="Times New Roman" w:cs="Times New Roman"/>
                <w:color w:val="000000" w:themeColor="text1"/>
                <w:shd w:val="clear" w:color="auto" w:fill="FFFFFF"/>
              </w:rPr>
              <w:t>Buchsbaum</w:t>
            </w:r>
            <w:proofErr w:type="spellEnd"/>
            <w:r w:rsidRPr="005A3AFF">
              <w:rPr>
                <w:rFonts w:ascii="Times New Roman" w:hAnsi="Times New Roman" w:cs="Times New Roman"/>
                <w:color w:val="3A3A3A"/>
                <w:shd w:val="clear" w:color="auto" w:fill="FFFFFF"/>
              </w:rPr>
              <w:t xml:space="preserve">, 2013; </w:t>
            </w:r>
            <w:bookmarkStart w:id="0" w:name="OLE_LINK8"/>
            <w:r w:rsidRPr="005A3AFF">
              <w:rPr>
                <w:rFonts w:ascii="Times New Roman" w:hAnsi="Times New Roman" w:cs="Times New Roman"/>
              </w:rPr>
              <w:t>Eysenck &amp; Keane, 2020</w:t>
            </w:r>
            <w:bookmarkEnd w:id="0"/>
            <w:r w:rsidRPr="005A3AFF">
              <w:rPr>
                <w:rFonts w:ascii="Times New Roman" w:hAnsi="Times New Roman" w:cs="Times New Roman"/>
              </w:rPr>
              <w:t>). However</w:t>
            </w:r>
            <w:r w:rsidRPr="009840E8">
              <w:rPr>
                <w:rFonts w:ascii="Times New Roman" w:hAnsi="Times New Roman" w:cs="Times New Roman"/>
              </w:rPr>
              <w:t>, if rehearsal is interrupted, recall decline</w:t>
            </w:r>
            <w:r>
              <w:rPr>
                <w:rFonts w:ascii="Times New Roman" w:hAnsi="Times New Roman" w:cs="Times New Roman"/>
              </w:rPr>
              <w:t>s</w:t>
            </w:r>
            <w:r w:rsidRPr="009840E8">
              <w:rPr>
                <w:rFonts w:ascii="Times New Roman" w:hAnsi="Times New Roman" w:cs="Times New Roman"/>
              </w:rPr>
              <w:t>, making it vulnerable to interference and reinforcing the reliance on rehearsal (</w:t>
            </w:r>
            <w:proofErr w:type="spellStart"/>
            <w:r w:rsidRPr="00B76848">
              <w:rPr>
                <w:rFonts w:ascii="Times New Roman" w:hAnsi="Times New Roman" w:cs="Times New Roman"/>
                <w:color w:val="000000" w:themeColor="text1"/>
                <w:shd w:val="clear" w:color="auto" w:fill="FFFFFF"/>
              </w:rPr>
              <w:t>Buchsbaum</w:t>
            </w:r>
            <w:proofErr w:type="spellEnd"/>
            <w:r w:rsidRPr="009840E8">
              <w:rPr>
                <w:rFonts w:ascii="Times New Roman" w:hAnsi="Times New Roman" w:cs="Times New Roman"/>
                <w:color w:val="3A3A3A"/>
                <w:shd w:val="clear" w:color="auto" w:fill="FFFFFF"/>
              </w:rPr>
              <w:t>, 2013</w:t>
            </w:r>
            <w:r>
              <w:rPr>
                <w:rFonts w:ascii="Times New Roman" w:hAnsi="Times New Roman" w:cs="Times New Roman"/>
                <w:color w:val="3A3A3A"/>
                <w:shd w:val="clear" w:color="auto" w:fill="FFFFFF"/>
              </w:rPr>
              <w:t xml:space="preserve">; James &amp; </w:t>
            </w:r>
            <w:proofErr w:type="spellStart"/>
            <w:r>
              <w:rPr>
                <w:rFonts w:ascii="Times New Roman" w:hAnsi="Times New Roman" w:cs="Times New Roman"/>
                <w:color w:val="3A3A3A"/>
                <w:shd w:val="clear" w:color="auto" w:fill="FFFFFF"/>
              </w:rPr>
              <w:t>Roodenrys</w:t>
            </w:r>
            <w:proofErr w:type="spellEnd"/>
            <w:r>
              <w:rPr>
                <w:rFonts w:ascii="Times New Roman" w:hAnsi="Times New Roman" w:cs="Times New Roman"/>
                <w:color w:val="3A3A3A"/>
                <w:shd w:val="clear" w:color="auto" w:fill="FFFFFF"/>
              </w:rPr>
              <w:t>, 2023</w:t>
            </w:r>
            <w:r w:rsidRPr="009840E8">
              <w:rPr>
                <w:rFonts w:ascii="Times New Roman" w:hAnsi="Times New Roman" w:cs="Times New Roman"/>
              </w:rPr>
              <w:t xml:space="preserve">). Caplan et </w:t>
            </w:r>
            <w:r>
              <w:rPr>
                <w:rFonts w:ascii="Times New Roman" w:hAnsi="Times New Roman" w:cs="Times New Roman"/>
              </w:rPr>
              <w:t>al. (2013) found that damage to Broca’s area, linked to the phonological loop (</w:t>
            </w:r>
            <w:proofErr w:type="spellStart"/>
            <w:r>
              <w:rPr>
                <w:rFonts w:ascii="Times New Roman" w:hAnsi="Times New Roman" w:cs="Times New Roman"/>
              </w:rPr>
              <w:t>Papagno</w:t>
            </w:r>
            <w:proofErr w:type="spellEnd"/>
            <w:r>
              <w:rPr>
                <w:rFonts w:ascii="Times New Roman" w:hAnsi="Times New Roman" w:cs="Times New Roman"/>
              </w:rPr>
              <w:t xml:space="preserve"> et al., 2017), disrupted articulatory rehearsal, thereby impairing the ability to uphold and operate verbal information in comprehension</w:t>
            </w:r>
            <w:r w:rsidRPr="009840E8">
              <w:rPr>
                <w:rFonts w:ascii="Times New Roman" w:hAnsi="Times New Roman" w:cs="Times New Roman"/>
              </w:rPr>
              <w:t xml:space="preserve"> of complex sentences. Th</w:t>
            </w:r>
            <w:r>
              <w:rPr>
                <w:rFonts w:ascii="Times New Roman" w:hAnsi="Times New Roman" w:cs="Times New Roman"/>
              </w:rPr>
              <w:t xml:space="preserve">is </w:t>
            </w:r>
            <w:r w:rsidRPr="009840E8">
              <w:rPr>
                <w:rFonts w:ascii="Times New Roman" w:hAnsi="Times New Roman" w:cs="Times New Roman"/>
              </w:rPr>
              <w:t>demonstrate</w:t>
            </w:r>
            <w:r>
              <w:rPr>
                <w:rFonts w:ascii="Times New Roman" w:hAnsi="Times New Roman" w:cs="Times New Roman"/>
              </w:rPr>
              <w:t>s</w:t>
            </w:r>
            <w:r w:rsidRPr="009840E8">
              <w:rPr>
                <w:rFonts w:ascii="Times New Roman" w:hAnsi="Times New Roman" w:cs="Times New Roman"/>
              </w:rPr>
              <w:t xml:space="preserve"> that the phonological loop supports everyday verbal memory</w:t>
            </w:r>
            <w:r>
              <w:rPr>
                <w:rFonts w:ascii="Times New Roman" w:hAnsi="Times New Roman" w:cs="Times New Roman"/>
              </w:rPr>
              <w:t>. It</w:t>
            </w:r>
            <w:r w:rsidRPr="00CA6780">
              <w:rPr>
                <w:rFonts w:ascii="Times New Roman" w:hAnsi="Times New Roman" w:cs="Times New Roman"/>
              </w:rPr>
              <w:t xml:space="preserve"> also processes visual input by converting it into sound-based code through subvocal rehearsal (Eysenck &amp; Keane, 2020). This process occurs via two key phenomena: the phonological similarity effect and the word-length effect, which provide further evidence for the workings of the phonological loop (Baddeley et al., 1975; Eysenck &amp; Keane, 2020). </w:t>
            </w:r>
          </w:p>
          <w:p w14:paraId="5F06703E" w14:textId="77777777" w:rsidR="00351F2E" w:rsidRDefault="00351F2E" w:rsidP="00351F2E">
            <w:pPr>
              <w:spacing w:line="360" w:lineRule="auto"/>
              <w:rPr>
                <w:rFonts w:ascii="Times New Roman" w:hAnsi="Times New Roman" w:cs="Times New Roman"/>
              </w:rPr>
            </w:pPr>
          </w:p>
          <w:p w14:paraId="150CEC1E" w14:textId="3599A41E" w:rsidR="00351F2E" w:rsidRDefault="00351F2E" w:rsidP="00351F2E">
            <w:pPr>
              <w:autoSpaceDE w:val="0"/>
              <w:autoSpaceDN w:val="0"/>
              <w:adjustRightInd w:val="0"/>
              <w:spacing w:line="360" w:lineRule="auto"/>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t xml:space="preserve">The third component is the visuospatial sketchpad, a dual-based, restricted-capacity </w:t>
            </w:r>
            <w:proofErr w:type="spellStart"/>
            <w:r>
              <w:rPr>
                <w:rFonts w:ascii="Times New Roman" w:hAnsi="Times New Roman" w:cs="Times New Roman"/>
              </w:rPr>
              <w:t>organisation</w:t>
            </w:r>
            <w:proofErr w:type="spellEnd"/>
            <w:r>
              <w:rPr>
                <w:rFonts w:ascii="Times New Roman" w:hAnsi="Times New Roman" w:cs="Times New Roman"/>
              </w:rPr>
              <w:t xml:space="preserve"> accountable for processing and storing visual and spatial information used in tasks such as object </w:t>
            </w:r>
            <w:proofErr w:type="spellStart"/>
            <w:r>
              <w:rPr>
                <w:rFonts w:ascii="Times New Roman" w:hAnsi="Times New Roman" w:cs="Times New Roman"/>
              </w:rPr>
              <w:t>visualisation</w:t>
            </w:r>
            <w:proofErr w:type="spellEnd"/>
            <w:r>
              <w:rPr>
                <w:rFonts w:ascii="Times New Roman" w:hAnsi="Times New Roman" w:cs="Times New Roman"/>
              </w:rPr>
              <w:t xml:space="preserve">, spatial navigation and mental manipulation of shapes and objects (Eysenck &amp; Keane, 2020). To explain how this system operates internally, </w:t>
            </w:r>
            <w:proofErr w:type="spellStart"/>
            <w:r>
              <w:rPr>
                <w:rFonts w:ascii="Times New Roman" w:hAnsi="Times New Roman" w:cs="Times New Roman"/>
              </w:rPr>
              <w:t>Logie</w:t>
            </w:r>
            <w:proofErr w:type="spellEnd"/>
            <w:r>
              <w:rPr>
                <w:rFonts w:ascii="Times New Roman" w:hAnsi="Times New Roman" w:cs="Times New Roman"/>
              </w:rPr>
              <w:t xml:space="preserve"> (1995) proposed separate components, with a division between the visual cache, which encompasses data about form and </w:t>
            </w:r>
            <w:proofErr w:type="spellStart"/>
            <w:r>
              <w:rPr>
                <w:rFonts w:ascii="Times New Roman" w:hAnsi="Times New Roman" w:cs="Times New Roman"/>
              </w:rPr>
              <w:t>colour</w:t>
            </w:r>
            <w:proofErr w:type="spellEnd"/>
            <w:r>
              <w:rPr>
                <w:rFonts w:ascii="Times New Roman" w:hAnsi="Times New Roman" w:cs="Times New Roman"/>
              </w:rPr>
              <w:t xml:space="preserve">, and the inner scribe, which handles spatial location and motion. </w:t>
            </w:r>
            <w:r w:rsidRPr="00CA6780">
              <w:rPr>
                <w:rFonts w:ascii="Times New Roman" w:hAnsi="Times New Roman" w:cs="Times New Roman"/>
              </w:rPr>
              <w:t xml:space="preserve">Dual-task studies, such as those </w:t>
            </w:r>
            <w:r w:rsidRPr="00F72AA3">
              <w:rPr>
                <w:rFonts w:ascii="Times New Roman" w:hAnsi="Times New Roman" w:cs="Times New Roman"/>
              </w:rPr>
              <w:t xml:space="preserve">by </w:t>
            </w:r>
            <w:proofErr w:type="spellStart"/>
            <w:r w:rsidRPr="00F72AA3">
              <w:rPr>
                <w:rFonts w:ascii="Times New Roman" w:hAnsi="Times New Roman" w:cs="Times New Roman"/>
              </w:rPr>
              <w:t>Klauer</w:t>
            </w:r>
            <w:proofErr w:type="spellEnd"/>
            <w:r w:rsidRPr="00F72AA3">
              <w:rPr>
                <w:rFonts w:ascii="Times New Roman" w:hAnsi="Times New Roman" w:cs="Times New Roman"/>
              </w:rPr>
              <w:t xml:space="preserve"> and Zhao (2004),</w:t>
            </w:r>
            <w:r w:rsidRPr="00CA6780">
              <w:rPr>
                <w:rFonts w:ascii="Times New Roman" w:hAnsi="Times New Roman" w:cs="Times New Roman"/>
              </w:rPr>
              <w:t xml:space="preserve"> provide empirical support for this distinction by using visual or spatial tasks in conjunction with secondary </w:t>
            </w:r>
            <w:r w:rsidRPr="00F72AA3">
              <w:rPr>
                <w:rFonts w:ascii="Times New Roman" w:hAnsi="Times New Roman" w:cs="Times New Roman"/>
              </w:rPr>
              <w:t xml:space="preserve">tasks. Results demonstrated that pictorial memory tasks are interrupted by visual </w:t>
            </w:r>
            <w:r>
              <w:rPr>
                <w:rFonts w:ascii="Times New Roman" w:hAnsi="Times New Roman" w:cs="Times New Roman"/>
              </w:rPr>
              <w:t>disruption</w:t>
            </w:r>
            <w:r w:rsidRPr="00F72AA3">
              <w:rPr>
                <w:rFonts w:ascii="Times New Roman" w:hAnsi="Times New Roman" w:cs="Times New Roman"/>
              </w:rPr>
              <w:t xml:space="preserve">. </w:t>
            </w:r>
            <w:r w:rsidR="006972DC">
              <w:rPr>
                <w:rFonts w:ascii="Times New Roman" w:hAnsi="Times New Roman" w:cs="Times New Roman"/>
              </w:rPr>
              <w:t>S</w:t>
            </w:r>
            <w:r w:rsidRPr="00733256">
              <w:rPr>
                <w:rFonts w:ascii="Times New Roman" w:hAnsi="Times New Roman" w:cs="Times New Roman"/>
              </w:rPr>
              <w:t xml:space="preserve">patial tasks are more </w:t>
            </w:r>
            <w:r>
              <w:rPr>
                <w:rFonts w:ascii="Times New Roman" w:hAnsi="Times New Roman" w:cs="Times New Roman"/>
              </w:rPr>
              <w:t>susceptible</w:t>
            </w:r>
            <w:r w:rsidRPr="00733256">
              <w:rPr>
                <w:rFonts w:ascii="Times New Roman" w:hAnsi="Times New Roman" w:cs="Times New Roman"/>
              </w:rPr>
              <w:t xml:space="preserve"> </w:t>
            </w:r>
            <w:r>
              <w:rPr>
                <w:rFonts w:ascii="Times New Roman" w:hAnsi="Times New Roman" w:cs="Times New Roman"/>
              </w:rPr>
              <w:t>to</w:t>
            </w:r>
            <w:r w:rsidRPr="00733256">
              <w:rPr>
                <w:rFonts w:ascii="Times New Roman" w:hAnsi="Times New Roman" w:cs="Times New Roman"/>
              </w:rPr>
              <w:t xml:space="preserve"> spatial interference, </w:t>
            </w:r>
            <w:r>
              <w:rPr>
                <w:rFonts w:ascii="Times New Roman" w:hAnsi="Times New Roman" w:cs="Times New Roman"/>
              </w:rPr>
              <w:t>exhibit</w:t>
            </w:r>
            <w:r w:rsidRPr="00733256">
              <w:rPr>
                <w:rFonts w:ascii="Times New Roman" w:hAnsi="Times New Roman" w:cs="Times New Roman"/>
              </w:rPr>
              <w:t xml:space="preserve">ing </w:t>
            </w:r>
            <w:r>
              <w:rPr>
                <w:rFonts w:ascii="Times New Roman" w:hAnsi="Times New Roman" w:cs="Times New Roman"/>
              </w:rPr>
              <w:t>a</w:t>
            </w:r>
            <w:r w:rsidRPr="00733256">
              <w:rPr>
                <w:rFonts w:ascii="Times New Roman" w:hAnsi="Times New Roman" w:cs="Times New Roman"/>
              </w:rPr>
              <w:t xml:space="preserve"> pattern of selective disruption</w:t>
            </w:r>
            <w:r>
              <w:rPr>
                <w:rFonts w:ascii="Times New Roman" w:hAnsi="Times New Roman" w:cs="Times New Roman"/>
              </w:rPr>
              <w:t xml:space="preserve">. </w:t>
            </w:r>
            <w:r w:rsidRPr="00733256">
              <w:rPr>
                <w:rFonts w:ascii="Times New Roman" w:hAnsi="Times New Roman" w:cs="Times New Roman"/>
              </w:rPr>
              <w:t>Further neuroimaging evidence further supports this (Zimmer, 2008).</w:t>
            </w:r>
            <w:r>
              <w:rPr>
                <w:rFonts w:ascii="Times New Roman" w:hAnsi="Times New Roman" w:cs="Times New Roman"/>
              </w:rPr>
              <w:t xml:space="preserve"> </w:t>
            </w:r>
          </w:p>
          <w:p w14:paraId="2BCAFC76" w14:textId="77777777" w:rsidR="00351F2E" w:rsidRDefault="00351F2E" w:rsidP="00351F2E">
            <w:pPr>
              <w:spacing w:line="360" w:lineRule="auto"/>
              <w:rPr>
                <w:rFonts w:ascii="Times New Roman" w:hAnsi="Times New Roman" w:cs="Times New Roman"/>
              </w:rPr>
            </w:pPr>
          </w:p>
          <w:p w14:paraId="2544123C" w14:textId="77777777" w:rsidR="00351F2E" w:rsidRPr="00CA6780" w:rsidRDefault="00351F2E" w:rsidP="00351F2E">
            <w:pPr>
              <w:autoSpaceDE w:val="0"/>
              <w:autoSpaceDN w:val="0"/>
              <w:adjustRightInd w:val="0"/>
              <w:spacing w:line="360" w:lineRule="auto"/>
              <w:ind w:firstLine="720"/>
              <w:rPr>
                <w:rFonts w:ascii="Times New Roman" w:hAnsi="Times New Roman" w:cs="Times New Roman"/>
              </w:rPr>
            </w:pPr>
            <w:r>
              <w:rPr>
                <w:rFonts w:ascii="Times New Roman" w:hAnsi="Times New Roman" w:cs="Times New Roman"/>
              </w:rPr>
              <w:t xml:space="preserve">Lastly, the episodic buffer, which </w:t>
            </w:r>
            <w:r w:rsidRPr="00D45BC7">
              <w:rPr>
                <w:rFonts w:ascii="Times New Roman" w:hAnsi="Times New Roman" w:cs="Times New Roman"/>
              </w:rPr>
              <w:t>Baddeley (2000)</w:t>
            </w:r>
            <w:r>
              <w:rPr>
                <w:rFonts w:ascii="Times New Roman" w:hAnsi="Times New Roman" w:cs="Times New Roman"/>
              </w:rPr>
              <w:t xml:space="preserve"> later developed and integrated into the model, is a restricted-capacity system that incorporates data from the phonological loop, the visual sketchpad, and long-term memory, binding them into unified representations (Eysenck &amp; Keane, 2020). </w:t>
            </w:r>
            <w:r w:rsidRPr="00CA6780">
              <w:rPr>
                <w:rFonts w:ascii="Times New Roman" w:hAnsi="Times New Roman" w:cs="Times New Roman"/>
              </w:rPr>
              <w:t>For example, when recalling an experience, the episodic buffer integrates the visual layout, sounds, and relevant knowledge into a coherent memory, supporting conscious awareness and the construction of meaningful episodes from separate sources (Baddeley, 2000; Eysenck &amp; Keane, 2020).</w:t>
            </w:r>
            <w:r>
              <w:rPr>
                <w:rFonts w:ascii="Times New Roman" w:hAnsi="Times New Roman" w:cs="Times New Roman"/>
              </w:rPr>
              <w:t xml:space="preserve"> Overall, WMM offers a detailed view of short-term memory and has become a key model in cognitive psychology, supported by strong empirical evidence (Eysenck &amp; Keane, 2020). WMM could offer valuable insights into the cognitive factors that contributed to the police failures observed in the case review regarding the management of antisocial </w:t>
            </w:r>
            <w:proofErr w:type="spellStart"/>
            <w:r>
              <w:rPr>
                <w:rFonts w:ascii="Times New Roman" w:hAnsi="Times New Roman" w:cs="Times New Roman"/>
              </w:rPr>
              <w:t>behaviour</w:t>
            </w:r>
            <w:proofErr w:type="spellEnd"/>
            <w:r>
              <w:rPr>
                <w:rFonts w:ascii="Times New Roman" w:hAnsi="Times New Roman" w:cs="Times New Roman"/>
              </w:rPr>
              <w:t>.</w:t>
            </w:r>
          </w:p>
          <w:p w14:paraId="40014E0E" w14:textId="77777777" w:rsidR="00351F2E" w:rsidRPr="00351F2E" w:rsidRDefault="00351F2E" w:rsidP="00351F2E"/>
          <w:p w14:paraId="7013626D" w14:textId="77777777" w:rsidR="00766C02" w:rsidRPr="00766C02" w:rsidRDefault="00766C02" w:rsidP="00766C02"/>
          <w:p w14:paraId="564F66E4" w14:textId="77777777" w:rsidR="00351F2E" w:rsidRPr="00D57CEC" w:rsidRDefault="00351F2E" w:rsidP="00351F2E">
            <w:pPr>
              <w:spacing w:line="360" w:lineRule="auto"/>
              <w:ind w:firstLine="720"/>
              <w:rPr>
                <w:rFonts w:ascii="Times New Roman" w:hAnsi="Times New Roman" w:cs="Times New Roman"/>
              </w:rPr>
            </w:pPr>
          </w:p>
          <w:p w14:paraId="737AB027" w14:textId="77777777" w:rsidR="00351F2E" w:rsidRPr="00C27D92" w:rsidRDefault="00351F2E" w:rsidP="00351F2E">
            <w:pPr>
              <w:spacing w:line="360" w:lineRule="auto"/>
              <w:ind w:firstLine="720"/>
              <w:rPr>
                <w:rFonts w:ascii="Times New Roman" w:eastAsia="Times New Roman" w:hAnsi="Times New Roman" w:cs="Times New Roman"/>
                <w:lang w:eastAsia="en-GB"/>
              </w:rPr>
            </w:pPr>
          </w:p>
          <w:p w14:paraId="485F6344" w14:textId="77777777" w:rsidR="00351F2E" w:rsidRDefault="00351F2E" w:rsidP="00351F2E">
            <w:pPr>
              <w:spacing w:line="360" w:lineRule="auto"/>
              <w:rPr>
                <w:rFonts w:ascii="Times New Roman" w:hAnsi="Times New Roman" w:cs="Times New Roman"/>
              </w:rPr>
            </w:pPr>
          </w:p>
          <w:p w14:paraId="44D76B36" w14:textId="162BA819" w:rsidR="00766C02" w:rsidRPr="003A798E" w:rsidRDefault="00351F2E" w:rsidP="00351F2E">
            <w:pPr>
              <w:autoSpaceDE w:val="0"/>
              <w:autoSpaceDN w:val="0"/>
              <w:adjustRightInd w:val="0"/>
              <w:spacing w:line="360" w:lineRule="auto"/>
            </w:pPr>
            <w:r>
              <w:rPr>
                <w:rFonts w:ascii="Times New Roman" w:hAnsi="Times New Roman" w:cs="Times New Roman"/>
              </w:rPr>
              <w:t xml:space="preserve"> </w:t>
            </w:r>
            <w:r>
              <w:rPr>
                <w:rFonts w:ascii="Times New Roman" w:hAnsi="Times New Roman" w:cs="Times New Roman"/>
              </w:rPr>
              <w:tab/>
            </w:r>
          </w:p>
        </w:tc>
      </w:tr>
    </w:tbl>
    <w:p w14:paraId="444B5C1F" w14:textId="77777777" w:rsidR="00FB65B8" w:rsidRPr="003A798E" w:rsidRDefault="00FB65B8" w:rsidP="00A24793"/>
    <w:p w14:paraId="1A19D8D2" w14:textId="174C0BC7" w:rsidR="00A24793" w:rsidRPr="003A798E" w:rsidRDefault="00A24793" w:rsidP="00A24793"/>
    <w:tbl>
      <w:tblPr>
        <w:tblW w:w="12616" w:type="dxa"/>
        <w:tblInd w:w="-1701" w:type="dxa"/>
        <w:shd w:val="clear" w:color="auto" w:fill="ECFBFB" w:themeFill="accent4"/>
        <w:tblLayout w:type="fixed"/>
        <w:tblLook w:val="0600" w:firstRow="0" w:lastRow="0" w:firstColumn="0" w:lastColumn="0" w:noHBand="1" w:noVBand="1"/>
      </w:tblPr>
      <w:tblGrid>
        <w:gridCol w:w="1701"/>
        <w:gridCol w:w="3828"/>
        <w:gridCol w:w="6945"/>
        <w:gridCol w:w="142"/>
      </w:tblGrid>
      <w:tr w:rsidR="00FA38A4" w:rsidRPr="003A798E" w14:paraId="627C58CB" w14:textId="77777777" w:rsidTr="00FA38A4">
        <w:trPr>
          <w:trHeight w:val="547"/>
        </w:trPr>
        <w:tc>
          <w:tcPr>
            <w:tcW w:w="1701" w:type="dxa"/>
            <w:shd w:val="clear" w:color="auto" w:fill="ECFBFB" w:themeFill="accent4"/>
          </w:tcPr>
          <w:p w14:paraId="6C9FB5AC" w14:textId="77777777" w:rsidR="00FA38A4" w:rsidRPr="003A798E" w:rsidRDefault="00FA38A4" w:rsidP="00A24793"/>
        </w:tc>
        <w:tc>
          <w:tcPr>
            <w:tcW w:w="3828" w:type="dxa"/>
            <w:shd w:val="clear" w:color="auto" w:fill="ECFBFB" w:themeFill="accent4"/>
          </w:tcPr>
          <w:p w14:paraId="460968F7" w14:textId="77777777" w:rsidR="00FA38A4" w:rsidRPr="003A798E" w:rsidRDefault="00FA38A4" w:rsidP="00A24793"/>
        </w:tc>
        <w:tc>
          <w:tcPr>
            <w:tcW w:w="7087" w:type="dxa"/>
            <w:gridSpan w:val="2"/>
            <w:shd w:val="clear" w:color="auto" w:fill="ECFBFB" w:themeFill="accent4"/>
          </w:tcPr>
          <w:p w14:paraId="720CB1B5" w14:textId="77777777" w:rsidR="00FA38A4" w:rsidRPr="003A798E" w:rsidRDefault="00FA38A4" w:rsidP="00A24793"/>
        </w:tc>
      </w:tr>
      <w:tr w:rsidR="00FA38A4" w:rsidRPr="003A798E" w14:paraId="495652A6" w14:textId="77777777" w:rsidTr="00FA38A4">
        <w:trPr>
          <w:trHeight w:val="9513"/>
        </w:trPr>
        <w:tc>
          <w:tcPr>
            <w:tcW w:w="1701" w:type="dxa"/>
            <w:shd w:val="clear" w:color="auto" w:fill="ECFBFB" w:themeFill="accent4"/>
          </w:tcPr>
          <w:p w14:paraId="57674860" w14:textId="77777777" w:rsidR="00FA38A4" w:rsidRPr="003A798E" w:rsidRDefault="00FA38A4" w:rsidP="00D6375E"/>
        </w:tc>
        <w:tc>
          <w:tcPr>
            <w:tcW w:w="3828" w:type="dxa"/>
            <w:tcBorders>
              <w:bottom w:val="single" w:sz="18" w:space="0" w:color="00C1C7" w:themeColor="accent2"/>
            </w:tcBorders>
            <w:shd w:val="clear" w:color="auto" w:fill="ECFBFB" w:themeFill="accent4"/>
          </w:tcPr>
          <w:p w14:paraId="0A0F4678" w14:textId="77777777" w:rsidR="00FA38A4" w:rsidRDefault="00FA38A4" w:rsidP="00FC49AE">
            <w:pPr>
              <w:pStyle w:val="Heading5"/>
              <w:rPr>
                <w:sz w:val="36"/>
                <w:szCs w:val="10"/>
              </w:rPr>
            </w:pPr>
            <w:r w:rsidRPr="00F00899">
              <w:rPr>
                <w:sz w:val="36"/>
                <w:szCs w:val="10"/>
              </w:rPr>
              <w:t xml:space="preserve">HOW DOES THE </w:t>
            </w:r>
            <w:r w:rsidR="00351F2E">
              <w:rPr>
                <w:sz w:val="36"/>
                <w:szCs w:val="10"/>
              </w:rPr>
              <w:t>WORKING MEMORY MODEL (BADDELEY &amp; HITCH, 1974)</w:t>
            </w:r>
            <w:r w:rsidRPr="00F00899">
              <w:rPr>
                <w:sz w:val="36"/>
                <w:szCs w:val="10"/>
              </w:rPr>
              <w:t xml:space="preserve"> RELATE TO THE OUTCOME FROM THE LOCAL </w:t>
            </w:r>
            <w:r w:rsidR="005228C0" w:rsidRPr="00F00899">
              <w:rPr>
                <w:sz w:val="36"/>
                <w:szCs w:val="10"/>
              </w:rPr>
              <w:t>AUTHORITY</w:t>
            </w:r>
            <w:r w:rsidRPr="00F00899">
              <w:rPr>
                <w:sz w:val="36"/>
                <w:szCs w:val="10"/>
              </w:rPr>
              <w:t>?</w:t>
            </w:r>
          </w:p>
          <w:p w14:paraId="6CD7AACF" w14:textId="77777777" w:rsidR="00351F2E" w:rsidRDefault="00351F2E" w:rsidP="00351F2E"/>
          <w:p w14:paraId="3050628B" w14:textId="06107E3D" w:rsidR="00351F2E" w:rsidRPr="00351F2E" w:rsidRDefault="00351F2E" w:rsidP="00351F2E"/>
        </w:tc>
        <w:tc>
          <w:tcPr>
            <w:tcW w:w="7087" w:type="dxa"/>
            <w:gridSpan w:val="2"/>
            <w:tcBorders>
              <w:bottom w:val="single" w:sz="18" w:space="0" w:color="00C1C7" w:themeColor="accent2"/>
            </w:tcBorders>
            <w:shd w:val="clear" w:color="auto" w:fill="ECFBFB" w:themeFill="accent4"/>
          </w:tcPr>
          <w:p w14:paraId="44CB35C0" w14:textId="77777777" w:rsidR="00351F2E" w:rsidRPr="004107B8" w:rsidRDefault="00351F2E" w:rsidP="00351F2E">
            <w:pPr>
              <w:spacing w:line="360" w:lineRule="auto"/>
              <w:ind w:firstLine="720"/>
              <w:rPr>
                <w:rFonts w:ascii="Times New Roman" w:hAnsi="Times New Roman" w:cs="Times New Roman"/>
                <w:color w:val="000000"/>
              </w:rPr>
            </w:pPr>
            <w:r w:rsidRPr="00861DD2">
              <w:rPr>
                <w:rFonts w:ascii="Times New Roman" w:hAnsi="Times New Roman" w:cs="Times New Roman"/>
              </w:rPr>
              <w:t xml:space="preserve">The case review identified five key failings, </w:t>
            </w:r>
            <w:r>
              <w:rPr>
                <w:rFonts w:ascii="Times New Roman" w:hAnsi="Times New Roman" w:cs="Times New Roman"/>
              </w:rPr>
              <w:t xml:space="preserve">which </w:t>
            </w:r>
            <w:r w:rsidRPr="00861DD2">
              <w:rPr>
                <w:rFonts w:ascii="Times New Roman" w:hAnsi="Times New Roman" w:cs="Times New Roman"/>
              </w:rPr>
              <w:t xml:space="preserve">Catrin Wyn-James acknowledged in her response, indicating that officers were under </w:t>
            </w:r>
            <w:r>
              <w:rPr>
                <w:rFonts w:ascii="Times New Roman" w:hAnsi="Times New Roman" w:cs="Times New Roman"/>
              </w:rPr>
              <w:t xml:space="preserve">extensive </w:t>
            </w:r>
            <w:r w:rsidRPr="00861DD2">
              <w:rPr>
                <w:rFonts w:ascii="Times New Roman" w:hAnsi="Times New Roman" w:cs="Times New Roman"/>
              </w:rPr>
              <w:t>pressure</w:t>
            </w:r>
            <w:r>
              <w:rPr>
                <w:rFonts w:ascii="Times New Roman" w:hAnsi="Times New Roman" w:cs="Times New Roman"/>
              </w:rPr>
              <w:t xml:space="preserve">, which left them </w:t>
            </w:r>
            <w:r w:rsidRPr="00AA2A38">
              <w:rPr>
                <w:rFonts w:ascii="Times New Roman" w:hAnsi="Times New Roman" w:cs="Times New Roman"/>
              </w:rPr>
              <w:t xml:space="preserve">stretched, possibly managing multiple competing demands, such as taking calls </w:t>
            </w:r>
            <w:r>
              <w:rPr>
                <w:rFonts w:ascii="Times New Roman" w:hAnsi="Times New Roman" w:cs="Times New Roman"/>
              </w:rPr>
              <w:t>while</w:t>
            </w:r>
            <w:r w:rsidRPr="00AA2A38">
              <w:rPr>
                <w:rFonts w:ascii="Times New Roman" w:hAnsi="Times New Roman" w:cs="Times New Roman"/>
              </w:rPr>
              <w:t xml:space="preserve"> completing administrative tasks. </w:t>
            </w:r>
            <w:r>
              <w:rPr>
                <w:rFonts w:ascii="Times New Roman" w:hAnsi="Times New Roman" w:cs="Times New Roman"/>
              </w:rPr>
              <w:t>In d</w:t>
            </w:r>
            <w:r w:rsidRPr="00AA2A38">
              <w:rPr>
                <w:rFonts w:ascii="Times New Roman" w:hAnsi="Times New Roman" w:cs="Times New Roman"/>
              </w:rPr>
              <w:t>ual</w:t>
            </w:r>
            <w:r>
              <w:rPr>
                <w:rFonts w:ascii="Times New Roman" w:hAnsi="Times New Roman" w:cs="Times New Roman"/>
              </w:rPr>
              <w:t>-task situations</w:t>
            </w:r>
            <w:r w:rsidRPr="00AA2A38">
              <w:rPr>
                <w:rFonts w:ascii="Times New Roman" w:hAnsi="Times New Roman" w:cs="Times New Roman"/>
              </w:rPr>
              <w:t xml:space="preserve">, </w:t>
            </w:r>
            <w:r>
              <w:rPr>
                <w:rFonts w:ascii="Times New Roman" w:hAnsi="Times New Roman" w:cs="Times New Roman"/>
              </w:rPr>
              <w:t>the central executive must divide attention between tasks, but because it has limited capacity, it is</w:t>
            </w:r>
            <w:r w:rsidRPr="00AA2A38">
              <w:rPr>
                <w:rFonts w:ascii="Times New Roman" w:hAnsi="Times New Roman" w:cs="Times New Roman"/>
              </w:rPr>
              <w:t xml:space="preserve"> particularly prone to performance decline</w:t>
            </w:r>
            <w:r>
              <w:rPr>
                <w:rFonts w:ascii="Times New Roman" w:hAnsi="Times New Roman" w:cs="Times New Roman"/>
              </w:rPr>
              <w:t xml:space="preserve">, and errors become more likely </w:t>
            </w:r>
            <w:r w:rsidRPr="00AA2A38">
              <w:rPr>
                <w:rFonts w:ascii="Times New Roman" w:hAnsi="Times New Roman" w:cs="Times New Roman"/>
              </w:rPr>
              <w:t xml:space="preserve">(Baddeley, 1996; Eysenck &amp; Keane, 2020). </w:t>
            </w:r>
            <w:r>
              <w:rPr>
                <w:rFonts w:ascii="Times New Roman" w:hAnsi="Times New Roman" w:cs="Times New Roman"/>
              </w:rPr>
              <w:t>Moreover, this may also disrupt focused attention on any one task (</w:t>
            </w:r>
            <w:r w:rsidRPr="00AA2A38">
              <w:rPr>
                <w:rFonts w:ascii="Times New Roman" w:hAnsi="Times New Roman" w:cs="Times New Roman"/>
              </w:rPr>
              <w:t>Baddeley, 1996).</w:t>
            </w:r>
            <w:r>
              <w:rPr>
                <w:rFonts w:ascii="Times New Roman" w:hAnsi="Times New Roman" w:cs="Times New Roman"/>
              </w:rPr>
              <w:t xml:space="preserve"> Therefore, officers’ ability to concentrate on incident calls may have been impaired, potentially resulting in the missing or forgetting of information required to carry out immediate police responses and follow-up tasks. Furthermore, </w:t>
            </w:r>
            <w:r>
              <w:rPr>
                <w:rFonts w:ascii="Times New Roman" w:hAnsi="Times New Roman" w:cs="Times New Roman"/>
                <w:color w:val="000000"/>
              </w:rPr>
              <w:t>t</w:t>
            </w:r>
            <w:r w:rsidRPr="004107B8">
              <w:rPr>
                <w:rFonts w:ascii="Times New Roman" w:hAnsi="Times New Roman" w:cs="Times New Roman"/>
                <w:color w:val="000000"/>
              </w:rPr>
              <w:t xml:space="preserve">he misallocation of police resources may indicate a breakdown in strategic decision-making. </w:t>
            </w:r>
            <w:r>
              <w:rPr>
                <w:rFonts w:ascii="Times New Roman" w:hAnsi="Times New Roman" w:cs="Times New Roman"/>
                <w:color w:val="000000"/>
              </w:rPr>
              <w:t>G</w:t>
            </w:r>
            <w:r w:rsidRPr="004107B8">
              <w:rPr>
                <w:rFonts w:ascii="Times New Roman" w:hAnsi="Times New Roman" w:cs="Times New Roman"/>
                <w:color w:val="000000"/>
              </w:rPr>
              <w:t xml:space="preserve">oal-directed </w:t>
            </w:r>
            <w:proofErr w:type="spellStart"/>
            <w:r w:rsidRPr="004107B8">
              <w:rPr>
                <w:rFonts w:ascii="Times New Roman" w:hAnsi="Times New Roman" w:cs="Times New Roman"/>
                <w:color w:val="000000"/>
              </w:rPr>
              <w:t>behaviour</w:t>
            </w:r>
            <w:proofErr w:type="spellEnd"/>
            <w:r w:rsidRPr="004107B8">
              <w:rPr>
                <w:rFonts w:ascii="Times New Roman" w:hAnsi="Times New Roman" w:cs="Times New Roman"/>
                <w:color w:val="000000"/>
              </w:rPr>
              <w:t xml:space="preserve"> and updating priorities can struggle under </w:t>
            </w:r>
            <w:r>
              <w:rPr>
                <w:rFonts w:ascii="Times New Roman" w:hAnsi="Times New Roman" w:cs="Times New Roman"/>
                <w:color w:val="000000"/>
              </w:rPr>
              <w:t>demands</w:t>
            </w:r>
            <w:r w:rsidRPr="004107B8">
              <w:rPr>
                <w:rFonts w:ascii="Times New Roman" w:hAnsi="Times New Roman" w:cs="Times New Roman"/>
                <w:color w:val="000000"/>
              </w:rPr>
              <w:t xml:space="preserve"> (Baddeley, 1996</w:t>
            </w:r>
            <w:r>
              <w:rPr>
                <w:rFonts w:ascii="Times New Roman" w:hAnsi="Times New Roman" w:cs="Times New Roman"/>
                <w:color w:val="000000"/>
              </w:rPr>
              <w:t xml:space="preserve">; </w:t>
            </w:r>
            <w:r w:rsidRPr="004107B8">
              <w:rPr>
                <w:rFonts w:ascii="Times New Roman" w:hAnsi="Times New Roman" w:cs="Times New Roman"/>
                <w:color w:val="000000"/>
              </w:rPr>
              <w:t>Eysenck &amp; Keane, 2020). Officers may have found it difficult to shift attention between competing demands, leading to a mismatch</w:t>
            </w:r>
            <w:r>
              <w:rPr>
                <w:rFonts w:ascii="Times New Roman" w:hAnsi="Times New Roman" w:cs="Times New Roman"/>
                <w:color w:val="000000"/>
              </w:rPr>
              <w:t xml:space="preserve"> </w:t>
            </w:r>
            <w:r w:rsidRPr="004107B8">
              <w:rPr>
                <w:rFonts w:ascii="Times New Roman" w:hAnsi="Times New Roman" w:cs="Times New Roman"/>
                <w:color w:val="000000"/>
              </w:rPr>
              <w:t>between police actions and community needs.</w:t>
            </w:r>
          </w:p>
          <w:p w14:paraId="42D9E516" w14:textId="77777777" w:rsidR="00351F2E" w:rsidRDefault="00351F2E" w:rsidP="00351F2E">
            <w:pPr>
              <w:spacing w:line="360" w:lineRule="auto"/>
              <w:rPr>
                <w:rFonts w:ascii="Times New Roman" w:hAnsi="Times New Roman" w:cs="Times New Roman"/>
              </w:rPr>
            </w:pPr>
          </w:p>
          <w:p w14:paraId="3C364AC5" w14:textId="77777777" w:rsidR="00351F2E" w:rsidRDefault="00351F2E" w:rsidP="00351F2E">
            <w:pPr>
              <w:spacing w:line="360" w:lineRule="auto"/>
              <w:ind w:firstLine="720"/>
              <w:rPr>
                <w:rFonts w:ascii="Times New Roman" w:hAnsi="Times New Roman" w:cs="Times New Roman"/>
                <w:color w:val="000000"/>
              </w:rPr>
            </w:pPr>
            <w:r>
              <w:rPr>
                <w:rFonts w:ascii="Times New Roman" w:hAnsi="Times New Roman" w:cs="Times New Roman"/>
                <w:color w:val="000000"/>
              </w:rPr>
              <w:t>The</w:t>
            </w:r>
            <w:r w:rsidRPr="00177BCA">
              <w:rPr>
                <w:rFonts w:ascii="Times New Roman" w:hAnsi="Times New Roman" w:cs="Times New Roman"/>
                <w:color w:val="000000"/>
              </w:rPr>
              <w:t xml:space="preserve"> phonological loop may also contribute to operational failings, particularly concerning the retention and processing of verbal information. </w:t>
            </w:r>
            <w:r>
              <w:rPr>
                <w:rFonts w:ascii="Times New Roman" w:hAnsi="Times New Roman" w:cs="Times New Roman"/>
                <w:color w:val="000000"/>
              </w:rPr>
              <w:t>O</w:t>
            </w:r>
            <w:r w:rsidRPr="00177BCA">
              <w:rPr>
                <w:rFonts w:ascii="Times New Roman" w:hAnsi="Times New Roman" w:cs="Times New Roman"/>
                <w:color w:val="000000"/>
              </w:rPr>
              <w:t>fficers would rely on the phonological store to hold brief spoken details, such as addresses, names, or incident descriptions received at a scene or by phone and the articulatory control process to maintain this information through subvocal rehearsal (</w:t>
            </w:r>
            <w:r w:rsidRPr="005A3AFF">
              <w:rPr>
                <w:rFonts w:ascii="Times New Roman" w:hAnsi="Times New Roman" w:cs="Times New Roman"/>
              </w:rPr>
              <w:t>Eysenck &amp; Keane, 2020</w:t>
            </w:r>
            <w:r w:rsidRPr="00177BCA">
              <w:rPr>
                <w:rFonts w:ascii="Times New Roman" w:hAnsi="Times New Roman" w:cs="Times New Roman"/>
                <w:color w:val="000000"/>
              </w:rPr>
              <w:t>). However, when this system is disrupted, for example, if an officer is interrupted by a colleague or task while mentally rehearsing information, important verbal details may be forgotten or miscommunicated</w:t>
            </w:r>
            <w:r>
              <w:rPr>
                <w:rFonts w:ascii="Times New Roman" w:hAnsi="Times New Roman" w:cs="Times New Roman"/>
                <w:color w:val="000000"/>
              </w:rPr>
              <w:t xml:space="preserve"> (</w:t>
            </w:r>
            <w:proofErr w:type="spellStart"/>
            <w:r w:rsidRPr="005A3AFF">
              <w:rPr>
                <w:rFonts w:ascii="Times New Roman" w:hAnsi="Times New Roman" w:cs="Times New Roman"/>
                <w:color w:val="000000" w:themeColor="text1"/>
                <w:shd w:val="clear" w:color="auto" w:fill="FFFFFF"/>
              </w:rPr>
              <w:t>Buchsbaum</w:t>
            </w:r>
            <w:proofErr w:type="spellEnd"/>
            <w:r w:rsidRPr="005A3AFF">
              <w:rPr>
                <w:rFonts w:ascii="Times New Roman" w:hAnsi="Times New Roman" w:cs="Times New Roman"/>
                <w:color w:val="3A3A3A"/>
                <w:shd w:val="clear" w:color="auto" w:fill="FFFFFF"/>
              </w:rPr>
              <w:t>, 2013</w:t>
            </w:r>
            <w:r>
              <w:rPr>
                <w:rFonts w:ascii="Times New Roman" w:hAnsi="Times New Roman" w:cs="Times New Roman"/>
                <w:color w:val="000000"/>
              </w:rPr>
              <w:t>)</w:t>
            </w:r>
            <w:r w:rsidRPr="00177BCA">
              <w:rPr>
                <w:rFonts w:ascii="Times New Roman" w:hAnsi="Times New Roman" w:cs="Times New Roman"/>
                <w:color w:val="000000"/>
              </w:rPr>
              <w:t xml:space="preserve">. This could lead to confusion about incident locations, delays in dispatch, or incomplete follow-up, especially during periods of multitasking. </w:t>
            </w:r>
            <w:r w:rsidRPr="004107B8">
              <w:rPr>
                <w:rFonts w:ascii="Times New Roman" w:hAnsi="Times New Roman" w:cs="Times New Roman"/>
                <w:color w:val="000000"/>
              </w:rPr>
              <w:t xml:space="preserve">The word-length effect may further complicate this system's vulnerability. Officers would be exposed to continuous, long and complex visual information via </w:t>
            </w:r>
            <w:r w:rsidRPr="004107B8">
              <w:rPr>
                <w:rFonts w:ascii="Times New Roman" w:hAnsi="Times New Roman" w:cs="Times New Roman"/>
                <w:color w:val="000000"/>
              </w:rPr>
              <w:lastRenderedPageBreak/>
              <w:t xml:space="preserve">reports that take more time to rehearse and are more likely to decay before they can be acted upon (Baddeley et al., 1975; Eysenck &amp; Keane, 2020). Moreover, if they are simultaneously required to speak, </w:t>
            </w:r>
            <w:r>
              <w:rPr>
                <w:rFonts w:ascii="Times New Roman" w:hAnsi="Times New Roman" w:cs="Times New Roman"/>
                <w:color w:val="000000"/>
              </w:rPr>
              <w:t xml:space="preserve">like </w:t>
            </w:r>
            <w:r w:rsidRPr="004107B8">
              <w:rPr>
                <w:rFonts w:ascii="Times New Roman" w:hAnsi="Times New Roman" w:cs="Times New Roman"/>
                <w:color w:val="000000"/>
              </w:rPr>
              <w:t xml:space="preserve">repeating phone numbers, this may block subvocal rehearsal, as demonstrated by Baddeley et al. (1975). </w:t>
            </w:r>
            <w:r>
              <w:rPr>
                <w:rFonts w:ascii="Times New Roman" w:hAnsi="Times New Roman" w:cs="Times New Roman"/>
                <w:color w:val="000000"/>
              </w:rPr>
              <w:t>Therefore,</w:t>
            </w:r>
            <w:r w:rsidRPr="004107B8">
              <w:rPr>
                <w:rFonts w:ascii="Times New Roman" w:hAnsi="Times New Roman" w:cs="Times New Roman"/>
                <w:color w:val="000000"/>
              </w:rPr>
              <w:t xml:space="preserve"> information could be lost, and overall verbal recall may decline, increasing the risk of forgotten or misreported </w:t>
            </w:r>
            <w:r>
              <w:rPr>
                <w:rFonts w:ascii="Times New Roman" w:hAnsi="Times New Roman" w:cs="Times New Roman"/>
                <w:color w:val="000000"/>
              </w:rPr>
              <w:t xml:space="preserve">details. </w:t>
            </w:r>
          </w:p>
          <w:p w14:paraId="09DF2FE0" w14:textId="77777777" w:rsidR="00351F2E" w:rsidRDefault="00351F2E" w:rsidP="00351F2E">
            <w:pPr>
              <w:spacing w:line="360" w:lineRule="auto"/>
              <w:ind w:firstLine="720"/>
              <w:rPr>
                <w:rFonts w:ascii="Times New Roman" w:hAnsi="Times New Roman" w:cs="Times New Roman"/>
                <w:color w:val="000000"/>
              </w:rPr>
            </w:pPr>
          </w:p>
          <w:p w14:paraId="523C62B7" w14:textId="77777777" w:rsidR="00351F2E" w:rsidRPr="001A66CB" w:rsidRDefault="00351F2E" w:rsidP="00351F2E">
            <w:pPr>
              <w:spacing w:line="360" w:lineRule="auto"/>
              <w:ind w:firstLine="720"/>
              <w:rPr>
                <w:rFonts w:ascii="Times New Roman" w:hAnsi="Times New Roman" w:cs="Times New Roman"/>
                <w:color w:val="000000"/>
                <w:kern w:val="2"/>
              </w:rPr>
            </w:pPr>
            <w:r w:rsidRPr="004107B8">
              <w:rPr>
                <w:rFonts w:ascii="Times New Roman" w:hAnsi="Times New Roman" w:cs="Times New Roman"/>
                <w:color w:val="000000"/>
              </w:rPr>
              <w:t xml:space="preserve">Furthermore, when officers attempt to recall information about a scene or an important detail, they are likely relying on the episodic buffer to incorporate verbal, visual, and contextual </w:t>
            </w:r>
            <w:r>
              <w:rPr>
                <w:rFonts w:ascii="Times New Roman" w:hAnsi="Times New Roman" w:cs="Times New Roman"/>
                <w:color w:val="000000"/>
              </w:rPr>
              <w:t>data</w:t>
            </w:r>
            <w:r w:rsidRPr="004107B8">
              <w:rPr>
                <w:rFonts w:ascii="Times New Roman" w:hAnsi="Times New Roman" w:cs="Times New Roman"/>
                <w:color w:val="000000"/>
              </w:rPr>
              <w:t xml:space="preserve"> into a coherent mental depiction (</w:t>
            </w:r>
            <w:r>
              <w:rPr>
                <w:rFonts w:ascii="Times New Roman" w:hAnsi="Times New Roman" w:cs="Times New Roman"/>
                <w:color w:val="000000"/>
              </w:rPr>
              <w:t>Baddeley, 2000</w:t>
            </w:r>
            <w:r w:rsidRPr="004107B8">
              <w:rPr>
                <w:rFonts w:ascii="Times New Roman" w:hAnsi="Times New Roman" w:cs="Times New Roman"/>
                <w:color w:val="000000"/>
              </w:rPr>
              <w:t xml:space="preserve">). However, if the phonological loop is disrupted and verbal details are misheard or decay, or if the visuospatial sketchpad provides an unclear mental image of the scene, the episodic buffer may form a distorted or incomplete understanding of the situation, further contributing to the failures </w:t>
            </w:r>
            <w:r>
              <w:rPr>
                <w:rFonts w:ascii="Times New Roman" w:hAnsi="Times New Roman" w:cs="Times New Roman"/>
                <w:color w:val="000000"/>
              </w:rPr>
              <w:t>seen</w:t>
            </w:r>
            <w:r w:rsidRPr="004107B8">
              <w:rPr>
                <w:rFonts w:ascii="Times New Roman" w:hAnsi="Times New Roman" w:cs="Times New Roman"/>
                <w:color w:val="000000"/>
              </w:rPr>
              <w:t xml:space="preserve"> in the case review. </w:t>
            </w:r>
          </w:p>
          <w:p w14:paraId="28E2F899" w14:textId="77777777" w:rsidR="00351F2E" w:rsidRPr="00110583" w:rsidRDefault="00351F2E" w:rsidP="00351F2E"/>
          <w:p w14:paraId="3F0CC7D3" w14:textId="77777777" w:rsidR="00351F2E" w:rsidRPr="00110583" w:rsidRDefault="00351F2E" w:rsidP="00351F2E">
            <w:pPr>
              <w:spacing w:line="360" w:lineRule="auto"/>
            </w:pPr>
          </w:p>
          <w:p w14:paraId="598C0222" w14:textId="02D92F82" w:rsidR="00FA38A4" w:rsidRPr="003A798E" w:rsidRDefault="00FA38A4" w:rsidP="00351F2E">
            <w:pPr>
              <w:spacing w:line="360" w:lineRule="auto"/>
              <w:ind w:firstLine="720"/>
            </w:pPr>
          </w:p>
        </w:tc>
      </w:tr>
      <w:tr w:rsidR="00FA38A4" w:rsidRPr="003A798E" w14:paraId="35DA261D" w14:textId="77777777" w:rsidTr="00FA38A4">
        <w:trPr>
          <w:trHeight w:val="3459"/>
        </w:trPr>
        <w:tc>
          <w:tcPr>
            <w:tcW w:w="1701" w:type="dxa"/>
            <w:shd w:val="clear" w:color="auto" w:fill="ECFBFB" w:themeFill="accent4"/>
          </w:tcPr>
          <w:p w14:paraId="0FAD7B75" w14:textId="77777777" w:rsidR="00FA38A4" w:rsidRPr="003A798E" w:rsidRDefault="00FA38A4" w:rsidP="00D6375E"/>
        </w:tc>
        <w:tc>
          <w:tcPr>
            <w:tcW w:w="10915" w:type="dxa"/>
            <w:gridSpan w:val="3"/>
            <w:tcBorders>
              <w:top w:val="single" w:sz="18" w:space="0" w:color="00C1C7" w:themeColor="accent2"/>
              <w:bottom w:val="single" w:sz="18" w:space="0" w:color="00C1C7" w:themeColor="accent2"/>
            </w:tcBorders>
            <w:shd w:val="clear" w:color="auto" w:fill="ECFBFB" w:themeFill="accent4"/>
            <w:vAlign w:val="center"/>
          </w:tcPr>
          <w:p w14:paraId="5EA01CAE" w14:textId="3AE5E5B3" w:rsidR="00351F2E" w:rsidRDefault="00351F2E" w:rsidP="00351F2E">
            <w:pPr>
              <w:pStyle w:val="Heading3"/>
              <w:rPr>
                <w:rStyle w:val="Emphasis"/>
              </w:rPr>
            </w:pPr>
            <w:r>
              <w:rPr>
                <w:rStyle w:val="Emphasis"/>
              </w:rPr>
              <w:t>SUPPORTING LITERATURE</w:t>
            </w:r>
          </w:p>
          <w:p w14:paraId="32D308C7" w14:textId="77777777" w:rsidR="00351F2E" w:rsidRPr="00351F2E" w:rsidRDefault="00351F2E" w:rsidP="00351F2E"/>
          <w:p w14:paraId="5FBEE57A" w14:textId="77777777" w:rsidR="00351F2E" w:rsidRDefault="00351F2E" w:rsidP="00351F2E">
            <w:pPr>
              <w:spacing w:line="360" w:lineRule="auto"/>
              <w:ind w:firstLine="720"/>
              <w:rPr>
                <w:rFonts w:ascii="Times New Roman" w:hAnsi="Times New Roman" w:cs="Times New Roman"/>
              </w:rPr>
            </w:pPr>
            <w:r w:rsidRPr="00E16EA4">
              <w:rPr>
                <w:rFonts w:ascii="Times New Roman" w:hAnsi="Times New Roman" w:cs="Times New Roman"/>
              </w:rPr>
              <w:t xml:space="preserve">Catrin Wyn-James' response suggests that officers are operating in a high-stress environment and experiencing work overload due to various factors, including budget cuts, which further add to the strain of an already demanding and challenging occupation </w:t>
            </w:r>
            <w:r w:rsidRPr="00E16EA4">
              <w:rPr>
                <w:rFonts w:ascii="Times New Roman" w:hAnsi="Times New Roman" w:cs="Times New Roman"/>
                <w:color w:val="1B1B1B"/>
                <w:shd w:val="clear" w:color="auto" w:fill="FFFFFF"/>
              </w:rPr>
              <w:t xml:space="preserve">(Burchell et al., 2022; Cartwright &amp; Roach, 2020). </w:t>
            </w:r>
            <w:r w:rsidRPr="00E16EA4">
              <w:rPr>
                <w:rFonts w:ascii="Times New Roman" w:hAnsi="Times New Roman" w:cs="Times New Roman"/>
              </w:rPr>
              <w:t>Park</w:t>
            </w:r>
            <w:r>
              <w:rPr>
                <w:rFonts w:ascii="Times New Roman" w:hAnsi="Times New Roman" w:cs="Times New Roman"/>
              </w:rPr>
              <w:t>e</w:t>
            </w:r>
            <w:r w:rsidRPr="00E16EA4">
              <w:rPr>
                <w:rFonts w:ascii="Times New Roman" w:hAnsi="Times New Roman" w:cs="Times New Roman"/>
              </w:rPr>
              <w:t>s et al. (2024) found that over half of UK police reported taking sickness absences</w:t>
            </w:r>
            <w:r>
              <w:rPr>
                <w:rFonts w:ascii="Times New Roman" w:hAnsi="Times New Roman" w:cs="Times New Roman"/>
              </w:rPr>
              <w:t xml:space="preserve">. </w:t>
            </w:r>
            <w:r w:rsidRPr="00E16EA4">
              <w:rPr>
                <w:rFonts w:ascii="Times New Roman" w:hAnsi="Times New Roman" w:cs="Times New Roman"/>
              </w:rPr>
              <w:t xml:space="preserve">This high-stress occupation </w:t>
            </w:r>
            <w:r>
              <w:rPr>
                <w:rFonts w:ascii="Times New Roman" w:hAnsi="Times New Roman" w:cs="Times New Roman"/>
              </w:rPr>
              <w:t>may</w:t>
            </w:r>
            <w:r w:rsidRPr="00E16EA4">
              <w:rPr>
                <w:rFonts w:ascii="Times New Roman" w:hAnsi="Times New Roman" w:cs="Times New Roman"/>
              </w:rPr>
              <w:t xml:space="preserve"> have impeding effects on the working memory of officers</w:t>
            </w:r>
            <w:r>
              <w:rPr>
                <w:rFonts w:ascii="Times New Roman" w:hAnsi="Times New Roman" w:cs="Times New Roman"/>
              </w:rPr>
              <w:t>,</w:t>
            </w:r>
            <w:r w:rsidRPr="00E16EA4">
              <w:rPr>
                <w:rFonts w:ascii="Times New Roman" w:hAnsi="Times New Roman" w:cs="Times New Roman"/>
              </w:rPr>
              <w:t xml:space="preserve"> </w:t>
            </w:r>
            <w:r>
              <w:rPr>
                <w:rFonts w:ascii="Times New Roman" w:hAnsi="Times New Roman" w:cs="Times New Roman"/>
              </w:rPr>
              <w:t>leading</w:t>
            </w:r>
            <w:r w:rsidRPr="00E16EA4">
              <w:rPr>
                <w:rFonts w:ascii="Times New Roman" w:hAnsi="Times New Roman" w:cs="Times New Roman"/>
              </w:rPr>
              <w:t xml:space="preserve"> to errors. </w:t>
            </w:r>
            <w:proofErr w:type="spellStart"/>
            <w:r w:rsidRPr="00E16EA4">
              <w:rPr>
                <w:rFonts w:ascii="Times New Roman" w:hAnsi="Times New Roman" w:cs="Times New Roman"/>
                <w:color w:val="000000"/>
              </w:rPr>
              <w:t>Geißler</w:t>
            </w:r>
            <w:proofErr w:type="spellEnd"/>
            <w:r w:rsidRPr="00E16EA4">
              <w:rPr>
                <w:rFonts w:ascii="Times New Roman" w:hAnsi="Times New Roman" w:cs="Times New Roman"/>
                <w:color w:val="000000"/>
              </w:rPr>
              <w:t xml:space="preserve"> et al. (2023) found that severe stress impairs working memory in a time-</w:t>
            </w:r>
            <w:r>
              <w:rPr>
                <w:rFonts w:ascii="Times New Roman" w:hAnsi="Times New Roman" w:cs="Times New Roman"/>
                <w:color w:val="000000"/>
              </w:rPr>
              <w:t>sensitive</w:t>
            </w:r>
            <w:r w:rsidRPr="00E16EA4">
              <w:rPr>
                <w:rFonts w:ascii="Times New Roman" w:hAnsi="Times New Roman" w:cs="Times New Roman"/>
                <w:color w:val="000000"/>
              </w:rPr>
              <w:t xml:space="preserve"> </w:t>
            </w:r>
            <w:r>
              <w:rPr>
                <w:rFonts w:ascii="Times New Roman" w:hAnsi="Times New Roman" w:cs="Times New Roman"/>
                <w:color w:val="000000"/>
              </w:rPr>
              <w:t>way</w:t>
            </w:r>
            <w:r w:rsidRPr="00E16EA4">
              <w:rPr>
                <w:rFonts w:ascii="Times New Roman" w:hAnsi="Times New Roman" w:cs="Times New Roman"/>
                <w:color w:val="000000"/>
              </w:rPr>
              <w:t xml:space="preserve">, first through a rapid noradrenaline spike, then </w:t>
            </w:r>
            <w:r>
              <w:rPr>
                <w:rFonts w:ascii="Times New Roman" w:hAnsi="Times New Roman" w:cs="Times New Roman"/>
                <w:color w:val="000000"/>
              </w:rPr>
              <w:t xml:space="preserve">a further </w:t>
            </w:r>
            <w:r w:rsidRPr="00E16EA4">
              <w:rPr>
                <w:rFonts w:ascii="Times New Roman" w:hAnsi="Times New Roman" w:cs="Times New Roman"/>
                <w:color w:val="000000"/>
              </w:rPr>
              <w:t xml:space="preserve">cortisol peak post-stressor, which may help explain the delayed and inconsistent police responses in the </w:t>
            </w:r>
            <w:proofErr w:type="spellStart"/>
            <w:r w:rsidRPr="00E16EA4">
              <w:rPr>
                <w:rFonts w:ascii="Times New Roman" w:hAnsi="Times New Roman" w:cs="Times New Roman"/>
                <w:color w:val="000000"/>
              </w:rPr>
              <w:t>Glynafonshire</w:t>
            </w:r>
            <w:proofErr w:type="spellEnd"/>
            <w:r w:rsidRPr="00E16EA4">
              <w:rPr>
                <w:rFonts w:ascii="Times New Roman" w:hAnsi="Times New Roman" w:cs="Times New Roman"/>
                <w:color w:val="000000"/>
              </w:rPr>
              <w:t xml:space="preserve"> case, as officers under sustained stress may have been cognitively compromised at critical </w:t>
            </w:r>
            <w:r w:rsidRPr="00E16EA4">
              <w:rPr>
                <w:rFonts w:ascii="Times New Roman" w:hAnsi="Times New Roman" w:cs="Times New Roman"/>
                <w:color w:val="000000"/>
              </w:rPr>
              <w:lastRenderedPageBreak/>
              <w:t xml:space="preserve">moments where working memory is required. </w:t>
            </w:r>
            <w:proofErr w:type="spellStart"/>
            <w:r w:rsidRPr="00F345B5">
              <w:rPr>
                <w:rFonts w:ascii="Times New Roman" w:hAnsi="Times New Roman" w:cs="Times New Roman"/>
                <w:color w:val="000000"/>
              </w:rPr>
              <w:t>Kleider</w:t>
            </w:r>
            <w:proofErr w:type="spellEnd"/>
            <w:r w:rsidRPr="00F345B5">
              <w:rPr>
                <w:rFonts w:ascii="Times New Roman" w:hAnsi="Times New Roman" w:cs="Times New Roman"/>
                <w:color w:val="000000"/>
              </w:rPr>
              <w:t>-Offutt</w:t>
            </w:r>
            <w:r w:rsidRPr="00E16EA4">
              <w:rPr>
                <w:rFonts w:ascii="Times New Roman" w:hAnsi="Times New Roman" w:cs="Times New Roman"/>
              </w:rPr>
              <w:t xml:space="preserve"> et al. (2016) on influences on police shooting</w:t>
            </w:r>
            <w:r>
              <w:rPr>
                <w:rFonts w:ascii="Times New Roman" w:hAnsi="Times New Roman" w:cs="Times New Roman"/>
              </w:rPr>
              <w:t>s</w:t>
            </w:r>
            <w:r w:rsidRPr="00E16EA4">
              <w:rPr>
                <w:rFonts w:ascii="Times New Roman" w:hAnsi="Times New Roman" w:cs="Times New Roman"/>
              </w:rPr>
              <w:t xml:space="preserve"> shows that situational stressors, such as a heavy attention load, lead to a depletion in working memory capacity, which impairs individuals' ability to engage in controlled, deliberate decision-making and thus leads to errors. </w:t>
            </w:r>
          </w:p>
          <w:p w14:paraId="23724A07" w14:textId="77777777" w:rsidR="00351F2E" w:rsidRDefault="00351F2E" w:rsidP="00351F2E"/>
          <w:p w14:paraId="68CA1EDE" w14:textId="77777777" w:rsidR="00351F2E" w:rsidRDefault="00351F2E" w:rsidP="00351F2E"/>
          <w:p w14:paraId="39844386" w14:textId="77777777" w:rsidR="00351F2E" w:rsidRDefault="00351F2E" w:rsidP="00351F2E"/>
          <w:p w14:paraId="23E61A8F" w14:textId="77777777" w:rsidR="00351F2E" w:rsidRDefault="00351F2E" w:rsidP="00351F2E"/>
          <w:p w14:paraId="03A95032" w14:textId="77777777" w:rsidR="00351F2E" w:rsidRDefault="00351F2E" w:rsidP="00351F2E"/>
          <w:p w14:paraId="0333A610" w14:textId="77777777" w:rsidR="00351F2E" w:rsidRDefault="00351F2E" w:rsidP="00351F2E"/>
          <w:p w14:paraId="29ECF003" w14:textId="77777777" w:rsidR="00351F2E" w:rsidRDefault="00351F2E" w:rsidP="00351F2E"/>
          <w:p w14:paraId="4C07BBDD" w14:textId="77777777" w:rsidR="00351F2E" w:rsidRDefault="00351F2E" w:rsidP="00351F2E"/>
          <w:p w14:paraId="5BB860CD" w14:textId="6B2427FD" w:rsidR="00351F2E" w:rsidRPr="00351F2E" w:rsidRDefault="00351F2E" w:rsidP="00351F2E"/>
        </w:tc>
      </w:tr>
      <w:tr w:rsidR="00FA38A4" w:rsidRPr="003A798E" w14:paraId="13661A8A" w14:textId="77777777" w:rsidTr="00FA38A4">
        <w:tblPrEx>
          <w:shd w:val="clear" w:color="auto" w:fill="EDF0F4" w:themeFill="accent3"/>
          <w:tblCellMar>
            <w:left w:w="0" w:type="dxa"/>
            <w:right w:w="0" w:type="dxa"/>
          </w:tblCellMar>
        </w:tblPrEx>
        <w:trPr>
          <w:gridBefore w:val="1"/>
          <w:gridAfter w:val="1"/>
          <w:wBefore w:w="1701" w:type="dxa"/>
          <w:wAfter w:w="142" w:type="dxa"/>
          <w:trHeight w:val="4599"/>
        </w:trPr>
        <w:tc>
          <w:tcPr>
            <w:tcW w:w="10773" w:type="dxa"/>
            <w:gridSpan w:val="2"/>
            <w:shd w:val="clear" w:color="auto" w:fill="EDF0F4" w:themeFill="accent3"/>
          </w:tcPr>
          <w:p w14:paraId="6A978619" w14:textId="77777777" w:rsidR="00351F2E" w:rsidRDefault="00FA38A4" w:rsidP="000751D2">
            <w:pPr>
              <w:pStyle w:val="Heading3"/>
            </w:pPr>
            <w:r>
              <w:lastRenderedPageBreak/>
              <w:t xml:space="preserve">SUGGESTIONS FOR NEW PROCEDURES BASED ON THE </w:t>
            </w:r>
            <w:r w:rsidR="00351F2E">
              <w:t>WORKING MEMORY MODEL (BADDELEY &amp; HITCH, 1974)</w:t>
            </w:r>
          </w:p>
          <w:p w14:paraId="1113F08C" w14:textId="77777777" w:rsidR="00351F2E" w:rsidRDefault="00351F2E" w:rsidP="00351F2E"/>
          <w:p w14:paraId="5919F42A" w14:textId="77777777" w:rsidR="00A938E0" w:rsidRDefault="00A938E0" w:rsidP="00A938E0">
            <w:pPr>
              <w:spacing w:line="360" w:lineRule="auto"/>
              <w:ind w:firstLine="720"/>
              <w:rPr>
                <w:rFonts w:ascii="Times New Roman" w:hAnsi="Times New Roman" w:cs="Times New Roman"/>
              </w:rPr>
            </w:pPr>
            <w:r w:rsidRPr="003540BB">
              <w:rPr>
                <w:rFonts w:ascii="Times New Roman" w:hAnsi="Times New Roman" w:cs="Times New Roman"/>
              </w:rPr>
              <w:t xml:space="preserve">To prevent similar failures in the future, the WMM highlights the need for operational reforms that reduce cognitive overload and support the limited capacity of officers' working memory. </w:t>
            </w:r>
            <w:r w:rsidRPr="00816C70">
              <w:rPr>
                <w:rFonts w:ascii="Times New Roman" w:hAnsi="Times New Roman" w:cs="Times New Roman"/>
              </w:rPr>
              <w:t xml:space="preserve">Implementing AI-assisted triage and real-time dashboards can significantly reduce the burden on officers’ central executive by automating </w:t>
            </w:r>
            <w:proofErr w:type="spellStart"/>
            <w:r w:rsidRPr="00816C70">
              <w:rPr>
                <w:rFonts w:ascii="Times New Roman" w:hAnsi="Times New Roman" w:cs="Times New Roman"/>
              </w:rPr>
              <w:t>prioritisation</w:t>
            </w:r>
            <w:proofErr w:type="spellEnd"/>
            <w:r w:rsidRPr="00816C70">
              <w:rPr>
                <w:rFonts w:ascii="Times New Roman" w:hAnsi="Times New Roman" w:cs="Times New Roman"/>
              </w:rPr>
              <w:t xml:space="preserve"> and structuring incoming information. These systems could not only support attention management but also aid the episodic buffer by integrating</w:t>
            </w:r>
            <w:r>
              <w:rPr>
                <w:rFonts w:ascii="Times New Roman" w:hAnsi="Times New Roman" w:cs="Times New Roman"/>
              </w:rPr>
              <w:t xml:space="preserve"> accurate</w:t>
            </w:r>
            <w:r w:rsidRPr="00816C70">
              <w:rPr>
                <w:rFonts w:ascii="Times New Roman" w:hAnsi="Times New Roman" w:cs="Times New Roman"/>
              </w:rPr>
              <w:t xml:space="preserve"> verbal, spatial, and contextual data, such as call logs, incident histories, and location maps, into a coherent, real-time interface</w:t>
            </w:r>
            <w:r>
              <w:rPr>
                <w:rFonts w:ascii="Times New Roman" w:hAnsi="Times New Roman" w:cs="Times New Roman"/>
              </w:rPr>
              <w:t xml:space="preserve">. </w:t>
            </w:r>
            <w:r w:rsidRPr="00816C70">
              <w:rPr>
                <w:rFonts w:ascii="Times New Roman" w:hAnsi="Times New Roman" w:cs="Times New Roman"/>
              </w:rPr>
              <w:t xml:space="preserve"> </w:t>
            </w:r>
          </w:p>
          <w:p w14:paraId="53B8E113" w14:textId="77777777" w:rsidR="00A938E0" w:rsidRDefault="00A938E0" w:rsidP="00A938E0">
            <w:pPr>
              <w:spacing w:line="360" w:lineRule="auto"/>
              <w:rPr>
                <w:rFonts w:ascii="Times New Roman" w:hAnsi="Times New Roman" w:cs="Times New Roman"/>
              </w:rPr>
            </w:pPr>
          </w:p>
          <w:p w14:paraId="769F6C5E" w14:textId="77777777" w:rsidR="00A938E0" w:rsidRPr="00FF2E75" w:rsidRDefault="00A938E0" w:rsidP="00A938E0">
            <w:pPr>
              <w:spacing w:line="360" w:lineRule="auto"/>
              <w:ind w:firstLine="720"/>
              <w:rPr>
                <w:rFonts w:ascii="Times New Roman" w:hAnsi="Times New Roman" w:cs="Times New Roman"/>
                <w:kern w:val="2"/>
              </w:rPr>
            </w:pPr>
            <w:r w:rsidRPr="00816C70">
              <w:rPr>
                <w:rFonts w:ascii="Times New Roman" w:hAnsi="Times New Roman" w:cs="Times New Roman"/>
                <w14:ligatures w14:val="standardContextual"/>
              </w:rPr>
              <w:t xml:space="preserve">AI-assisted triage has been shown to improve decision accuracy, </w:t>
            </w:r>
            <w:proofErr w:type="spellStart"/>
            <w:r w:rsidRPr="00816C70">
              <w:rPr>
                <w:rFonts w:ascii="Times New Roman" w:hAnsi="Times New Roman" w:cs="Times New Roman"/>
                <w14:ligatures w14:val="standardContextual"/>
              </w:rPr>
              <w:t>optimise</w:t>
            </w:r>
            <w:proofErr w:type="spellEnd"/>
            <w:r w:rsidRPr="00816C70">
              <w:rPr>
                <w:rFonts w:ascii="Times New Roman" w:hAnsi="Times New Roman" w:cs="Times New Roman"/>
                <w14:ligatures w14:val="standardContextual"/>
              </w:rPr>
              <w:t xml:space="preserve"> resource use, and enhance risk assessment by lowering task load</w:t>
            </w:r>
            <w:r w:rsidRPr="00816C70">
              <w:rPr>
                <w:rFonts w:ascii="Times New Roman" w:hAnsi="Times New Roman" w:cs="Times New Roman"/>
              </w:rPr>
              <w:t xml:space="preserve"> </w:t>
            </w:r>
            <w:r w:rsidRPr="00816C70">
              <w:rPr>
                <w:rFonts w:ascii="Times New Roman" w:hAnsi="Times New Roman" w:cs="Times New Roman"/>
                <w14:ligatures w14:val="standardContextual"/>
              </w:rPr>
              <w:t>(</w:t>
            </w:r>
            <w:proofErr w:type="spellStart"/>
            <w:r w:rsidRPr="00816C70">
              <w:rPr>
                <w:rFonts w:ascii="Times New Roman" w:hAnsi="Times New Roman" w:cs="Times New Roman"/>
                <w:color w:val="000000"/>
              </w:rPr>
              <w:t>Da’Costa</w:t>
            </w:r>
            <w:proofErr w:type="spellEnd"/>
            <w:r w:rsidRPr="00816C70">
              <w:rPr>
                <w:rFonts w:ascii="Times New Roman" w:hAnsi="Times New Roman" w:cs="Times New Roman"/>
              </w:rPr>
              <w:t xml:space="preserve"> et al., 2025; </w:t>
            </w:r>
            <w:r w:rsidRPr="00816C70">
              <w:rPr>
                <w:rFonts w:ascii="Times New Roman" w:hAnsi="Times New Roman" w:cs="Times New Roman"/>
                <w14:ligatures w14:val="standardContextual"/>
              </w:rPr>
              <w:t>Tyler et al., 2024).</w:t>
            </w:r>
            <w:r w:rsidRPr="00816C70">
              <w:rPr>
                <w:rFonts w:ascii="Times New Roman" w:hAnsi="Times New Roman" w:cs="Times New Roman"/>
              </w:rPr>
              <w:t xml:space="preserve"> </w:t>
            </w:r>
            <w:r w:rsidRPr="00816C70">
              <w:rPr>
                <w:rFonts w:ascii="Times New Roman" w:hAnsi="Times New Roman" w:cs="Times New Roman"/>
                <w14:ligatures w14:val="standardContextual"/>
              </w:rPr>
              <w:t xml:space="preserve">These systems enable a focus on critical tasks over routine data handling, </w:t>
            </w:r>
            <w:r w:rsidRPr="00816C70">
              <w:rPr>
                <w:rFonts w:ascii="Times New Roman" w:hAnsi="Times New Roman" w:cs="Times New Roman"/>
              </w:rPr>
              <w:t>requir</w:t>
            </w:r>
            <w:r w:rsidRPr="00816C70">
              <w:rPr>
                <w:rFonts w:ascii="Times New Roman" w:hAnsi="Times New Roman" w:cs="Times New Roman"/>
                <w14:ligatures w14:val="standardContextual"/>
              </w:rPr>
              <w:t xml:space="preserve">ing comparable resources to those </w:t>
            </w:r>
            <w:r w:rsidRPr="00816C70">
              <w:rPr>
                <w:rFonts w:ascii="Times New Roman" w:hAnsi="Times New Roman" w:cs="Times New Roman"/>
              </w:rPr>
              <w:t>allocat</w:t>
            </w:r>
            <w:r w:rsidRPr="00816C70">
              <w:rPr>
                <w:rFonts w:ascii="Times New Roman" w:hAnsi="Times New Roman" w:cs="Times New Roman"/>
                <w14:ligatures w14:val="standardContextual"/>
              </w:rPr>
              <w:t xml:space="preserve">ed </w:t>
            </w:r>
            <w:r w:rsidRPr="00816C70">
              <w:rPr>
                <w:rFonts w:ascii="Times New Roman" w:hAnsi="Times New Roman" w:cs="Times New Roman"/>
              </w:rPr>
              <w:t>to</w:t>
            </w:r>
            <w:r w:rsidRPr="00816C70">
              <w:rPr>
                <w:rFonts w:ascii="Times New Roman" w:hAnsi="Times New Roman" w:cs="Times New Roman"/>
                <w14:ligatures w14:val="standardContextual"/>
              </w:rPr>
              <w:t xml:space="preserve"> officers (</w:t>
            </w:r>
            <w:proofErr w:type="spellStart"/>
            <w:r w:rsidRPr="00816C70">
              <w:rPr>
                <w:rFonts w:ascii="Times New Roman" w:hAnsi="Times New Roman" w:cs="Times New Roman"/>
                <w:color w:val="000000"/>
              </w:rPr>
              <w:t>Da’Costa</w:t>
            </w:r>
            <w:proofErr w:type="spellEnd"/>
            <w:r w:rsidRPr="00816C70">
              <w:rPr>
                <w:rFonts w:ascii="Times New Roman" w:hAnsi="Times New Roman" w:cs="Times New Roman"/>
              </w:rPr>
              <w:t xml:space="preserve"> et al., 2025; </w:t>
            </w:r>
            <w:r w:rsidRPr="00816C70">
              <w:rPr>
                <w:rFonts w:ascii="Times New Roman" w:hAnsi="Times New Roman" w:cs="Times New Roman"/>
                <w14:ligatures w14:val="standardContextual"/>
              </w:rPr>
              <w:t>Tyler et al., 2024).</w:t>
            </w:r>
            <w:r w:rsidRPr="00816C70">
              <w:rPr>
                <w:rFonts w:ascii="Times New Roman" w:hAnsi="Times New Roman" w:cs="Times New Roman"/>
              </w:rPr>
              <w:t xml:space="preserve"> Adopting similar tools in policing could reduce cognitive strain, improve decision-making</w:t>
            </w:r>
            <w:r>
              <w:rPr>
                <w:rFonts w:ascii="Times New Roman" w:hAnsi="Times New Roman" w:cs="Times New Roman"/>
              </w:rPr>
              <w:t xml:space="preserve"> </w:t>
            </w:r>
            <w:r w:rsidRPr="00816C70">
              <w:rPr>
                <w:rFonts w:ascii="Times New Roman" w:hAnsi="Times New Roman" w:cs="Times New Roman"/>
              </w:rPr>
              <w:t>and mitigate failures such as delayed responses and missed follow-ups, as seen in the case report. By aligning operational systems with the mental demands faced by officers, working memory resources can be preserved, and performance outcomes can be enhanced.</w:t>
            </w:r>
            <w:r>
              <w:rPr>
                <w:rFonts w:ascii="Times New Roman" w:hAnsi="Times New Roman" w:cs="Times New Roman"/>
              </w:rPr>
              <w:t xml:space="preserve"> </w:t>
            </w:r>
            <w:r w:rsidRPr="00E13466">
              <w:rPr>
                <w:rFonts w:ascii="Times New Roman" w:hAnsi="Times New Roman" w:cs="Times New Roman"/>
              </w:rPr>
              <w:t>However, these tools should be used with caution, as overreliance on automation can lead to errors. Despite their benefits, AI-assisted triage systems raise concerns about data quality, ethics, and inconsistent performance, highlighting the continued importance of human oversight (</w:t>
            </w:r>
            <w:proofErr w:type="spellStart"/>
            <w:r w:rsidRPr="00E13466">
              <w:rPr>
                <w:rFonts w:ascii="Times New Roman" w:hAnsi="Times New Roman" w:cs="Times New Roman"/>
                <w:color w:val="000000"/>
              </w:rPr>
              <w:t>Araouchi</w:t>
            </w:r>
            <w:proofErr w:type="spellEnd"/>
            <w:r w:rsidRPr="00E13466">
              <w:rPr>
                <w:rFonts w:ascii="Times New Roman" w:hAnsi="Times New Roman" w:cs="Times New Roman"/>
                <w:color w:val="000000"/>
              </w:rPr>
              <w:t xml:space="preserve"> </w:t>
            </w:r>
            <w:r>
              <w:rPr>
                <w:rFonts w:ascii="Times New Roman" w:hAnsi="Times New Roman" w:cs="Times New Roman"/>
                <w:color w:val="000000"/>
              </w:rPr>
              <w:t xml:space="preserve">&amp; </w:t>
            </w:r>
            <w:r w:rsidRPr="00E13466">
              <w:rPr>
                <w:rFonts w:ascii="Times New Roman" w:hAnsi="Times New Roman" w:cs="Times New Roman"/>
                <w:color w:val="000000"/>
              </w:rPr>
              <w:t>Adda, 2025</w:t>
            </w:r>
            <w:r w:rsidRPr="00E13466">
              <w:rPr>
                <w:rFonts w:ascii="Times New Roman" w:hAnsi="Times New Roman" w:cs="Times New Roman"/>
              </w:rPr>
              <w:t>).</w:t>
            </w:r>
          </w:p>
          <w:p w14:paraId="5D0D4383" w14:textId="77777777" w:rsidR="00A938E0" w:rsidRDefault="00A938E0" w:rsidP="00A938E0">
            <w:pPr>
              <w:autoSpaceDE w:val="0"/>
              <w:autoSpaceDN w:val="0"/>
              <w:adjustRightInd w:val="0"/>
              <w:spacing w:line="360" w:lineRule="auto"/>
              <w:rPr>
                <w:rFonts w:ascii="Times New Roman" w:hAnsi="Times New Roman" w:cs="Times New Roman"/>
              </w:rPr>
            </w:pPr>
          </w:p>
          <w:p w14:paraId="60E3F20C" w14:textId="77777777" w:rsidR="00A938E0" w:rsidRPr="0091602D" w:rsidRDefault="00A938E0" w:rsidP="00A938E0">
            <w:pPr>
              <w:autoSpaceDE w:val="0"/>
              <w:autoSpaceDN w:val="0"/>
              <w:adjustRightInd w:val="0"/>
              <w:spacing w:line="360" w:lineRule="auto"/>
              <w:ind w:firstLine="720"/>
              <w:rPr>
                <w:rFonts w:ascii="Times New Roman" w:hAnsi="Times New Roman" w:cs="Times New Roman"/>
              </w:rPr>
            </w:pPr>
            <w:r>
              <w:rPr>
                <w:rFonts w:ascii="Times New Roman" w:hAnsi="Times New Roman" w:cs="Times New Roman"/>
              </w:rPr>
              <w:t>A further</w:t>
            </w:r>
            <w:r w:rsidRPr="005D6692">
              <w:rPr>
                <w:rFonts w:ascii="Times New Roman" w:hAnsi="Times New Roman" w:cs="Times New Roman"/>
                <w14:ligatures w14:val="standardContextual"/>
              </w:rPr>
              <w:t xml:space="preserve"> recommendation </w:t>
            </w:r>
            <w:r>
              <w:rPr>
                <w:rFonts w:ascii="Times New Roman" w:hAnsi="Times New Roman" w:cs="Times New Roman"/>
              </w:rPr>
              <w:t>is suggested to</w:t>
            </w:r>
            <w:r w:rsidRPr="005D6692">
              <w:rPr>
                <w:rFonts w:ascii="Times New Roman" w:hAnsi="Times New Roman" w:cs="Times New Roman"/>
                <w14:ligatures w14:val="standardContextual"/>
              </w:rPr>
              <w:t xml:space="preserve"> improv</w:t>
            </w:r>
            <w:r>
              <w:rPr>
                <w:rFonts w:ascii="Times New Roman" w:hAnsi="Times New Roman" w:cs="Times New Roman"/>
              </w:rPr>
              <w:t>e</w:t>
            </w:r>
            <w:r w:rsidRPr="005D6692">
              <w:rPr>
                <w:rFonts w:ascii="Times New Roman" w:hAnsi="Times New Roman" w:cs="Times New Roman"/>
                <w14:ligatures w14:val="standardContextual"/>
              </w:rPr>
              <w:t xml:space="preserve"> multi-agency collaboration. As Catrin Wyn-James noted, antisocial </w:t>
            </w:r>
            <w:proofErr w:type="spellStart"/>
            <w:r w:rsidRPr="005D6692">
              <w:rPr>
                <w:rFonts w:ascii="Times New Roman" w:hAnsi="Times New Roman" w:cs="Times New Roman"/>
                <w14:ligatures w14:val="standardContextual"/>
              </w:rPr>
              <w:t>behaviour</w:t>
            </w:r>
            <w:proofErr w:type="spellEnd"/>
            <w:r w:rsidRPr="005D6692">
              <w:rPr>
                <w:rFonts w:ascii="Times New Roman" w:hAnsi="Times New Roman" w:cs="Times New Roman"/>
                <w14:ligatures w14:val="standardContextual"/>
              </w:rPr>
              <w:t xml:space="preserve"> often stems from deeper issues like mental health</w:t>
            </w:r>
            <w:r>
              <w:rPr>
                <w:rFonts w:ascii="Times New Roman" w:hAnsi="Times New Roman" w:cs="Times New Roman"/>
              </w:rPr>
              <w:t xml:space="preserve"> and </w:t>
            </w:r>
            <w:r w:rsidRPr="005D6692">
              <w:rPr>
                <w:rFonts w:ascii="Times New Roman" w:hAnsi="Times New Roman" w:cs="Times New Roman"/>
                <w14:ligatures w14:val="standardContextual"/>
              </w:rPr>
              <w:t xml:space="preserve">substance misuse, requiring </w:t>
            </w:r>
            <w:r>
              <w:rPr>
                <w:rFonts w:ascii="Times New Roman" w:hAnsi="Times New Roman" w:cs="Times New Roman"/>
              </w:rPr>
              <w:t>additional support.</w:t>
            </w:r>
            <w:r w:rsidRPr="005D6692">
              <w:rPr>
                <w:rFonts w:ascii="Times New Roman" w:hAnsi="Times New Roman" w:cs="Times New Roman"/>
                <w14:ligatures w14:val="standardContextual"/>
              </w:rPr>
              <w:t xml:space="preserve"> </w:t>
            </w:r>
            <w:r w:rsidRPr="005D6692">
              <w:rPr>
                <w:rFonts w:ascii="Times New Roman" w:hAnsi="Times New Roman" w:cs="Times New Roman"/>
              </w:rPr>
              <w:t>Noga et al. (2015) suggested that implementing collaborative approaches, such as those involving mental health, social care, and policing, is crucial for effectively addressing complex cases.</w:t>
            </w:r>
            <w:r w:rsidRPr="005D6692">
              <w:rPr>
                <w:rFonts w:ascii="Times New Roman" w:hAnsi="Times New Roman" w:cs="Times New Roman"/>
                <w14:ligatures w14:val="standardContextual"/>
              </w:rPr>
              <w:t xml:space="preserve"> Moreover, </w:t>
            </w:r>
            <w:r w:rsidRPr="005D6692">
              <w:rPr>
                <w:rFonts w:ascii="Times New Roman" w:hAnsi="Times New Roman" w:cs="Times New Roman"/>
              </w:rPr>
              <w:t>Violence Reduction Units have reported that multi-agency collaborations have reduced violent crimes in some regions of England and Wales (GOV.UK, 2023</w:t>
            </w:r>
            <w:r w:rsidRPr="005D6692">
              <w:rPr>
                <w:rFonts w:ascii="Times New Roman" w:hAnsi="Times New Roman" w:cs="Times New Roman"/>
                <w14:ligatures w14:val="standardContextual"/>
              </w:rPr>
              <w:t xml:space="preserve">). </w:t>
            </w:r>
            <w:r w:rsidRPr="005D6692">
              <w:rPr>
                <w:rFonts w:ascii="Times New Roman" w:hAnsi="Times New Roman" w:cs="Times New Roman"/>
              </w:rPr>
              <w:t xml:space="preserve">Such collaborations </w:t>
            </w:r>
            <w:r>
              <w:rPr>
                <w:rFonts w:ascii="Times New Roman" w:hAnsi="Times New Roman" w:cs="Times New Roman"/>
              </w:rPr>
              <w:t xml:space="preserve">could </w:t>
            </w:r>
            <w:r w:rsidRPr="005D6692">
              <w:rPr>
                <w:rFonts w:ascii="Times New Roman" w:hAnsi="Times New Roman" w:cs="Times New Roman"/>
              </w:rPr>
              <w:t xml:space="preserve">help alleviate operational pressure on officers </w:t>
            </w:r>
            <w:r>
              <w:rPr>
                <w:rFonts w:ascii="Times New Roman" w:hAnsi="Times New Roman" w:cs="Times New Roman"/>
              </w:rPr>
              <w:t>by lessening the demands, enabling more effective management of attention and working memory resources, and allocating more time to the community, thereby rebuilding public trust.</w:t>
            </w:r>
          </w:p>
          <w:p w14:paraId="385A66C3" w14:textId="223A014A" w:rsidR="00FA38A4" w:rsidRDefault="00FA38A4" w:rsidP="000751D2">
            <w:pPr>
              <w:pStyle w:val="Heading3"/>
            </w:pPr>
          </w:p>
          <w:p w14:paraId="1DE2D1DC" w14:textId="77777777" w:rsidR="00351F2E" w:rsidRPr="00351F2E" w:rsidRDefault="00351F2E" w:rsidP="00351F2E"/>
          <w:p w14:paraId="303C466A" w14:textId="4ADA165D" w:rsidR="00FA38A4" w:rsidRPr="003A798E" w:rsidRDefault="00FA38A4" w:rsidP="00351F2E">
            <w:pPr>
              <w:spacing w:line="360" w:lineRule="auto"/>
              <w:ind w:firstLine="720"/>
            </w:pPr>
          </w:p>
        </w:tc>
      </w:tr>
      <w:tr w:rsidR="00FA38A4" w:rsidRPr="003A798E" w14:paraId="0B43E723" w14:textId="77777777" w:rsidTr="00FA38A4">
        <w:tblPrEx>
          <w:shd w:val="clear" w:color="auto" w:fill="EDF0F4" w:themeFill="accent3"/>
          <w:tblCellMar>
            <w:left w:w="0" w:type="dxa"/>
            <w:right w:w="0" w:type="dxa"/>
          </w:tblCellMar>
        </w:tblPrEx>
        <w:trPr>
          <w:gridBefore w:val="1"/>
          <w:gridAfter w:val="1"/>
          <w:wBefore w:w="1701" w:type="dxa"/>
          <w:wAfter w:w="142" w:type="dxa"/>
          <w:trHeight w:val="8879"/>
        </w:trPr>
        <w:tc>
          <w:tcPr>
            <w:tcW w:w="10773" w:type="dxa"/>
            <w:gridSpan w:val="2"/>
            <w:shd w:val="clear" w:color="auto" w:fill="EDF0F4" w:themeFill="accent3"/>
          </w:tcPr>
          <w:p w14:paraId="63B67C8E" w14:textId="664B0D42" w:rsidR="00FA38A4" w:rsidRDefault="0098239A" w:rsidP="000751D2">
            <w:pPr>
              <w:pStyle w:val="Heading3"/>
            </w:pPr>
            <w:r>
              <w:lastRenderedPageBreak/>
              <w:t>EVALUATION AND CRITIQUE OF</w:t>
            </w:r>
            <w:r w:rsidR="00FA38A4">
              <w:t xml:space="preserve"> </w:t>
            </w:r>
            <w:r w:rsidR="00351F2E">
              <w:t>THE WORKING MEMORY MODEL (BADDELEY &amp; HITCH, 1974)</w:t>
            </w:r>
          </w:p>
          <w:p w14:paraId="7E4467DE" w14:textId="77777777" w:rsidR="00351F2E" w:rsidRDefault="00351F2E" w:rsidP="00351F2E">
            <w:pPr>
              <w:rPr>
                <w:rFonts w:ascii="Times New Roman" w:hAnsi="Times New Roman" w:cs="Times New Roman"/>
              </w:rPr>
            </w:pPr>
          </w:p>
          <w:p w14:paraId="47EA715B" w14:textId="77777777" w:rsidR="00351F2E" w:rsidRDefault="00351F2E" w:rsidP="00351F2E">
            <w:pPr>
              <w:spacing w:line="360" w:lineRule="auto"/>
              <w:ind w:firstLine="720"/>
              <w:rPr>
                <w:rFonts w:ascii="Times New Roman" w:hAnsi="Times New Roman" w:cs="Times New Roman"/>
              </w:rPr>
            </w:pPr>
            <w:r>
              <w:rPr>
                <w:rFonts w:ascii="Times New Roman" w:hAnsi="Times New Roman" w:cs="Times New Roman"/>
              </w:rPr>
              <w:t xml:space="preserve">A key strength of WMM lies in its ability to explain multitasking and everyday cognitive activities (Eysenck &amp; Keane, 2020). Its influence has extended into diverse areas, including brain damage, ageing and even Alzheimer's disease, as well as brain imaging to deepen the understanding of memory (Eysenck &amp; Keane, 2020; Towse et al., 2025). It is particularly relevant in the context of the case review, as it highlights how even routine policing tasks rely on fragile cognitive systems that are easily disrupted, suggesting that the failures observed may not only reflect </w:t>
            </w:r>
            <w:proofErr w:type="spellStart"/>
            <w:r>
              <w:rPr>
                <w:rFonts w:ascii="Times New Roman" w:hAnsi="Times New Roman" w:cs="Times New Roman"/>
              </w:rPr>
              <w:t>organisational</w:t>
            </w:r>
            <w:proofErr w:type="spellEnd"/>
            <w:r>
              <w:rPr>
                <w:rFonts w:ascii="Times New Roman" w:hAnsi="Times New Roman" w:cs="Times New Roman"/>
              </w:rPr>
              <w:t xml:space="preserve"> issues but also fundamental human cognitive limits. However, Baddeley and Hitch (1974) acknowledged that the model would be a work in progress and welcomed its ongoing development and critique (Towse et al., 2025). </w:t>
            </w:r>
          </w:p>
          <w:p w14:paraId="080B7B84" w14:textId="77777777" w:rsidR="00351F2E" w:rsidRDefault="00351F2E" w:rsidP="00351F2E">
            <w:pPr>
              <w:spacing w:line="360" w:lineRule="auto"/>
              <w:ind w:firstLine="720"/>
              <w:rPr>
                <w:rFonts w:ascii="Times New Roman" w:hAnsi="Times New Roman" w:cs="Times New Roman"/>
              </w:rPr>
            </w:pPr>
          </w:p>
          <w:p w14:paraId="3B8E270F" w14:textId="77777777" w:rsidR="00351F2E" w:rsidRDefault="00351F2E" w:rsidP="00351F2E">
            <w:pPr>
              <w:spacing w:line="360" w:lineRule="auto"/>
              <w:ind w:firstLine="720"/>
              <w:rPr>
                <w:rFonts w:ascii="Times New Roman" w:hAnsi="Times New Roman" w:cs="Times New Roman"/>
                <w:color w:val="000000"/>
              </w:rPr>
            </w:pPr>
            <w:r w:rsidRPr="00E13466">
              <w:rPr>
                <w:rFonts w:ascii="Times New Roman" w:eastAsia="Times New Roman" w:hAnsi="Times New Roman" w:cs="Times New Roman"/>
                <w:color w:val="000000"/>
                <w:lang w:eastAsia="en-GB"/>
              </w:rPr>
              <w:t xml:space="preserve">The theoretical vagueness of the WMM has been highlighted by </w:t>
            </w:r>
            <w:proofErr w:type="spellStart"/>
            <w:r w:rsidRPr="00E13466">
              <w:rPr>
                <w:rFonts w:ascii="Times New Roman" w:eastAsia="Times New Roman" w:hAnsi="Times New Roman" w:cs="Times New Roman"/>
                <w:color w:val="000000"/>
                <w:lang w:eastAsia="en-GB"/>
              </w:rPr>
              <w:t>Logie</w:t>
            </w:r>
            <w:proofErr w:type="spellEnd"/>
            <w:r w:rsidRPr="00E13466">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 xml:space="preserve">and Cowen </w:t>
            </w:r>
            <w:r w:rsidRPr="00E13466">
              <w:rPr>
                <w:rFonts w:ascii="Times New Roman" w:eastAsia="Times New Roman" w:hAnsi="Times New Roman" w:cs="Times New Roman"/>
                <w:color w:val="000000"/>
                <w:lang w:eastAsia="en-GB"/>
              </w:rPr>
              <w:t xml:space="preserve">(2015), making it challenging to apply in police settings where clearly defined mechanisms are essential for interpretation and intervention. Specifically, </w:t>
            </w:r>
            <w:r>
              <w:rPr>
                <w:rFonts w:ascii="Times New Roman" w:eastAsia="Times New Roman" w:hAnsi="Times New Roman" w:cs="Times New Roman"/>
                <w:color w:val="000000"/>
                <w:lang w:eastAsia="en-GB"/>
              </w:rPr>
              <w:t xml:space="preserve">they </w:t>
            </w:r>
            <w:r w:rsidRPr="00E13466">
              <w:rPr>
                <w:rFonts w:ascii="Times New Roman" w:eastAsia="Times New Roman" w:hAnsi="Times New Roman" w:cs="Times New Roman"/>
                <w:color w:val="000000"/>
                <w:lang w:eastAsia="en-GB"/>
              </w:rPr>
              <w:t xml:space="preserve">critique the central executive </w:t>
            </w:r>
            <w:r>
              <w:rPr>
                <w:rFonts w:ascii="Times New Roman" w:eastAsia="Times New Roman" w:hAnsi="Times New Roman" w:cs="Times New Roman"/>
                <w:color w:val="000000"/>
                <w:lang w:eastAsia="en-GB"/>
              </w:rPr>
              <w:t>for not</w:t>
            </w:r>
            <w:r w:rsidRPr="00E13466">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 xml:space="preserve">providing </w:t>
            </w:r>
            <w:r w:rsidRPr="00E13466">
              <w:rPr>
                <w:rFonts w:ascii="Times New Roman" w:eastAsia="Times New Roman" w:hAnsi="Times New Roman" w:cs="Times New Roman"/>
                <w:color w:val="000000"/>
                <w:lang w:eastAsia="en-GB"/>
              </w:rPr>
              <w:t>a clear explanation of how it manages and allocates cognitive resources. In the case review, where police were required to handle multiple competing demands, the WMM’s vague control mechanism makes it difficult to explain these challenges or guide effective interventions.</w:t>
            </w:r>
            <w:r>
              <w:rPr>
                <w:rFonts w:ascii="Times New Roman" w:eastAsia="Times New Roman" w:hAnsi="Times New Roman" w:cs="Times New Roman"/>
                <w:color w:val="000000"/>
                <w:lang w:eastAsia="en-GB"/>
              </w:rPr>
              <w:t xml:space="preserve"> </w:t>
            </w:r>
            <w:r>
              <w:rPr>
                <w:rFonts w:ascii="Times New Roman" w:hAnsi="Times New Roman" w:cs="Times New Roman"/>
                <w:color w:val="000000"/>
              </w:rPr>
              <w:t xml:space="preserve">This simplicity is further </w:t>
            </w:r>
            <w:proofErr w:type="spellStart"/>
            <w:r>
              <w:rPr>
                <w:rFonts w:ascii="Times New Roman" w:hAnsi="Times New Roman" w:cs="Times New Roman"/>
                <w:color w:val="000000"/>
              </w:rPr>
              <w:t>emphasised</w:t>
            </w:r>
            <w:proofErr w:type="spellEnd"/>
            <w:r>
              <w:rPr>
                <w:rFonts w:ascii="Times New Roman" w:hAnsi="Times New Roman" w:cs="Times New Roman"/>
                <w:color w:val="000000"/>
              </w:rPr>
              <w:t xml:space="preserve"> as it</w:t>
            </w:r>
            <w:r w:rsidRPr="00E13466">
              <w:rPr>
                <w:rFonts w:ascii="Times New Roman" w:hAnsi="Times New Roman" w:cs="Times New Roman"/>
                <w:color w:val="000000"/>
              </w:rPr>
              <w:t xml:space="preserve"> lacks a detailed neural basis</w:t>
            </w:r>
            <w:r>
              <w:rPr>
                <w:rFonts w:ascii="Times New Roman" w:hAnsi="Times New Roman" w:cs="Times New Roman"/>
                <w:color w:val="000000"/>
              </w:rPr>
              <w:t xml:space="preserve"> (Chai et al., 2018)</w:t>
            </w:r>
            <w:r w:rsidRPr="00E13466">
              <w:rPr>
                <w:rFonts w:ascii="Times New Roman" w:hAnsi="Times New Roman" w:cs="Times New Roman"/>
                <w:color w:val="000000"/>
              </w:rPr>
              <w:t>.</w:t>
            </w:r>
            <w:r w:rsidRPr="00E13466">
              <w:rPr>
                <w:rStyle w:val="apple-converted-space"/>
                <w:rFonts w:ascii="Times New Roman" w:hAnsi="Times New Roman" w:cs="Times New Roman"/>
                <w:color w:val="000000"/>
              </w:rPr>
              <w:t> </w:t>
            </w:r>
            <w:r w:rsidRPr="00E13466">
              <w:rPr>
                <w:rStyle w:val="Strong"/>
                <w:rFonts w:ascii="Times New Roman" w:hAnsi="Times New Roman" w:cs="Times New Roman"/>
                <w:b w:val="0"/>
                <w:bCs w:val="0"/>
                <w:color w:val="000000"/>
              </w:rPr>
              <w:t>Recent neuroscience suggests working memory is more distributed and dynamic</w:t>
            </w:r>
            <w:r w:rsidRPr="00E13466">
              <w:rPr>
                <w:rStyle w:val="apple-converted-space"/>
                <w:rFonts w:ascii="Times New Roman" w:hAnsi="Times New Roman" w:cs="Times New Roman"/>
                <w:b/>
                <w:bCs/>
                <w:color w:val="000000"/>
              </w:rPr>
              <w:t> </w:t>
            </w:r>
            <w:r w:rsidRPr="00E13466">
              <w:rPr>
                <w:rFonts w:ascii="Times New Roman" w:hAnsi="Times New Roman" w:cs="Times New Roman"/>
                <w:color w:val="000000"/>
              </w:rPr>
              <w:t>than the model implies</w:t>
            </w:r>
            <w:r>
              <w:rPr>
                <w:rFonts w:ascii="Times New Roman" w:hAnsi="Times New Roman" w:cs="Times New Roman"/>
                <w:color w:val="000000"/>
              </w:rPr>
              <w:t xml:space="preserve"> (Chai et al, 2018; </w:t>
            </w:r>
            <w:proofErr w:type="spellStart"/>
            <w:r>
              <w:rPr>
                <w:rFonts w:ascii="Times New Roman" w:hAnsi="Times New Roman" w:cs="Times New Roman"/>
                <w:color w:val="000000"/>
              </w:rPr>
              <w:t>D’Esposito</w:t>
            </w:r>
            <w:proofErr w:type="spellEnd"/>
            <w:r>
              <w:rPr>
                <w:rFonts w:ascii="Times New Roman" w:hAnsi="Times New Roman" w:cs="Times New Roman"/>
                <w:color w:val="000000"/>
              </w:rPr>
              <w:t xml:space="preserve"> &amp; Postle, 2015)</w:t>
            </w:r>
            <w:r w:rsidRPr="00E13466">
              <w:rPr>
                <w:rFonts w:ascii="Times New Roman" w:hAnsi="Times New Roman" w:cs="Times New Roman"/>
                <w:color w:val="000000"/>
              </w:rPr>
              <w:t>. This makes it difficult to</w:t>
            </w:r>
            <w:r w:rsidRPr="00E13466">
              <w:rPr>
                <w:rStyle w:val="apple-converted-space"/>
                <w:rFonts w:ascii="Times New Roman" w:hAnsi="Times New Roman" w:cs="Times New Roman"/>
                <w:color w:val="000000"/>
              </w:rPr>
              <w:t> </w:t>
            </w:r>
            <w:r w:rsidRPr="00E13466">
              <w:rPr>
                <w:rStyle w:val="Strong"/>
                <w:rFonts w:ascii="Times New Roman" w:hAnsi="Times New Roman" w:cs="Times New Roman"/>
                <w:b w:val="0"/>
                <w:bCs w:val="0"/>
                <w:color w:val="000000"/>
              </w:rPr>
              <w:t>directly link specific policing failures</w:t>
            </w:r>
            <w:r w:rsidRPr="00E13466">
              <w:rPr>
                <w:rFonts w:ascii="Times New Roman" w:hAnsi="Times New Roman" w:cs="Times New Roman"/>
                <w:color w:val="000000"/>
              </w:rPr>
              <w:t xml:space="preserve">, like delayed responses or poor follow-up, to fixed memory components. As such, while </w:t>
            </w:r>
            <w:r>
              <w:rPr>
                <w:rFonts w:ascii="Times New Roman" w:hAnsi="Times New Roman" w:cs="Times New Roman"/>
                <w:color w:val="000000"/>
              </w:rPr>
              <w:t>applicable</w:t>
            </w:r>
            <w:r w:rsidRPr="00E13466">
              <w:rPr>
                <w:rFonts w:ascii="Times New Roman" w:hAnsi="Times New Roman" w:cs="Times New Roman"/>
                <w:color w:val="000000"/>
              </w:rPr>
              <w:t xml:space="preserve"> for general framing, the model lacks the precision needed for</w:t>
            </w:r>
            <w:r w:rsidRPr="00E13466">
              <w:rPr>
                <w:rStyle w:val="apple-converted-space"/>
                <w:rFonts w:ascii="Times New Roman" w:hAnsi="Times New Roman" w:cs="Times New Roman"/>
                <w:color w:val="000000"/>
              </w:rPr>
              <w:t> </w:t>
            </w:r>
            <w:r w:rsidRPr="00E13466">
              <w:rPr>
                <w:rStyle w:val="Strong"/>
                <w:rFonts w:ascii="Times New Roman" w:hAnsi="Times New Roman" w:cs="Times New Roman"/>
                <w:b w:val="0"/>
                <w:bCs w:val="0"/>
                <w:color w:val="000000"/>
              </w:rPr>
              <w:t>evidence-based operational reform</w:t>
            </w:r>
            <w:r w:rsidRPr="00E13466">
              <w:rPr>
                <w:rStyle w:val="apple-converted-space"/>
                <w:rFonts w:ascii="Times New Roman" w:hAnsi="Times New Roman" w:cs="Times New Roman"/>
                <w:color w:val="000000"/>
              </w:rPr>
              <w:t> </w:t>
            </w:r>
            <w:r w:rsidRPr="00E13466">
              <w:rPr>
                <w:rFonts w:ascii="Times New Roman" w:hAnsi="Times New Roman" w:cs="Times New Roman"/>
                <w:color w:val="000000"/>
              </w:rPr>
              <w:t>in complex, real-world policing contexts.</w:t>
            </w:r>
          </w:p>
          <w:p w14:paraId="577D3574" w14:textId="77777777" w:rsidR="00351F2E" w:rsidRDefault="00351F2E" w:rsidP="00351F2E">
            <w:pPr>
              <w:spacing w:before="100" w:beforeAutospacing="1" w:after="100" w:afterAutospacing="1" w:line="360" w:lineRule="auto"/>
              <w:ind w:firstLine="720"/>
              <w:rPr>
                <w:rFonts w:ascii="Times New Roman" w:eastAsia="Times New Roman" w:hAnsi="Times New Roman" w:cs="Times New Roman"/>
                <w:color w:val="000000"/>
                <w:lang w:eastAsia="en-GB"/>
              </w:rPr>
            </w:pPr>
            <w:r w:rsidRPr="00E13466">
              <w:rPr>
                <w:rFonts w:ascii="Times New Roman" w:hAnsi="Times New Roman" w:cs="Times New Roman"/>
                <w:color w:val="000000"/>
              </w:rPr>
              <w:t>Additionally, researchers argue that real-life cognitive demands are more fluid and integrated than those proposed by the WMM (</w:t>
            </w:r>
            <w:proofErr w:type="spellStart"/>
            <w:r w:rsidRPr="00E13466">
              <w:rPr>
                <w:rFonts w:ascii="Times New Roman" w:hAnsi="Times New Roman" w:cs="Times New Roman"/>
                <w:color w:val="000000"/>
              </w:rPr>
              <w:t>Logie</w:t>
            </w:r>
            <w:proofErr w:type="spellEnd"/>
            <w:r>
              <w:rPr>
                <w:rFonts w:ascii="Times New Roman" w:hAnsi="Times New Roman" w:cs="Times New Roman"/>
                <w:color w:val="000000"/>
              </w:rPr>
              <w:t xml:space="preserve"> &amp; Cowen</w:t>
            </w:r>
            <w:r w:rsidRPr="00E13466">
              <w:rPr>
                <w:rFonts w:ascii="Times New Roman" w:hAnsi="Times New Roman" w:cs="Times New Roman"/>
                <w:color w:val="000000"/>
              </w:rPr>
              <w:t xml:space="preserve">, 2015). This limits its usefulness in explaining the challenges seen in the case review, where police had to manage competing tasks in </w:t>
            </w:r>
            <w:r>
              <w:rPr>
                <w:rFonts w:ascii="Times New Roman" w:hAnsi="Times New Roman" w:cs="Times New Roman"/>
                <w:color w:val="000000"/>
              </w:rPr>
              <w:t>constantly changing, high-</w:t>
            </w:r>
            <w:r w:rsidRPr="00E13466">
              <w:rPr>
                <w:rFonts w:ascii="Times New Roman" w:hAnsi="Times New Roman" w:cs="Times New Roman"/>
                <w:color w:val="000000"/>
              </w:rPr>
              <w:t>pressure environments. The model’s lab-based structure does not reflect how attention and memory function in dynamic, real-world settings, reducing its ecological validity (</w:t>
            </w:r>
            <w:proofErr w:type="spellStart"/>
            <w:r w:rsidRPr="00E13466">
              <w:rPr>
                <w:rFonts w:ascii="Times New Roman" w:hAnsi="Times New Roman" w:cs="Times New Roman"/>
                <w:color w:val="000000"/>
              </w:rPr>
              <w:t>Logie</w:t>
            </w:r>
            <w:proofErr w:type="spellEnd"/>
            <w:r w:rsidRPr="00E13466">
              <w:rPr>
                <w:rFonts w:ascii="Times New Roman" w:hAnsi="Times New Roman" w:cs="Times New Roman"/>
                <w:color w:val="000000"/>
              </w:rPr>
              <w:t>, 2011</w:t>
            </w:r>
            <w:r>
              <w:rPr>
                <w:rFonts w:ascii="Times New Roman" w:hAnsi="Times New Roman" w:cs="Times New Roman"/>
                <w:color w:val="000000"/>
              </w:rPr>
              <w:t xml:space="preserve">; </w:t>
            </w:r>
            <w:proofErr w:type="spellStart"/>
            <w:r w:rsidRPr="00E13466">
              <w:rPr>
                <w:rFonts w:ascii="Times New Roman" w:hAnsi="Times New Roman" w:cs="Times New Roman"/>
                <w:color w:val="000000"/>
              </w:rPr>
              <w:t>Logie</w:t>
            </w:r>
            <w:proofErr w:type="spellEnd"/>
            <w:r>
              <w:rPr>
                <w:rFonts w:ascii="Times New Roman" w:hAnsi="Times New Roman" w:cs="Times New Roman"/>
                <w:color w:val="000000"/>
              </w:rPr>
              <w:t xml:space="preserve"> &amp; Cowen</w:t>
            </w:r>
            <w:r w:rsidRPr="00E13466">
              <w:rPr>
                <w:rFonts w:ascii="Times New Roman" w:hAnsi="Times New Roman" w:cs="Times New Roman"/>
                <w:color w:val="000000"/>
              </w:rPr>
              <w:t xml:space="preserve">, 2015). Supporting this, findings from the </w:t>
            </w:r>
            <w:proofErr w:type="spellStart"/>
            <w:r w:rsidRPr="00E13466">
              <w:rPr>
                <w:rFonts w:ascii="Times New Roman" w:hAnsi="Times New Roman" w:cs="Times New Roman"/>
                <w:color w:val="000000"/>
              </w:rPr>
              <w:t>Mascherek</w:t>
            </w:r>
            <w:proofErr w:type="spellEnd"/>
            <w:r w:rsidRPr="00E13466">
              <w:rPr>
                <w:rFonts w:ascii="Times New Roman" w:hAnsi="Times New Roman" w:cs="Times New Roman"/>
                <w:color w:val="000000"/>
              </w:rPr>
              <w:t xml:space="preserve"> et al. (2024) showed that variations in urban density were </w:t>
            </w:r>
            <w:r>
              <w:rPr>
                <w:rFonts w:ascii="Times New Roman" w:hAnsi="Times New Roman" w:cs="Times New Roman"/>
                <w:color w:val="000000"/>
              </w:rPr>
              <w:t>closely linked</w:t>
            </w:r>
            <w:r w:rsidRPr="00E13466">
              <w:rPr>
                <w:rFonts w:ascii="Times New Roman" w:hAnsi="Times New Roman" w:cs="Times New Roman"/>
                <w:color w:val="000000"/>
              </w:rPr>
              <w:t xml:space="preserve"> to working memory and </w:t>
            </w:r>
            <w:r>
              <w:rPr>
                <w:rFonts w:ascii="Times New Roman" w:hAnsi="Times New Roman" w:cs="Times New Roman"/>
                <w:color w:val="000000"/>
              </w:rPr>
              <w:t>mental agility</w:t>
            </w:r>
            <w:r w:rsidRPr="00E13466">
              <w:rPr>
                <w:rFonts w:ascii="Times New Roman" w:hAnsi="Times New Roman" w:cs="Times New Roman"/>
                <w:color w:val="000000"/>
              </w:rPr>
              <w:t xml:space="preserve">, highlighting how environmental context can influence cognitive performance. This aligns with </w:t>
            </w:r>
            <w:proofErr w:type="spellStart"/>
            <w:r w:rsidRPr="00E13466">
              <w:rPr>
                <w:rFonts w:ascii="Times New Roman" w:hAnsi="Times New Roman" w:cs="Times New Roman"/>
                <w:color w:val="000000"/>
              </w:rPr>
              <w:t>Logie</w:t>
            </w:r>
            <w:proofErr w:type="spellEnd"/>
            <w:r>
              <w:rPr>
                <w:rFonts w:ascii="Times New Roman" w:hAnsi="Times New Roman" w:cs="Times New Roman"/>
                <w:color w:val="000000"/>
              </w:rPr>
              <w:t xml:space="preserve"> and Cowen’s</w:t>
            </w:r>
            <w:r w:rsidRPr="00E13466">
              <w:rPr>
                <w:rFonts w:ascii="Times New Roman" w:hAnsi="Times New Roman" w:cs="Times New Roman"/>
                <w:color w:val="000000"/>
              </w:rPr>
              <w:t xml:space="preserve"> </w:t>
            </w:r>
            <w:r>
              <w:rPr>
                <w:rFonts w:ascii="Times New Roman" w:hAnsi="Times New Roman" w:cs="Times New Roman"/>
                <w:color w:val="000000"/>
              </w:rPr>
              <w:t xml:space="preserve">(2015) </w:t>
            </w:r>
            <w:r w:rsidRPr="00E13466">
              <w:rPr>
                <w:rFonts w:ascii="Times New Roman" w:hAnsi="Times New Roman" w:cs="Times New Roman"/>
                <w:color w:val="000000"/>
              </w:rPr>
              <w:t xml:space="preserve">view that working memory should be understood as </w:t>
            </w:r>
            <w:r w:rsidRPr="00E13466">
              <w:rPr>
                <w:rFonts w:ascii="Times New Roman" w:hAnsi="Times New Roman" w:cs="Times New Roman"/>
                <w:color w:val="000000"/>
              </w:rPr>
              <w:lastRenderedPageBreak/>
              <w:t>part of a broader, context-sensitive system, further reinforcing the model’s limited ecological validity in applied settings such as policing</w:t>
            </w:r>
            <w:r>
              <w:rPr>
                <w:rFonts w:ascii="Times New Roman" w:hAnsi="Times New Roman" w:cs="Times New Roman"/>
                <w:color w:val="000000"/>
              </w:rPr>
              <w:t xml:space="preserve">. </w:t>
            </w:r>
          </w:p>
          <w:p w14:paraId="79787628" w14:textId="77777777" w:rsidR="00351F2E" w:rsidRPr="00841E39" w:rsidRDefault="00351F2E" w:rsidP="00351F2E">
            <w:pPr>
              <w:spacing w:before="100" w:beforeAutospacing="1" w:after="100" w:afterAutospacing="1" w:line="360" w:lineRule="auto"/>
              <w:ind w:firstLine="720"/>
              <w:rPr>
                <w:rFonts w:ascii="Times New Roman" w:eastAsia="Times New Roman" w:hAnsi="Times New Roman" w:cs="Times New Roman"/>
                <w:color w:val="000000"/>
                <w:lang w:eastAsia="en-GB"/>
              </w:rPr>
            </w:pPr>
            <w:r w:rsidRPr="00E13466">
              <w:rPr>
                <w:rFonts w:ascii="Times New Roman" w:hAnsi="Times New Roman" w:cs="Times New Roman"/>
              </w:rPr>
              <w:t>Given this, Cognitive Load Theory (</w:t>
            </w:r>
            <w:proofErr w:type="spellStart"/>
            <w:r w:rsidRPr="00E13466">
              <w:rPr>
                <w:rFonts w:ascii="Times New Roman" w:hAnsi="Times New Roman" w:cs="Times New Roman"/>
              </w:rPr>
              <w:t>Sweller</w:t>
            </w:r>
            <w:proofErr w:type="spellEnd"/>
            <w:r w:rsidRPr="00E13466">
              <w:rPr>
                <w:rFonts w:ascii="Times New Roman" w:hAnsi="Times New Roman" w:cs="Times New Roman"/>
              </w:rPr>
              <w:t>, 1988) may offer a more practical framework for understanding the operational failures in the case review. By distinguishing between intrinsic, extraneous, and germane load, Cognitive Load Theory explains how complex tasks and environmental stress can overload cognitive capacity</w:t>
            </w:r>
            <w:r>
              <w:rPr>
                <w:rFonts w:ascii="Times New Roman" w:hAnsi="Times New Roman" w:cs="Times New Roman"/>
              </w:rPr>
              <w:t xml:space="preserve"> </w:t>
            </w:r>
            <w:r w:rsidRPr="00E13466">
              <w:rPr>
                <w:rFonts w:ascii="Times New Roman" w:hAnsi="Times New Roman" w:cs="Times New Roman"/>
              </w:rPr>
              <w:t>(</w:t>
            </w:r>
            <w:proofErr w:type="spellStart"/>
            <w:r w:rsidRPr="00E13466">
              <w:rPr>
                <w:rFonts w:ascii="Times New Roman" w:hAnsi="Times New Roman" w:cs="Times New Roman"/>
              </w:rPr>
              <w:t>Sweller</w:t>
            </w:r>
            <w:proofErr w:type="spellEnd"/>
            <w:r w:rsidRPr="00E13466">
              <w:rPr>
                <w:rFonts w:ascii="Times New Roman" w:hAnsi="Times New Roman" w:cs="Times New Roman"/>
              </w:rPr>
              <w:t xml:space="preserve">, 1988). </w:t>
            </w:r>
            <w:r w:rsidRPr="00E13466">
              <w:rPr>
                <w:rFonts w:ascii="Times New Roman" w:hAnsi="Times New Roman" w:cs="Times New Roman"/>
                <w:color w:val="000000"/>
              </w:rPr>
              <w:t xml:space="preserve">In the context of </w:t>
            </w:r>
            <w:proofErr w:type="spellStart"/>
            <w:r w:rsidRPr="00E13466">
              <w:rPr>
                <w:rFonts w:ascii="Times New Roman" w:hAnsi="Times New Roman" w:cs="Times New Roman"/>
                <w:color w:val="000000"/>
              </w:rPr>
              <w:t>Glynafonshire</w:t>
            </w:r>
            <w:proofErr w:type="spellEnd"/>
            <w:r w:rsidRPr="00E13466">
              <w:rPr>
                <w:rFonts w:ascii="Times New Roman" w:hAnsi="Times New Roman" w:cs="Times New Roman"/>
                <w:color w:val="000000"/>
              </w:rPr>
              <w:t>, officers likely faced a high</w:t>
            </w:r>
            <w:r w:rsidRPr="00E13466">
              <w:rPr>
                <w:rStyle w:val="apple-converted-space"/>
                <w:rFonts w:ascii="Times New Roman" w:hAnsi="Times New Roman" w:cs="Times New Roman"/>
                <w:color w:val="000000"/>
              </w:rPr>
              <w:t> </w:t>
            </w:r>
            <w:r w:rsidRPr="00E13466">
              <w:rPr>
                <w:rStyle w:val="Strong"/>
                <w:rFonts w:ascii="Times New Roman" w:hAnsi="Times New Roman" w:cs="Times New Roman"/>
                <w:b w:val="0"/>
                <w:bCs w:val="0"/>
                <w:color w:val="000000"/>
              </w:rPr>
              <w:t>extraneous load</w:t>
            </w:r>
            <w:r w:rsidRPr="00E13466">
              <w:rPr>
                <w:rStyle w:val="apple-converted-space"/>
                <w:rFonts w:ascii="Times New Roman" w:hAnsi="Times New Roman" w:cs="Times New Roman"/>
                <w:color w:val="000000"/>
              </w:rPr>
              <w:t> </w:t>
            </w:r>
            <w:r w:rsidRPr="00E13466">
              <w:rPr>
                <w:rFonts w:ascii="Times New Roman" w:hAnsi="Times New Roman" w:cs="Times New Roman"/>
                <w:color w:val="000000"/>
              </w:rPr>
              <w:t xml:space="preserve">due to administrative demands, emotional stress, and unclear priorities, factors which may have compounded to exceed their cognitive limits. </w:t>
            </w:r>
            <w:r w:rsidRPr="00E13466">
              <w:rPr>
                <w:rFonts w:ascii="Times New Roman" w:hAnsi="Times New Roman" w:cs="Times New Roman"/>
              </w:rPr>
              <w:t xml:space="preserve">While the WMM highlights the limited capacity of systems like the central executive (Baddeley &amp; Hitch, 1974), Cognitive Load Theory adds depth by showing how different types of cognitive demands interact with that capacity. </w:t>
            </w:r>
          </w:p>
          <w:p w14:paraId="7B9E843C" w14:textId="77777777" w:rsidR="00FA38A4" w:rsidRPr="003A798E" w:rsidRDefault="00FA38A4" w:rsidP="00351F2E">
            <w:pPr>
              <w:spacing w:before="100" w:beforeAutospacing="1" w:after="100" w:afterAutospacing="1" w:line="360" w:lineRule="auto"/>
              <w:ind w:firstLine="720"/>
            </w:pPr>
          </w:p>
        </w:tc>
      </w:tr>
    </w:tbl>
    <w:p w14:paraId="0CF4EDF2" w14:textId="77777777" w:rsidR="00A24793" w:rsidRPr="003A798E" w:rsidRDefault="00A24793"/>
    <w:tbl>
      <w:tblPr>
        <w:tblW w:w="10508" w:type="dxa"/>
        <w:shd w:val="clear" w:color="auto" w:fill="00C1C7" w:themeFill="accent2"/>
        <w:tblLayout w:type="fixed"/>
        <w:tblLook w:val="0600" w:firstRow="0" w:lastRow="0" w:firstColumn="0" w:lastColumn="0" w:noHBand="1" w:noVBand="1"/>
      </w:tblPr>
      <w:tblGrid>
        <w:gridCol w:w="851"/>
        <w:gridCol w:w="8690"/>
        <w:gridCol w:w="967"/>
      </w:tblGrid>
      <w:tr w:rsidR="0031055C" w:rsidRPr="003A798E" w14:paraId="24F1484D" w14:textId="77777777" w:rsidTr="0098239A">
        <w:trPr>
          <w:trHeight w:val="373"/>
        </w:trPr>
        <w:tc>
          <w:tcPr>
            <w:tcW w:w="851" w:type="dxa"/>
            <w:vMerge w:val="restart"/>
            <w:shd w:val="clear" w:color="auto" w:fill="00C1C7" w:themeFill="accent2"/>
          </w:tcPr>
          <w:p w14:paraId="2B59145D" w14:textId="77777777" w:rsidR="0031055C" w:rsidRPr="003A798E" w:rsidRDefault="0031055C" w:rsidP="0031055C">
            <w:pPr>
              <w:pStyle w:val="GraphicAnchor"/>
            </w:pPr>
          </w:p>
        </w:tc>
        <w:tc>
          <w:tcPr>
            <w:tcW w:w="8690" w:type="dxa"/>
            <w:tcBorders>
              <w:bottom w:val="single" w:sz="36" w:space="0" w:color="123869" w:themeColor="accent1"/>
            </w:tcBorders>
            <w:shd w:val="clear" w:color="auto" w:fill="00C1C7" w:themeFill="accent2"/>
          </w:tcPr>
          <w:p w14:paraId="136EF726" w14:textId="77777777" w:rsidR="0031055C" w:rsidRPr="003A798E" w:rsidRDefault="0031055C" w:rsidP="0031055C"/>
        </w:tc>
        <w:tc>
          <w:tcPr>
            <w:tcW w:w="967" w:type="dxa"/>
            <w:vMerge w:val="restart"/>
            <w:shd w:val="clear" w:color="auto" w:fill="00C1C7" w:themeFill="accent2"/>
          </w:tcPr>
          <w:p w14:paraId="230C2B99" w14:textId="77777777" w:rsidR="0031055C" w:rsidRPr="003A798E" w:rsidRDefault="0031055C" w:rsidP="00D6375E"/>
        </w:tc>
      </w:tr>
      <w:tr w:rsidR="0031055C" w:rsidRPr="003A798E" w14:paraId="248C2EAF" w14:textId="77777777" w:rsidTr="0098239A">
        <w:trPr>
          <w:trHeight w:val="3502"/>
        </w:trPr>
        <w:tc>
          <w:tcPr>
            <w:tcW w:w="851" w:type="dxa"/>
            <w:vMerge/>
            <w:shd w:val="clear" w:color="auto" w:fill="00C1C7" w:themeFill="accent2"/>
          </w:tcPr>
          <w:p w14:paraId="576F82E5" w14:textId="77777777" w:rsidR="0031055C" w:rsidRPr="003A798E" w:rsidRDefault="0031055C" w:rsidP="00D6375E"/>
        </w:tc>
        <w:tc>
          <w:tcPr>
            <w:tcW w:w="8690" w:type="dxa"/>
            <w:tcBorders>
              <w:top w:val="single" w:sz="36" w:space="0" w:color="123869" w:themeColor="accent1"/>
              <w:bottom w:val="single" w:sz="36" w:space="0" w:color="123869" w:themeColor="accent1"/>
            </w:tcBorders>
            <w:shd w:val="clear" w:color="auto" w:fill="FFFFFF" w:themeFill="background1"/>
            <w:vAlign w:val="center"/>
          </w:tcPr>
          <w:p w14:paraId="6BFD6B9F" w14:textId="27387AFE" w:rsidR="0031055C" w:rsidRPr="0098239A" w:rsidRDefault="0098239A" w:rsidP="00A24793">
            <w:pPr>
              <w:pStyle w:val="Quote"/>
              <w:rPr>
                <w:sz w:val="72"/>
                <w:szCs w:val="22"/>
              </w:rPr>
            </w:pPr>
            <w:r w:rsidRPr="0098239A">
              <w:rPr>
                <w:sz w:val="72"/>
                <w:szCs w:val="22"/>
              </w:rPr>
              <w:t>CONCLUSION AND RECOMMENDATIONS</w:t>
            </w:r>
          </w:p>
        </w:tc>
        <w:tc>
          <w:tcPr>
            <w:tcW w:w="967" w:type="dxa"/>
            <w:vMerge/>
            <w:shd w:val="clear" w:color="auto" w:fill="00C1C7" w:themeFill="accent2"/>
          </w:tcPr>
          <w:p w14:paraId="7416AA32" w14:textId="77777777" w:rsidR="0031055C" w:rsidRPr="003A798E" w:rsidRDefault="0031055C" w:rsidP="00D6375E"/>
        </w:tc>
      </w:tr>
      <w:tr w:rsidR="0031055C" w:rsidRPr="003A798E" w14:paraId="5680728F" w14:textId="77777777" w:rsidTr="0098239A">
        <w:trPr>
          <w:trHeight w:val="9648"/>
        </w:trPr>
        <w:tc>
          <w:tcPr>
            <w:tcW w:w="851" w:type="dxa"/>
            <w:vMerge/>
            <w:shd w:val="clear" w:color="auto" w:fill="00C1C7" w:themeFill="accent2"/>
          </w:tcPr>
          <w:p w14:paraId="30E7C66B" w14:textId="77777777" w:rsidR="0031055C" w:rsidRPr="003A798E" w:rsidRDefault="0031055C" w:rsidP="00D6375E"/>
        </w:tc>
        <w:tc>
          <w:tcPr>
            <w:tcW w:w="8690" w:type="dxa"/>
            <w:tcBorders>
              <w:top w:val="single" w:sz="36" w:space="0" w:color="123869" w:themeColor="accent1"/>
            </w:tcBorders>
            <w:shd w:val="clear" w:color="auto" w:fill="00C1C7" w:themeFill="accent2"/>
          </w:tcPr>
          <w:p w14:paraId="72127940" w14:textId="77777777" w:rsidR="00351F2E" w:rsidRDefault="00351F2E" w:rsidP="0098239A"/>
          <w:p w14:paraId="2586A2B9" w14:textId="77777777" w:rsidR="00351F2E" w:rsidRPr="00EF7F60" w:rsidRDefault="00351F2E" w:rsidP="00351F2E">
            <w:pPr>
              <w:spacing w:line="360" w:lineRule="auto"/>
              <w:ind w:firstLine="720"/>
              <w:rPr>
                <w:rFonts w:ascii="Times New Roman" w:hAnsi="Times New Roman" w:cs="Times New Roman"/>
              </w:rPr>
            </w:pPr>
            <w:r w:rsidRPr="00EF7F60">
              <w:rPr>
                <w:rFonts w:ascii="Times New Roman" w:hAnsi="Times New Roman" w:cs="Times New Roman"/>
              </w:rPr>
              <w:t xml:space="preserve">The case review revealed serious operational shortcomings, including delayed response times, poor follow-up, and misallocated resources. These issues appear to stem from officers operating under significant cognitive and environmental pressure. The </w:t>
            </w:r>
            <w:r>
              <w:rPr>
                <w:rFonts w:ascii="Times New Roman" w:hAnsi="Times New Roman" w:cs="Times New Roman"/>
              </w:rPr>
              <w:t>WMM</w:t>
            </w:r>
            <w:r w:rsidRPr="00EF7F60">
              <w:rPr>
                <w:rFonts w:ascii="Times New Roman" w:hAnsi="Times New Roman" w:cs="Times New Roman"/>
              </w:rPr>
              <w:t xml:space="preserve"> offers insight into how limited attention and memory capacity may have contributed to these failures, particularly in high-demand situations. However, its limitations in addressing real-world complexity highlight the need for more applied approaches. To reduce cognitive overload and support decision-making, practical interventions are recommended. These include implementing AI-assisted triage systems to streamline task </w:t>
            </w:r>
            <w:proofErr w:type="spellStart"/>
            <w:r w:rsidRPr="00EF7F60">
              <w:rPr>
                <w:rFonts w:ascii="Times New Roman" w:hAnsi="Times New Roman" w:cs="Times New Roman"/>
              </w:rPr>
              <w:t>prioritisation</w:t>
            </w:r>
            <w:proofErr w:type="spellEnd"/>
            <w:r w:rsidRPr="00EF7F60">
              <w:rPr>
                <w:rFonts w:ascii="Times New Roman" w:hAnsi="Times New Roman" w:cs="Times New Roman"/>
              </w:rPr>
              <w:t xml:space="preserve"> and improve response efficiency, as well as enhancing multi-agency collaboration to address the broader social drivers of antisocial </w:t>
            </w:r>
            <w:proofErr w:type="spellStart"/>
            <w:r w:rsidRPr="00EF7F60">
              <w:rPr>
                <w:rFonts w:ascii="Times New Roman" w:hAnsi="Times New Roman" w:cs="Times New Roman"/>
              </w:rPr>
              <w:t>behaviour</w:t>
            </w:r>
            <w:proofErr w:type="spellEnd"/>
            <w:r w:rsidRPr="00EF7F60">
              <w:rPr>
                <w:rFonts w:ascii="Times New Roman" w:hAnsi="Times New Roman" w:cs="Times New Roman"/>
              </w:rPr>
              <w:t xml:space="preserve">. Together, these strategies aim to </w:t>
            </w:r>
            <w:r>
              <w:rPr>
                <w:rFonts w:ascii="Times New Roman" w:hAnsi="Times New Roman" w:cs="Times New Roman"/>
              </w:rPr>
              <w:t>enhance operational performance, mitigate officer stress, and rebuild public trust</w:t>
            </w:r>
            <w:r w:rsidRPr="00EF7F60">
              <w:rPr>
                <w:rFonts w:ascii="Times New Roman" w:hAnsi="Times New Roman" w:cs="Times New Roman"/>
              </w:rPr>
              <w:t xml:space="preserve"> in local policing.</w:t>
            </w:r>
          </w:p>
          <w:p w14:paraId="4770AF58" w14:textId="77777777" w:rsidR="00351F2E" w:rsidRPr="0065321E" w:rsidRDefault="00351F2E" w:rsidP="00351F2E">
            <w:pPr>
              <w:spacing w:line="360" w:lineRule="auto"/>
              <w:rPr>
                <w:rFonts w:ascii="Times New Roman" w:hAnsi="Times New Roman" w:cs="Times New Roman"/>
                <w:sz w:val="28"/>
                <w:szCs w:val="28"/>
              </w:rPr>
            </w:pPr>
          </w:p>
          <w:p w14:paraId="4576A833" w14:textId="77777777" w:rsidR="00351F2E" w:rsidRDefault="00351F2E" w:rsidP="0098239A"/>
          <w:p w14:paraId="46B3BE5A" w14:textId="77777777" w:rsidR="0031055C" w:rsidRPr="003A798E" w:rsidRDefault="0031055C" w:rsidP="0031055C"/>
        </w:tc>
        <w:tc>
          <w:tcPr>
            <w:tcW w:w="967" w:type="dxa"/>
            <w:vMerge/>
            <w:shd w:val="clear" w:color="auto" w:fill="00C1C7" w:themeFill="accent2"/>
          </w:tcPr>
          <w:p w14:paraId="789A6779" w14:textId="77777777" w:rsidR="0031055C" w:rsidRPr="003A798E" w:rsidRDefault="0031055C" w:rsidP="00D6375E"/>
        </w:tc>
      </w:tr>
    </w:tbl>
    <w:p w14:paraId="7CD2BC04" w14:textId="77777777" w:rsidR="0098239A" w:rsidRDefault="0098239A"/>
    <w:p w14:paraId="4063F1AD" w14:textId="77777777" w:rsidR="006B2F4E" w:rsidRDefault="0098239A" w:rsidP="0098239A">
      <w:pPr>
        <w:pStyle w:val="Heading2"/>
        <w:jc w:val="center"/>
        <w:rPr>
          <w:noProof/>
          <w:lang w:eastAsia="en-AU"/>
        </w:rPr>
      </w:pPr>
      <w:r>
        <w:rPr>
          <w:noProof/>
          <w:lang w:eastAsia="en-AU"/>
        </w:rPr>
        <w:t>REFERENCE LIST</w:t>
      </w:r>
    </w:p>
    <w:p w14:paraId="0422FE0A" w14:textId="77777777" w:rsidR="00351F2E" w:rsidRDefault="00351F2E" w:rsidP="00351F2E">
      <w:pPr>
        <w:rPr>
          <w:lang w:eastAsia="en-AU"/>
        </w:rPr>
      </w:pPr>
    </w:p>
    <w:p w14:paraId="0A5531CF" w14:textId="77777777" w:rsidR="00351F2E" w:rsidRPr="00775E61" w:rsidRDefault="00351F2E" w:rsidP="00351F2E">
      <w:pPr>
        <w:pStyle w:val="NormalWeb"/>
        <w:ind w:left="567" w:hanging="567"/>
        <w:rPr>
          <w:color w:val="000000"/>
        </w:rPr>
      </w:pPr>
      <w:proofErr w:type="spellStart"/>
      <w:r w:rsidRPr="00775E61">
        <w:rPr>
          <w:color w:val="000000"/>
        </w:rPr>
        <w:t>Araouchi</w:t>
      </w:r>
      <w:proofErr w:type="spellEnd"/>
      <w:r w:rsidRPr="00775E61">
        <w:rPr>
          <w:color w:val="000000"/>
        </w:rPr>
        <w:t xml:space="preserve">, Z., &amp; Adda, M. (2025). A comprehensive literature review on AI-assisted Multimodal Triage Systems for Health </w:t>
      </w:r>
      <w:proofErr w:type="spellStart"/>
      <w:r w:rsidRPr="00775E61">
        <w:rPr>
          <w:color w:val="000000"/>
        </w:rPr>
        <w:t>Centers</w:t>
      </w:r>
      <w:proofErr w:type="spellEnd"/>
      <w:r w:rsidRPr="00775E61">
        <w:rPr>
          <w:color w:val="000000"/>
        </w:rPr>
        <w:t>.</w:t>
      </w:r>
      <w:r w:rsidRPr="00775E61">
        <w:rPr>
          <w:rStyle w:val="apple-converted-space"/>
          <w:color w:val="000000"/>
        </w:rPr>
        <w:t> </w:t>
      </w:r>
      <w:r w:rsidRPr="00775E61">
        <w:rPr>
          <w:i/>
          <w:iCs/>
          <w:color w:val="000000"/>
        </w:rPr>
        <w:t>Procedia Computer Science</w:t>
      </w:r>
      <w:r w:rsidRPr="00775E61">
        <w:rPr>
          <w:color w:val="000000"/>
        </w:rPr>
        <w:t>,</w:t>
      </w:r>
      <w:r w:rsidRPr="00775E61">
        <w:rPr>
          <w:rStyle w:val="apple-converted-space"/>
          <w:color w:val="000000"/>
        </w:rPr>
        <w:t> </w:t>
      </w:r>
      <w:r w:rsidRPr="00775E61">
        <w:rPr>
          <w:i/>
          <w:iCs/>
          <w:color w:val="000000"/>
        </w:rPr>
        <w:t>257</w:t>
      </w:r>
      <w:r w:rsidRPr="00775E61">
        <w:rPr>
          <w:color w:val="000000"/>
        </w:rPr>
        <w:t xml:space="preserve">, 206–214. </w:t>
      </w:r>
      <w:hyperlink r:id="rId10" w:history="1">
        <w:r w:rsidRPr="00775E61">
          <w:rPr>
            <w:rStyle w:val="Hyperlink"/>
          </w:rPr>
          <w:t>https://doi.org/10.1016/j.procs.2025.03.029</w:t>
        </w:r>
      </w:hyperlink>
      <w:r w:rsidRPr="00775E61">
        <w:rPr>
          <w:rStyle w:val="apple-converted-space"/>
          <w:rFonts w:eastAsiaTheme="majorEastAsia"/>
          <w:color w:val="000000"/>
        </w:rPr>
        <w:t xml:space="preserve"> </w:t>
      </w:r>
    </w:p>
    <w:p w14:paraId="01648574" w14:textId="77777777" w:rsidR="00351F2E" w:rsidRPr="00775E61" w:rsidRDefault="00351F2E" w:rsidP="00351F2E">
      <w:pPr>
        <w:pStyle w:val="NormalWeb"/>
        <w:ind w:left="567" w:hanging="567"/>
      </w:pPr>
      <w:r w:rsidRPr="00775E61">
        <w:rPr>
          <w:color w:val="3A3A3A"/>
          <w:shd w:val="clear" w:color="auto" w:fill="FFFFFF"/>
        </w:rPr>
        <w:t>Baddeley, A. (1996). Exploring the Central Executive.</w:t>
      </w:r>
      <w:r w:rsidRPr="00775E61">
        <w:rPr>
          <w:rStyle w:val="apple-converted-space"/>
          <w:color w:val="3A3A3A"/>
          <w:shd w:val="clear" w:color="auto" w:fill="FFFFFF"/>
        </w:rPr>
        <w:t> </w:t>
      </w:r>
      <w:r w:rsidRPr="00775E61">
        <w:rPr>
          <w:i/>
          <w:iCs/>
          <w:color w:val="3A3A3A"/>
        </w:rPr>
        <w:t xml:space="preserve">The Quarterly Journal of Experimental Psychology. </w:t>
      </w:r>
      <w:proofErr w:type="gramStart"/>
      <w:r w:rsidRPr="00775E61">
        <w:rPr>
          <w:i/>
          <w:iCs/>
          <w:color w:val="3A3A3A"/>
        </w:rPr>
        <w:t>A,</w:t>
      </w:r>
      <w:proofErr w:type="gramEnd"/>
      <w:r w:rsidRPr="00775E61">
        <w:rPr>
          <w:i/>
          <w:iCs/>
          <w:color w:val="3A3A3A"/>
        </w:rPr>
        <w:t xml:space="preserve"> Human Experimental Psychology</w:t>
      </w:r>
      <w:r w:rsidRPr="00775E61">
        <w:rPr>
          <w:color w:val="3A3A3A"/>
          <w:shd w:val="clear" w:color="auto" w:fill="FFFFFF"/>
        </w:rPr>
        <w:t>,</w:t>
      </w:r>
      <w:r w:rsidRPr="00775E61">
        <w:rPr>
          <w:rStyle w:val="apple-converted-space"/>
          <w:color w:val="3A3A3A"/>
          <w:shd w:val="clear" w:color="auto" w:fill="FFFFFF"/>
        </w:rPr>
        <w:t> </w:t>
      </w:r>
      <w:r w:rsidRPr="00775E61">
        <w:rPr>
          <w:i/>
          <w:iCs/>
          <w:color w:val="3A3A3A"/>
        </w:rPr>
        <w:t>49</w:t>
      </w:r>
      <w:r w:rsidRPr="00775E61">
        <w:rPr>
          <w:color w:val="3A3A3A"/>
          <w:shd w:val="clear" w:color="auto" w:fill="FFFFFF"/>
        </w:rPr>
        <w:t xml:space="preserve">(1), 5–28. </w:t>
      </w:r>
      <w:hyperlink r:id="rId11" w:history="1">
        <w:r w:rsidRPr="00775E61">
          <w:rPr>
            <w:rStyle w:val="Hyperlink"/>
            <w:shd w:val="clear" w:color="auto" w:fill="FFFFFF"/>
          </w:rPr>
          <w:t>https://doi.org/10.1080/713755608</w:t>
        </w:r>
      </w:hyperlink>
      <w:r w:rsidRPr="00775E61">
        <w:rPr>
          <w:color w:val="3A3A3A"/>
          <w:shd w:val="clear" w:color="auto" w:fill="FFFFFF"/>
        </w:rPr>
        <w:t xml:space="preserve"> </w:t>
      </w:r>
    </w:p>
    <w:p w14:paraId="08606FE9" w14:textId="77777777" w:rsidR="00351F2E" w:rsidRPr="00775E61" w:rsidRDefault="00351F2E" w:rsidP="00351F2E">
      <w:pPr>
        <w:pStyle w:val="NormalWeb"/>
        <w:ind w:left="567" w:hanging="567"/>
      </w:pPr>
      <w:r w:rsidRPr="00775E61">
        <w:t xml:space="preserve">Baddeley, A. (2000). The episodic buffer: A new component of working memory? </w:t>
      </w:r>
      <w:r w:rsidRPr="00775E61">
        <w:rPr>
          <w:i/>
          <w:iCs/>
        </w:rPr>
        <w:t>Trends in Cognitive Sciences</w:t>
      </w:r>
      <w:r w:rsidRPr="00775E61">
        <w:t xml:space="preserve">, </w:t>
      </w:r>
      <w:r w:rsidRPr="00775E61">
        <w:rPr>
          <w:i/>
          <w:iCs/>
        </w:rPr>
        <w:t>4</w:t>
      </w:r>
      <w:r w:rsidRPr="00775E61">
        <w:t xml:space="preserve">(11), 417–423. </w:t>
      </w:r>
      <w:hyperlink r:id="rId12" w:history="1">
        <w:r w:rsidRPr="00775E61">
          <w:rPr>
            <w:rStyle w:val="Hyperlink"/>
          </w:rPr>
          <w:t>https://doi.org/10.1016/s1364-6613(00)01538-2</w:t>
        </w:r>
      </w:hyperlink>
      <w:r w:rsidRPr="00775E61">
        <w:t xml:space="preserve"> </w:t>
      </w:r>
    </w:p>
    <w:p w14:paraId="76B1FD08" w14:textId="77777777" w:rsidR="00351F2E" w:rsidRPr="00775E61" w:rsidRDefault="00351F2E" w:rsidP="00351F2E">
      <w:pPr>
        <w:pStyle w:val="NormalWeb"/>
        <w:ind w:left="567" w:hanging="567"/>
      </w:pPr>
      <w:r w:rsidRPr="00775E61">
        <w:rPr>
          <w:color w:val="3A3A3A"/>
          <w:shd w:val="clear" w:color="auto" w:fill="FFFFFF"/>
        </w:rPr>
        <w:lastRenderedPageBreak/>
        <w:t>Baddeley, A. (2003). Working memory: looking back and looking forward.</w:t>
      </w:r>
      <w:r w:rsidRPr="00775E61">
        <w:rPr>
          <w:rStyle w:val="apple-converted-space"/>
          <w:color w:val="3A3A3A"/>
          <w:shd w:val="clear" w:color="auto" w:fill="FFFFFF"/>
        </w:rPr>
        <w:t> </w:t>
      </w:r>
      <w:r w:rsidRPr="00775E61">
        <w:rPr>
          <w:i/>
          <w:iCs/>
          <w:color w:val="3A3A3A"/>
        </w:rPr>
        <w:t>Nature Reviews. Neuroscience</w:t>
      </w:r>
      <w:r w:rsidRPr="00775E61">
        <w:rPr>
          <w:color w:val="3A3A3A"/>
          <w:shd w:val="clear" w:color="auto" w:fill="FFFFFF"/>
        </w:rPr>
        <w:t>,</w:t>
      </w:r>
      <w:r w:rsidRPr="00775E61">
        <w:rPr>
          <w:rStyle w:val="apple-converted-space"/>
          <w:color w:val="3A3A3A"/>
          <w:shd w:val="clear" w:color="auto" w:fill="FFFFFF"/>
        </w:rPr>
        <w:t> </w:t>
      </w:r>
      <w:r w:rsidRPr="00775E61">
        <w:rPr>
          <w:i/>
          <w:iCs/>
          <w:color w:val="3A3A3A"/>
        </w:rPr>
        <w:t>4</w:t>
      </w:r>
      <w:r w:rsidRPr="00775E61">
        <w:rPr>
          <w:color w:val="3A3A3A"/>
          <w:shd w:val="clear" w:color="auto" w:fill="FFFFFF"/>
        </w:rPr>
        <w:t xml:space="preserve">(10), 829–839. </w:t>
      </w:r>
      <w:hyperlink r:id="rId13" w:history="1">
        <w:r w:rsidRPr="00775E61">
          <w:rPr>
            <w:rStyle w:val="Hyperlink"/>
            <w:shd w:val="clear" w:color="auto" w:fill="FFFFFF"/>
          </w:rPr>
          <w:t>https://doi.org/10.1038/nrn1201</w:t>
        </w:r>
      </w:hyperlink>
      <w:r w:rsidRPr="00775E61">
        <w:rPr>
          <w:color w:val="3A3A3A"/>
          <w:shd w:val="clear" w:color="auto" w:fill="FFFFFF"/>
        </w:rPr>
        <w:t xml:space="preserve"> </w:t>
      </w:r>
    </w:p>
    <w:p w14:paraId="25451AE0" w14:textId="77777777" w:rsidR="00351F2E" w:rsidRPr="00775E61" w:rsidRDefault="00351F2E" w:rsidP="00351F2E">
      <w:pPr>
        <w:pStyle w:val="NormalWeb"/>
        <w:ind w:left="567" w:hanging="567"/>
      </w:pPr>
      <w:r w:rsidRPr="00775E61">
        <w:t xml:space="preserve">Baddeley, A. D., &amp; Hitch, G. (1974). Working memory. </w:t>
      </w:r>
      <w:r w:rsidRPr="00775E61">
        <w:rPr>
          <w:i/>
          <w:iCs/>
        </w:rPr>
        <w:t>Psychology of Learning and Motivation</w:t>
      </w:r>
      <w:r w:rsidRPr="00775E61">
        <w:t xml:space="preserve">, </w:t>
      </w:r>
      <w:r w:rsidRPr="00775E61">
        <w:rPr>
          <w:i/>
          <w:iCs/>
        </w:rPr>
        <w:t>8</w:t>
      </w:r>
      <w:r w:rsidRPr="00775E61">
        <w:t xml:space="preserve">, 47–89. </w:t>
      </w:r>
      <w:hyperlink r:id="rId14" w:history="1">
        <w:r w:rsidRPr="00775E61">
          <w:rPr>
            <w:rStyle w:val="Hyperlink"/>
          </w:rPr>
          <w:t>https://doi.org/10.1016/s0079-7421(08)60452-1</w:t>
        </w:r>
      </w:hyperlink>
    </w:p>
    <w:p w14:paraId="6724C1F0" w14:textId="77777777" w:rsidR="00351F2E" w:rsidRPr="00775E61" w:rsidRDefault="00351F2E" w:rsidP="00351F2E">
      <w:pPr>
        <w:pStyle w:val="NormalWeb"/>
        <w:ind w:left="567" w:hanging="567"/>
        <w:rPr>
          <w:color w:val="3A3A3A"/>
          <w:shd w:val="clear" w:color="auto" w:fill="FFFFFF"/>
        </w:rPr>
      </w:pPr>
      <w:r w:rsidRPr="00775E61">
        <w:rPr>
          <w:color w:val="3A3A3A"/>
          <w:shd w:val="clear" w:color="auto" w:fill="FFFFFF"/>
        </w:rPr>
        <w:t>Baddeley, A. D., Hitch, G. J., &amp; Quinlan, P. T. (2018). Is the phonological similarity effect in working memory due to proactive interference?</w:t>
      </w:r>
      <w:r w:rsidRPr="00775E61">
        <w:rPr>
          <w:rStyle w:val="apple-converted-space"/>
          <w:color w:val="3A3A3A"/>
          <w:shd w:val="clear" w:color="auto" w:fill="FFFFFF"/>
        </w:rPr>
        <w:t> </w:t>
      </w:r>
      <w:r w:rsidRPr="00775E61">
        <w:rPr>
          <w:i/>
          <w:iCs/>
          <w:color w:val="3A3A3A"/>
        </w:rPr>
        <w:t>Journal of Experimental Psychology. Learning, Memory, and Cognition</w:t>
      </w:r>
      <w:r w:rsidRPr="00775E61">
        <w:rPr>
          <w:color w:val="3A3A3A"/>
          <w:shd w:val="clear" w:color="auto" w:fill="FFFFFF"/>
        </w:rPr>
        <w:t>,</w:t>
      </w:r>
      <w:r w:rsidRPr="00775E61">
        <w:rPr>
          <w:rStyle w:val="apple-converted-space"/>
          <w:color w:val="3A3A3A"/>
          <w:shd w:val="clear" w:color="auto" w:fill="FFFFFF"/>
        </w:rPr>
        <w:t> </w:t>
      </w:r>
      <w:r w:rsidRPr="00775E61">
        <w:rPr>
          <w:i/>
          <w:iCs/>
          <w:color w:val="3A3A3A"/>
        </w:rPr>
        <w:t>44</w:t>
      </w:r>
      <w:r w:rsidRPr="00775E61">
        <w:rPr>
          <w:color w:val="3A3A3A"/>
          <w:shd w:val="clear" w:color="auto" w:fill="FFFFFF"/>
        </w:rPr>
        <w:t xml:space="preserve">(8), 1312–1316. </w:t>
      </w:r>
      <w:hyperlink r:id="rId15" w:history="1">
        <w:r w:rsidRPr="00775E61">
          <w:rPr>
            <w:rStyle w:val="Hyperlink"/>
            <w:shd w:val="clear" w:color="auto" w:fill="FFFFFF"/>
          </w:rPr>
          <w:t>https:/</w:t>
        </w:r>
        <w:r w:rsidRPr="00775E61">
          <w:rPr>
            <w:rStyle w:val="Hyperlink"/>
            <w:shd w:val="clear" w:color="auto" w:fill="FFFFFF"/>
          </w:rPr>
          <w:t>/</w:t>
        </w:r>
        <w:r w:rsidRPr="00775E61">
          <w:rPr>
            <w:rStyle w:val="Hyperlink"/>
            <w:shd w:val="clear" w:color="auto" w:fill="FFFFFF"/>
          </w:rPr>
          <w:t>doi.org/10.1037/xlm0000509</w:t>
        </w:r>
      </w:hyperlink>
      <w:r w:rsidRPr="00775E61">
        <w:rPr>
          <w:color w:val="3A3A3A"/>
          <w:shd w:val="clear" w:color="auto" w:fill="FFFFFF"/>
        </w:rPr>
        <w:t xml:space="preserve"> </w:t>
      </w:r>
    </w:p>
    <w:p w14:paraId="083107BB" w14:textId="77777777" w:rsidR="00351F2E" w:rsidRPr="00775E61" w:rsidRDefault="00351F2E" w:rsidP="00351F2E">
      <w:pPr>
        <w:pStyle w:val="NormalWeb"/>
        <w:ind w:left="567" w:hanging="567"/>
        <w:rPr>
          <w:color w:val="000000"/>
        </w:rPr>
      </w:pPr>
      <w:r w:rsidRPr="00775E61">
        <w:rPr>
          <w:color w:val="000000"/>
        </w:rPr>
        <w:t>Baddeley, A. D., Thomson, N., &amp; Buchanan, M. (1975). Word length and the structure of short-term memory.</w:t>
      </w:r>
      <w:r w:rsidRPr="00775E61">
        <w:rPr>
          <w:rStyle w:val="apple-converted-space"/>
          <w:color w:val="000000"/>
        </w:rPr>
        <w:t> </w:t>
      </w:r>
      <w:r w:rsidRPr="00775E61">
        <w:rPr>
          <w:i/>
          <w:iCs/>
          <w:color w:val="000000"/>
        </w:rPr>
        <w:t xml:space="preserve">Journal of Verbal Learning and Verbal </w:t>
      </w:r>
      <w:proofErr w:type="spellStart"/>
      <w:r w:rsidRPr="00775E61">
        <w:rPr>
          <w:i/>
          <w:iCs/>
          <w:color w:val="000000"/>
        </w:rPr>
        <w:t>Behavior</w:t>
      </w:r>
      <w:proofErr w:type="spellEnd"/>
      <w:r w:rsidRPr="00775E61">
        <w:rPr>
          <w:color w:val="000000"/>
        </w:rPr>
        <w:t>,</w:t>
      </w:r>
      <w:r w:rsidRPr="00775E61">
        <w:rPr>
          <w:rStyle w:val="apple-converted-space"/>
          <w:color w:val="000000"/>
        </w:rPr>
        <w:t> </w:t>
      </w:r>
      <w:r w:rsidRPr="00775E61">
        <w:rPr>
          <w:i/>
          <w:iCs/>
          <w:color w:val="000000"/>
        </w:rPr>
        <w:t>14</w:t>
      </w:r>
      <w:r w:rsidRPr="00775E61">
        <w:rPr>
          <w:color w:val="000000"/>
        </w:rPr>
        <w:t xml:space="preserve">(6), 575–589. </w:t>
      </w:r>
      <w:hyperlink r:id="rId16" w:history="1">
        <w:r w:rsidRPr="00775E61">
          <w:rPr>
            <w:rStyle w:val="Hyperlink"/>
          </w:rPr>
          <w:t>https://doi.org/10.1016/s0022-5371(75)80045-4</w:t>
        </w:r>
      </w:hyperlink>
      <w:r w:rsidRPr="00775E61">
        <w:rPr>
          <w:rStyle w:val="apple-converted-space"/>
          <w:rFonts w:eastAsiaTheme="majorEastAsia"/>
          <w:color w:val="000000"/>
        </w:rPr>
        <w:t xml:space="preserve"> </w:t>
      </w:r>
    </w:p>
    <w:p w14:paraId="5C0247DB" w14:textId="77777777" w:rsidR="00351F2E" w:rsidRPr="00775E61" w:rsidRDefault="00351F2E" w:rsidP="00351F2E">
      <w:pPr>
        <w:pStyle w:val="NormalWeb"/>
        <w:ind w:left="567" w:hanging="567"/>
        <w:rPr>
          <w:color w:val="3A3A3A"/>
          <w:shd w:val="clear" w:color="auto" w:fill="FFFFFF"/>
        </w:rPr>
      </w:pPr>
      <w:r w:rsidRPr="00775E61">
        <w:rPr>
          <w:color w:val="3A3A3A"/>
          <w:shd w:val="clear" w:color="auto" w:fill="FFFFFF"/>
        </w:rPr>
        <w:t xml:space="preserve">Barak, O., &amp; </w:t>
      </w:r>
      <w:proofErr w:type="spellStart"/>
      <w:r w:rsidRPr="00775E61">
        <w:rPr>
          <w:color w:val="3A3A3A"/>
          <w:shd w:val="clear" w:color="auto" w:fill="FFFFFF"/>
        </w:rPr>
        <w:t>Tsodyks</w:t>
      </w:r>
      <w:proofErr w:type="spellEnd"/>
      <w:r w:rsidRPr="00775E61">
        <w:rPr>
          <w:color w:val="3A3A3A"/>
          <w:shd w:val="clear" w:color="auto" w:fill="FFFFFF"/>
        </w:rPr>
        <w:t>, M. (2014). Working models of working memory.</w:t>
      </w:r>
      <w:r w:rsidRPr="00775E61">
        <w:rPr>
          <w:rStyle w:val="apple-converted-space"/>
          <w:color w:val="3A3A3A"/>
          <w:shd w:val="clear" w:color="auto" w:fill="FFFFFF"/>
        </w:rPr>
        <w:t> </w:t>
      </w:r>
      <w:r w:rsidRPr="00775E61">
        <w:rPr>
          <w:i/>
          <w:iCs/>
          <w:color w:val="3A3A3A"/>
        </w:rPr>
        <w:t>Current Opinion in Neurobiology</w:t>
      </w:r>
      <w:r w:rsidRPr="00775E61">
        <w:rPr>
          <w:color w:val="3A3A3A"/>
          <w:shd w:val="clear" w:color="auto" w:fill="FFFFFF"/>
        </w:rPr>
        <w:t>,</w:t>
      </w:r>
      <w:r w:rsidRPr="00775E61">
        <w:rPr>
          <w:rStyle w:val="apple-converted-space"/>
          <w:color w:val="3A3A3A"/>
          <w:shd w:val="clear" w:color="auto" w:fill="FFFFFF"/>
        </w:rPr>
        <w:t> </w:t>
      </w:r>
      <w:r w:rsidRPr="00775E61">
        <w:rPr>
          <w:i/>
          <w:iCs/>
          <w:color w:val="3A3A3A"/>
        </w:rPr>
        <w:t>25</w:t>
      </w:r>
      <w:r w:rsidRPr="00775E61">
        <w:rPr>
          <w:color w:val="3A3A3A"/>
          <w:shd w:val="clear" w:color="auto" w:fill="FFFFFF"/>
        </w:rPr>
        <w:t xml:space="preserve">, 20–24. </w:t>
      </w:r>
      <w:hyperlink r:id="rId17" w:history="1">
        <w:r w:rsidRPr="00775E61">
          <w:rPr>
            <w:rStyle w:val="Hyperlink"/>
            <w:shd w:val="clear" w:color="auto" w:fill="FFFFFF"/>
          </w:rPr>
          <w:t>https://doi.org/10.1016/j.conb.2013.10.008</w:t>
        </w:r>
      </w:hyperlink>
      <w:r w:rsidRPr="00775E61">
        <w:rPr>
          <w:color w:val="3A3A3A"/>
          <w:shd w:val="clear" w:color="auto" w:fill="FFFFFF"/>
        </w:rPr>
        <w:t xml:space="preserve"> </w:t>
      </w:r>
    </w:p>
    <w:p w14:paraId="5E8B7BDE" w14:textId="77777777" w:rsidR="00351F2E" w:rsidRPr="00775E61" w:rsidRDefault="00351F2E" w:rsidP="00351F2E">
      <w:pPr>
        <w:pStyle w:val="NormalWeb"/>
        <w:ind w:left="567" w:hanging="567"/>
        <w:rPr>
          <w:color w:val="3A3A3A"/>
          <w:shd w:val="clear" w:color="auto" w:fill="FFFFFF"/>
        </w:rPr>
      </w:pPr>
      <w:proofErr w:type="spellStart"/>
      <w:r w:rsidRPr="00775E61">
        <w:rPr>
          <w:color w:val="3A3A3A"/>
          <w:shd w:val="clear" w:color="auto" w:fill="FFFFFF"/>
        </w:rPr>
        <w:t>Buchsbaum</w:t>
      </w:r>
      <w:proofErr w:type="spellEnd"/>
      <w:r w:rsidRPr="00775E61">
        <w:rPr>
          <w:color w:val="3A3A3A"/>
          <w:shd w:val="clear" w:color="auto" w:fill="FFFFFF"/>
        </w:rPr>
        <w:t>, B, R. (2013). The role of consciousness in the Phonological Loop: Hidden in plain sight.</w:t>
      </w:r>
      <w:r w:rsidRPr="00775E61">
        <w:rPr>
          <w:rStyle w:val="apple-converted-space"/>
          <w:color w:val="3A3A3A"/>
          <w:shd w:val="clear" w:color="auto" w:fill="FFFFFF"/>
        </w:rPr>
        <w:t> </w:t>
      </w:r>
      <w:r w:rsidRPr="00775E61">
        <w:rPr>
          <w:i/>
          <w:iCs/>
          <w:color w:val="3A3A3A"/>
        </w:rPr>
        <w:t>Frontiers in Psychology</w:t>
      </w:r>
      <w:r w:rsidRPr="00775E61">
        <w:rPr>
          <w:color w:val="3A3A3A"/>
          <w:shd w:val="clear" w:color="auto" w:fill="FFFFFF"/>
        </w:rPr>
        <w:t>,</w:t>
      </w:r>
      <w:r w:rsidRPr="00775E61">
        <w:rPr>
          <w:rStyle w:val="apple-converted-space"/>
          <w:color w:val="3A3A3A"/>
          <w:shd w:val="clear" w:color="auto" w:fill="FFFFFF"/>
        </w:rPr>
        <w:t> </w:t>
      </w:r>
      <w:r w:rsidRPr="00775E61">
        <w:rPr>
          <w:i/>
          <w:iCs/>
          <w:color w:val="3A3A3A"/>
        </w:rPr>
        <w:t>4</w:t>
      </w:r>
      <w:r w:rsidRPr="00775E61">
        <w:rPr>
          <w:color w:val="3A3A3A"/>
          <w:shd w:val="clear" w:color="auto" w:fill="FFFFFF"/>
        </w:rPr>
        <w:t xml:space="preserve">. </w:t>
      </w:r>
      <w:hyperlink r:id="rId18" w:history="1">
        <w:r w:rsidRPr="00775E61">
          <w:rPr>
            <w:rStyle w:val="Hyperlink"/>
            <w:shd w:val="clear" w:color="auto" w:fill="FFFFFF"/>
          </w:rPr>
          <w:t>https://doi.org/10.3389/fpsyg.2013.00</w:t>
        </w:r>
        <w:r w:rsidRPr="00775E61">
          <w:rPr>
            <w:rStyle w:val="Hyperlink"/>
            <w:shd w:val="clear" w:color="auto" w:fill="FFFFFF"/>
          </w:rPr>
          <w:t>4</w:t>
        </w:r>
        <w:r w:rsidRPr="00775E61">
          <w:rPr>
            <w:rStyle w:val="Hyperlink"/>
            <w:shd w:val="clear" w:color="auto" w:fill="FFFFFF"/>
          </w:rPr>
          <w:t>96</w:t>
        </w:r>
      </w:hyperlink>
      <w:r w:rsidRPr="00775E61">
        <w:rPr>
          <w:color w:val="3A3A3A"/>
          <w:shd w:val="clear" w:color="auto" w:fill="FFFFFF"/>
        </w:rPr>
        <w:t xml:space="preserve"> </w:t>
      </w:r>
    </w:p>
    <w:p w14:paraId="281BCF4A" w14:textId="77777777" w:rsidR="00351F2E" w:rsidRPr="00775E61" w:rsidRDefault="00351F2E" w:rsidP="00351F2E">
      <w:pPr>
        <w:pStyle w:val="NormalWeb"/>
        <w:ind w:left="567" w:hanging="567"/>
        <w:rPr>
          <w:color w:val="000000"/>
        </w:rPr>
      </w:pPr>
      <w:r w:rsidRPr="00775E61">
        <w:rPr>
          <w:color w:val="000000"/>
        </w:rPr>
        <w:t xml:space="preserve">Burchell, B., Miller, J., Brewin, C., </w:t>
      </w:r>
      <w:proofErr w:type="spellStart"/>
      <w:r w:rsidRPr="00775E61">
        <w:rPr>
          <w:color w:val="000000"/>
        </w:rPr>
        <w:t>Soffia</w:t>
      </w:r>
      <w:proofErr w:type="spellEnd"/>
      <w:r w:rsidRPr="00775E61">
        <w:rPr>
          <w:color w:val="000000"/>
        </w:rPr>
        <w:t>, M., &amp; Wang, S. (2022). The association between job quality and the incidence of PTSD amongst police personnel.</w:t>
      </w:r>
      <w:r w:rsidRPr="00775E61">
        <w:rPr>
          <w:rStyle w:val="apple-converted-space"/>
          <w:color w:val="000000"/>
        </w:rPr>
        <w:t> </w:t>
      </w:r>
      <w:r w:rsidRPr="00775E61">
        <w:rPr>
          <w:i/>
          <w:iCs/>
          <w:color w:val="000000"/>
        </w:rPr>
        <w:t>Policing: A Journal of Policy and Practice</w:t>
      </w:r>
      <w:r w:rsidRPr="00775E61">
        <w:rPr>
          <w:color w:val="000000"/>
        </w:rPr>
        <w:t>,</w:t>
      </w:r>
      <w:r w:rsidRPr="00775E61">
        <w:rPr>
          <w:rStyle w:val="apple-converted-space"/>
          <w:color w:val="000000"/>
        </w:rPr>
        <w:t> </w:t>
      </w:r>
      <w:r w:rsidRPr="00775E61">
        <w:rPr>
          <w:i/>
          <w:iCs/>
          <w:color w:val="000000"/>
        </w:rPr>
        <w:t>17</w:t>
      </w:r>
      <w:r w:rsidRPr="00775E61">
        <w:rPr>
          <w:color w:val="000000"/>
        </w:rPr>
        <w:t xml:space="preserve">. </w:t>
      </w:r>
      <w:hyperlink r:id="rId19" w:history="1">
        <w:r w:rsidRPr="00775E61">
          <w:rPr>
            <w:rStyle w:val="Hyperlink"/>
          </w:rPr>
          <w:t>https://doi.org/10.1093/police/paac054</w:t>
        </w:r>
      </w:hyperlink>
      <w:r w:rsidRPr="00775E61">
        <w:rPr>
          <w:rStyle w:val="apple-converted-space"/>
          <w:rFonts w:eastAsiaTheme="majorEastAsia"/>
          <w:color w:val="000000"/>
        </w:rPr>
        <w:t xml:space="preserve"> </w:t>
      </w:r>
    </w:p>
    <w:p w14:paraId="4DEC02FA" w14:textId="77777777" w:rsidR="00351F2E" w:rsidRPr="00775E61" w:rsidRDefault="00351F2E" w:rsidP="00351F2E">
      <w:pPr>
        <w:pStyle w:val="NormalWeb"/>
        <w:ind w:left="567" w:hanging="567"/>
      </w:pPr>
      <w:r w:rsidRPr="00775E61">
        <w:rPr>
          <w:color w:val="3A3A3A"/>
          <w:shd w:val="clear" w:color="auto" w:fill="FFFFFF"/>
        </w:rPr>
        <w:t>Caplan, D., Michaud, J., &amp; Hufford, R. (2013). Short-term memory, working memory, and syntactic comprehension in aphasia.</w:t>
      </w:r>
      <w:r w:rsidRPr="00775E61">
        <w:rPr>
          <w:rStyle w:val="apple-converted-space"/>
          <w:color w:val="3A3A3A"/>
          <w:shd w:val="clear" w:color="auto" w:fill="FFFFFF"/>
        </w:rPr>
        <w:t> </w:t>
      </w:r>
      <w:r w:rsidRPr="00775E61">
        <w:rPr>
          <w:i/>
          <w:iCs/>
          <w:color w:val="3A3A3A"/>
        </w:rPr>
        <w:t>Cognitive Neuropsychology</w:t>
      </w:r>
      <w:r w:rsidRPr="00775E61">
        <w:rPr>
          <w:color w:val="3A3A3A"/>
          <w:shd w:val="clear" w:color="auto" w:fill="FFFFFF"/>
        </w:rPr>
        <w:t>,</w:t>
      </w:r>
      <w:r w:rsidRPr="00775E61">
        <w:rPr>
          <w:rStyle w:val="apple-converted-space"/>
          <w:color w:val="3A3A3A"/>
          <w:shd w:val="clear" w:color="auto" w:fill="FFFFFF"/>
        </w:rPr>
        <w:t> </w:t>
      </w:r>
      <w:r w:rsidRPr="00775E61">
        <w:rPr>
          <w:i/>
          <w:iCs/>
          <w:color w:val="3A3A3A"/>
        </w:rPr>
        <w:t>30</w:t>
      </w:r>
      <w:r w:rsidRPr="00775E61">
        <w:rPr>
          <w:color w:val="3A3A3A"/>
          <w:shd w:val="clear" w:color="auto" w:fill="FFFFFF"/>
        </w:rPr>
        <w:t xml:space="preserve">(2), 77–109. </w:t>
      </w:r>
      <w:hyperlink r:id="rId20" w:history="1">
        <w:r w:rsidRPr="00775E61">
          <w:rPr>
            <w:rStyle w:val="Hyperlink"/>
            <w:shd w:val="clear" w:color="auto" w:fill="FFFFFF"/>
          </w:rPr>
          <w:t>https://doi.org/10.1080/02643294.2013.803958</w:t>
        </w:r>
      </w:hyperlink>
      <w:r w:rsidRPr="00775E61">
        <w:rPr>
          <w:color w:val="3A3A3A"/>
          <w:shd w:val="clear" w:color="auto" w:fill="FFFFFF"/>
        </w:rPr>
        <w:t xml:space="preserve"> </w:t>
      </w:r>
    </w:p>
    <w:p w14:paraId="723B1A64" w14:textId="77777777" w:rsidR="00351F2E" w:rsidRPr="00775E61" w:rsidRDefault="00351F2E" w:rsidP="00351F2E">
      <w:pPr>
        <w:pStyle w:val="NormalWeb"/>
        <w:ind w:left="567" w:hanging="567"/>
        <w:rPr>
          <w:color w:val="000000"/>
        </w:rPr>
      </w:pPr>
      <w:r w:rsidRPr="00775E61">
        <w:rPr>
          <w:color w:val="000000"/>
        </w:rPr>
        <w:t>Cartwright, A., &amp; Roach, J. (2020). The wellbeing of UK police: A study of recorded absences from work of UK police employees due to psychological illness and stress using Freedom of Information Act Data.</w:t>
      </w:r>
      <w:r w:rsidRPr="00775E61">
        <w:rPr>
          <w:rStyle w:val="apple-converted-space"/>
          <w:color w:val="000000"/>
        </w:rPr>
        <w:t> </w:t>
      </w:r>
      <w:r w:rsidRPr="00775E61">
        <w:rPr>
          <w:i/>
          <w:iCs/>
          <w:color w:val="000000"/>
        </w:rPr>
        <w:t>Policing: A Journal of Policy and Practice</w:t>
      </w:r>
      <w:r w:rsidRPr="00775E61">
        <w:rPr>
          <w:color w:val="000000"/>
        </w:rPr>
        <w:t>,</w:t>
      </w:r>
      <w:r w:rsidRPr="00775E61">
        <w:rPr>
          <w:rStyle w:val="apple-converted-space"/>
          <w:color w:val="000000"/>
        </w:rPr>
        <w:t> </w:t>
      </w:r>
      <w:r w:rsidRPr="00775E61">
        <w:rPr>
          <w:i/>
          <w:iCs/>
          <w:color w:val="000000"/>
        </w:rPr>
        <w:t>15</w:t>
      </w:r>
      <w:r w:rsidRPr="00775E61">
        <w:rPr>
          <w:color w:val="000000"/>
        </w:rPr>
        <w:t xml:space="preserve">(2), 1326–1338. </w:t>
      </w:r>
      <w:hyperlink r:id="rId21" w:history="1">
        <w:r w:rsidRPr="00775E61">
          <w:rPr>
            <w:rStyle w:val="Hyperlink"/>
          </w:rPr>
          <w:t>https://doi.org/10.1093/police/paaa033</w:t>
        </w:r>
      </w:hyperlink>
      <w:r w:rsidRPr="00775E61">
        <w:rPr>
          <w:rStyle w:val="apple-converted-space"/>
          <w:rFonts w:eastAsiaTheme="majorEastAsia"/>
          <w:color w:val="000000"/>
        </w:rPr>
        <w:t xml:space="preserve"> </w:t>
      </w:r>
    </w:p>
    <w:p w14:paraId="60706BE8" w14:textId="77777777" w:rsidR="00351F2E" w:rsidRPr="00775E61" w:rsidRDefault="00351F2E" w:rsidP="00351F2E">
      <w:pPr>
        <w:pStyle w:val="NormalWeb"/>
        <w:ind w:left="567" w:hanging="567"/>
      </w:pPr>
      <w:r w:rsidRPr="00775E61">
        <w:t xml:space="preserve">Chai, W. J., Abd Hamid, A. I., &amp; Abdullah, J. M. (2018). Working memory from the psychological and neurosciences perspectives: A Review. </w:t>
      </w:r>
      <w:r w:rsidRPr="00775E61">
        <w:rPr>
          <w:i/>
          <w:iCs/>
        </w:rPr>
        <w:t>Frontiers in Psychology</w:t>
      </w:r>
      <w:r w:rsidRPr="00775E61">
        <w:t xml:space="preserve">, </w:t>
      </w:r>
      <w:r w:rsidRPr="00775E61">
        <w:rPr>
          <w:i/>
          <w:iCs/>
        </w:rPr>
        <w:t>9</w:t>
      </w:r>
      <w:r w:rsidRPr="00775E61">
        <w:t xml:space="preserve">. </w:t>
      </w:r>
      <w:hyperlink r:id="rId22" w:history="1">
        <w:r w:rsidRPr="00775E61">
          <w:rPr>
            <w:rStyle w:val="Hyperlink"/>
          </w:rPr>
          <w:t>https://doi.org/10.3389/fpsyg.2018.00401</w:t>
        </w:r>
      </w:hyperlink>
      <w:r w:rsidRPr="00775E61">
        <w:t xml:space="preserve"> </w:t>
      </w:r>
    </w:p>
    <w:p w14:paraId="53E88D9B" w14:textId="77777777" w:rsidR="00351F2E" w:rsidRPr="00775E61" w:rsidRDefault="00351F2E" w:rsidP="00351F2E">
      <w:pPr>
        <w:pStyle w:val="NormalWeb"/>
        <w:ind w:left="567" w:hanging="567"/>
        <w:rPr>
          <w:color w:val="3A3A3A"/>
          <w:shd w:val="clear" w:color="auto" w:fill="FFFFFF"/>
        </w:rPr>
      </w:pPr>
      <w:r w:rsidRPr="00775E61">
        <w:rPr>
          <w:color w:val="3A3A3A"/>
          <w:shd w:val="clear" w:color="auto" w:fill="FFFFFF"/>
        </w:rPr>
        <w:t>Chen, E. H., &amp; Bailey, D. H. (2021). Dual-task studies of working Memory and arithmetic performance: A meta-analysis.</w:t>
      </w:r>
      <w:r w:rsidRPr="00775E61">
        <w:rPr>
          <w:rStyle w:val="apple-converted-space"/>
          <w:color w:val="3A3A3A"/>
          <w:shd w:val="clear" w:color="auto" w:fill="FFFFFF"/>
        </w:rPr>
        <w:t> </w:t>
      </w:r>
      <w:r w:rsidRPr="00775E61">
        <w:rPr>
          <w:i/>
          <w:iCs/>
          <w:color w:val="3A3A3A"/>
        </w:rPr>
        <w:t>Journal of Experimental Psychology. Learning, Memory, and Cognition</w:t>
      </w:r>
      <w:r w:rsidRPr="00775E61">
        <w:rPr>
          <w:color w:val="3A3A3A"/>
          <w:shd w:val="clear" w:color="auto" w:fill="FFFFFF"/>
        </w:rPr>
        <w:t>,</w:t>
      </w:r>
      <w:r w:rsidRPr="00775E61">
        <w:rPr>
          <w:rStyle w:val="apple-converted-space"/>
          <w:color w:val="3A3A3A"/>
          <w:shd w:val="clear" w:color="auto" w:fill="FFFFFF"/>
        </w:rPr>
        <w:t> </w:t>
      </w:r>
      <w:r w:rsidRPr="00775E61">
        <w:rPr>
          <w:i/>
          <w:iCs/>
          <w:color w:val="3A3A3A"/>
        </w:rPr>
        <w:t>47</w:t>
      </w:r>
      <w:r w:rsidRPr="00775E61">
        <w:rPr>
          <w:color w:val="3A3A3A"/>
          <w:shd w:val="clear" w:color="auto" w:fill="FFFFFF"/>
        </w:rPr>
        <w:t xml:space="preserve">(2), 220–233. </w:t>
      </w:r>
      <w:hyperlink r:id="rId23" w:history="1">
        <w:r w:rsidRPr="00775E61">
          <w:rPr>
            <w:rStyle w:val="Hyperlink"/>
            <w:shd w:val="clear" w:color="auto" w:fill="FFFFFF"/>
          </w:rPr>
          <w:t>https://doi.org/10.1037/xlm0000822</w:t>
        </w:r>
      </w:hyperlink>
      <w:r w:rsidRPr="00775E61">
        <w:rPr>
          <w:color w:val="3A3A3A"/>
          <w:shd w:val="clear" w:color="auto" w:fill="FFFFFF"/>
        </w:rPr>
        <w:t xml:space="preserve"> </w:t>
      </w:r>
    </w:p>
    <w:p w14:paraId="1B8D437C" w14:textId="77777777" w:rsidR="00351F2E" w:rsidRPr="00775E61" w:rsidRDefault="00351F2E" w:rsidP="00351F2E">
      <w:pPr>
        <w:pStyle w:val="NormalWeb"/>
        <w:ind w:left="567" w:hanging="567"/>
        <w:rPr>
          <w:rStyle w:val="apple-converted-space"/>
          <w:rFonts w:eastAsiaTheme="majorEastAsia"/>
          <w:color w:val="000000"/>
        </w:rPr>
      </w:pPr>
      <w:proofErr w:type="spellStart"/>
      <w:r w:rsidRPr="00775E61">
        <w:rPr>
          <w:color w:val="000000"/>
        </w:rPr>
        <w:t>Da’Costa</w:t>
      </w:r>
      <w:proofErr w:type="spellEnd"/>
      <w:r w:rsidRPr="00775E61">
        <w:rPr>
          <w:color w:val="000000"/>
        </w:rPr>
        <w:t xml:space="preserve">, A., Teke, J., </w:t>
      </w:r>
      <w:proofErr w:type="spellStart"/>
      <w:r w:rsidRPr="00775E61">
        <w:rPr>
          <w:color w:val="000000"/>
        </w:rPr>
        <w:t>Origbo</w:t>
      </w:r>
      <w:proofErr w:type="spellEnd"/>
      <w:r w:rsidRPr="00775E61">
        <w:rPr>
          <w:color w:val="000000"/>
        </w:rPr>
        <w:t xml:space="preserve">, J. E., </w:t>
      </w:r>
      <w:proofErr w:type="spellStart"/>
      <w:r w:rsidRPr="00775E61">
        <w:rPr>
          <w:color w:val="000000"/>
        </w:rPr>
        <w:t>Osonuga</w:t>
      </w:r>
      <w:proofErr w:type="spellEnd"/>
      <w:r w:rsidRPr="00775E61">
        <w:rPr>
          <w:color w:val="000000"/>
        </w:rPr>
        <w:t xml:space="preserve">, A., </w:t>
      </w:r>
      <w:proofErr w:type="spellStart"/>
      <w:r w:rsidRPr="00775E61">
        <w:rPr>
          <w:color w:val="000000"/>
        </w:rPr>
        <w:t>Egbon</w:t>
      </w:r>
      <w:proofErr w:type="spellEnd"/>
      <w:r w:rsidRPr="00775E61">
        <w:rPr>
          <w:color w:val="000000"/>
        </w:rPr>
        <w:t xml:space="preserve">, E., &amp; </w:t>
      </w:r>
      <w:proofErr w:type="spellStart"/>
      <w:r w:rsidRPr="00775E61">
        <w:rPr>
          <w:color w:val="000000"/>
        </w:rPr>
        <w:t>Olawade</w:t>
      </w:r>
      <w:proofErr w:type="spellEnd"/>
      <w:r w:rsidRPr="00775E61">
        <w:rPr>
          <w:color w:val="000000"/>
        </w:rPr>
        <w:t>, D. B. (2025). AI-driven triage in emergency departments: A review of benefits, challenges, and future directions.</w:t>
      </w:r>
      <w:r w:rsidRPr="00775E61">
        <w:rPr>
          <w:rStyle w:val="apple-converted-space"/>
          <w:color w:val="000000"/>
        </w:rPr>
        <w:t> </w:t>
      </w:r>
      <w:r w:rsidRPr="00775E61">
        <w:rPr>
          <w:i/>
          <w:iCs/>
          <w:color w:val="000000"/>
        </w:rPr>
        <w:t>International Journal of Medical Informatics</w:t>
      </w:r>
      <w:r w:rsidRPr="00775E61">
        <w:rPr>
          <w:color w:val="000000"/>
        </w:rPr>
        <w:t>,</w:t>
      </w:r>
      <w:r w:rsidRPr="00775E61">
        <w:rPr>
          <w:rStyle w:val="apple-converted-space"/>
          <w:color w:val="000000"/>
        </w:rPr>
        <w:t> </w:t>
      </w:r>
      <w:r w:rsidRPr="00775E61">
        <w:rPr>
          <w:i/>
          <w:iCs/>
          <w:color w:val="000000"/>
        </w:rPr>
        <w:t>197</w:t>
      </w:r>
      <w:r w:rsidRPr="00775E61">
        <w:rPr>
          <w:color w:val="000000"/>
        </w:rPr>
        <w:t xml:space="preserve">, 105838. </w:t>
      </w:r>
      <w:hyperlink r:id="rId24" w:history="1">
        <w:r w:rsidRPr="00775E61">
          <w:rPr>
            <w:rStyle w:val="Hyperlink"/>
          </w:rPr>
          <w:t>https://doi.org/10.1016/j.ijmedinf.2025.105838</w:t>
        </w:r>
      </w:hyperlink>
      <w:r w:rsidRPr="00775E61">
        <w:rPr>
          <w:rStyle w:val="apple-converted-space"/>
          <w:rFonts w:eastAsiaTheme="majorEastAsia"/>
          <w:color w:val="000000"/>
        </w:rPr>
        <w:t xml:space="preserve"> </w:t>
      </w:r>
    </w:p>
    <w:p w14:paraId="1562AD2A" w14:textId="77777777" w:rsidR="00351F2E" w:rsidRPr="00775E61" w:rsidRDefault="00351F2E" w:rsidP="00351F2E">
      <w:pPr>
        <w:pStyle w:val="NormalWeb"/>
        <w:ind w:left="567" w:hanging="567"/>
        <w:rPr>
          <w:color w:val="000000"/>
        </w:rPr>
      </w:pPr>
      <w:proofErr w:type="spellStart"/>
      <w:r w:rsidRPr="00775E61">
        <w:rPr>
          <w:color w:val="3A3A3A"/>
          <w:shd w:val="clear" w:color="auto" w:fill="FFFFFF"/>
        </w:rPr>
        <w:t>D’Esposito</w:t>
      </w:r>
      <w:proofErr w:type="spellEnd"/>
      <w:r w:rsidRPr="00775E61">
        <w:rPr>
          <w:color w:val="3A3A3A"/>
          <w:shd w:val="clear" w:color="auto" w:fill="FFFFFF"/>
        </w:rPr>
        <w:t>, M., &amp; Postle, B. R. (2015). The Cognitive Neuroscience of Working Memory.</w:t>
      </w:r>
      <w:r w:rsidRPr="00775E61">
        <w:rPr>
          <w:rStyle w:val="apple-converted-space"/>
          <w:color w:val="3A3A3A"/>
          <w:shd w:val="clear" w:color="auto" w:fill="FFFFFF"/>
        </w:rPr>
        <w:t> </w:t>
      </w:r>
      <w:r w:rsidRPr="00775E61">
        <w:rPr>
          <w:i/>
          <w:iCs/>
          <w:color w:val="3A3A3A"/>
        </w:rPr>
        <w:t>Annual Review of Psychology</w:t>
      </w:r>
      <w:r w:rsidRPr="00775E61">
        <w:rPr>
          <w:color w:val="3A3A3A"/>
          <w:shd w:val="clear" w:color="auto" w:fill="FFFFFF"/>
        </w:rPr>
        <w:t>,</w:t>
      </w:r>
      <w:r w:rsidRPr="00775E61">
        <w:rPr>
          <w:rStyle w:val="apple-converted-space"/>
          <w:color w:val="3A3A3A"/>
          <w:shd w:val="clear" w:color="auto" w:fill="FFFFFF"/>
        </w:rPr>
        <w:t> </w:t>
      </w:r>
      <w:r w:rsidRPr="00775E61">
        <w:rPr>
          <w:i/>
          <w:iCs/>
          <w:color w:val="3A3A3A"/>
        </w:rPr>
        <w:t>66</w:t>
      </w:r>
      <w:r w:rsidRPr="00775E61">
        <w:rPr>
          <w:color w:val="3A3A3A"/>
          <w:shd w:val="clear" w:color="auto" w:fill="FFFFFF"/>
        </w:rPr>
        <w:t xml:space="preserve">(1), 115–142. </w:t>
      </w:r>
      <w:hyperlink r:id="rId25" w:history="1">
        <w:r w:rsidRPr="00775E61">
          <w:rPr>
            <w:rStyle w:val="Hyperlink"/>
            <w:shd w:val="clear" w:color="auto" w:fill="FFFFFF"/>
          </w:rPr>
          <w:t>https://doi.org/10.1146/annurev-psych-010814-015031</w:t>
        </w:r>
      </w:hyperlink>
      <w:r w:rsidRPr="00775E61">
        <w:rPr>
          <w:color w:val="3A3A3A"/>
          <w:shd w:val="clear" w:color="auto" w:fill="FFFFFF"/>
        </w:rPr>
        <w:t xml:space="preserve"> </w:t>
      </w:r>
    </w:p>
    <w:p w14:paraId="0599D1D1" w14:textId="77777777" w:rsidR="00351F2E" w:rsidRPr="00775E61" w:rsidRDefault="00351F2E" w:rsidP="00351F2E">
      <w:pPr>
        <w:pStyle w:val="NormalWeb"/>
        <w:ind w:left="567" w:hanging="567"/>
        <w:rPr>
          <w:color w:val="3A3A3A"/>
          <w:shd w:val="clear" w:color="auto" w:fill="FFFFFF"/>
        </w:rPr>
      </w:pPr>
      <w:r w:rsidRPr="00775E61">
        <w:rPr>
          <w:color w:val="3A3A3A"/>
          <w:shd w:val="clear" w:color="auto" w:fill="FFFFFF"/>
        </w:rPr>
        <w:t>Eysenck, M. W., &amp; Keane, M. T. (2020). </w:t>
      </w:r>
      <w:r w:rsidRPr="00775E61">
        <w:rPr>
          <w:i/>
          <w:iCs/>
          <w:color w:val="3A3A3A"/>
          <w:shd w:val="clear" w:color="auto" w:fill="FFFFFF"/>
        </w:rPr>
        <w:t>Cognitive Psychology: A Student’s Handbook</w:t>
      </w:r>
      <w:r w:rsidRPr="00775E61">
        <w:rPr>
          <w:color w:val="3A3A3A"/>
          <w:shd w:val="clear" w:color="auto" w:fill="FFFFFF"/>
        </w:rPr>
        <w:t> (8</w:t>
      </w:r>
      <w:r w:rsidRPr="00775E61">
        <w:rPr>
          <w:color w:val="3A3A3A"/>
          <w:shd w:val="clear" w:color="auto" w:fill="FFFFFF"/>
          <w:vertAlign w:val="superscript"/>
        </w:rPr>
        <w:t>th</w:t>
      </w:r>
      <w:r w:rsidRPr="00775E61">
        <w:rPr>
          <w:color w:val="3A3A3A"/>
          <w:shd w:val="clear" w:color="auto" w:fill="FFFFFF"/>
        </w:rPr>
        <w:t xml:space="preserve"> ed.). Routledge.</w:t>
      </w:r>
    </w:p>
    <w:p w14:paraId="7913032F" w14:textId="77777777" w:rsidR="00351F2E" w:rsidRPr="00775E61" w:rsidRDefault="00351F2E" w:rsidP="00351F2E">
      <w:pPr>
        <w:pStyle w:val="NormalWeb"/>
        <w:ind w:left="567" w:hanging="567"/>
      </w:pPr>
      <w:proofErr w:type="spellStart"/>
      <w:r w:rsidRPr="00775E61">
        <w:lastRenderedPageBreak/>
        <w:t>Funahashi</w:t>
      </w:r>
      <w:proofErr w:type="spellEnd"/>
      <w:r w:rsidRPr="00775E61">
        <w:t xml:space="preserve">, S. (2017). Working memory in the prefrontal cortex. </w:t>
      </w:r>
      <w:r w:rsidRPr="00775E61">
        <w:rPr>
          <w:i/>
          <w:iCs/>
        </w:rPr>
        <w:t>Brain Sciences</w:t>
      </w:r>
      <w:r w:rsidRPr="00775E61">
        <w:t xml:space="preserve">, </w:t>
      </w:r>
      <w:r w:rsidRPr="00775E61">
        <w:rPr>
          <w:i/>
          <w:iCs/>
        </w:rPr>
        <w:t>7</w:t>
      </w:r>
      <w:r w:rsidRPr="00775E61">
        <w:t xml:space="preserve">(5), 49. </w:t>
      </w:r>
      <w:hyperlink r:id="rId26" w:history="1">
        <w:r w:rsidRPr="00775E61">
          <w:rPr>
            <w:rStyle w:val="Hyperlink"/>
          </w:rPr>
          <w:t>https://doi.org/10.3390/brainsci7050049</w:t>
        </w:r>
      </w:hyperlink>
      <w:r w:rsidRPr="00775E61">
        <w:t xml:space="preserve"> </w:t>
      </w:r>
    </w:p>
    <w:p w14:paraId="696E0E1E" w14:textId="77777777" w:rsidR="00351F2E" w:rsidRPr="00775E61" w:rsidRDefault="00351F2E" w:rsidP="00351F2E">
      <w:pPr>
        <w:pStyle w:val="NormalWeb"/>
        <w:ind w:left="567" w:hanging="567"/>
        <w:rPr>
          <w:rStyle w:val="apple-converted-space"/>
          <w:rFonts w:eastAsiaTheme="majorEastAsia"/>
          <w:color w:val="000000"/>
        </w:rPr>
      </w:pPr>
      <w:proofErr w:type="spellStart"/>
      <w:r w:rsidRPr="00775E61">
        <w:rPr>
          <w:color w:val="000000"/>
        </w:rPr>
        <w:t>Geißler</w:t>
      </w:r>
      <w:proofErr w:type="spellEnd"/>
      <w:r w:rsidRPr="00775E61">
        <w:rPr>
          <w:color w:val="000000"/>
        </w:rPr>
        <w:t xml:space="preserve">, C. F., </w:t>
      </w:r>
      <w:proofErr w:type="spellStart"/>
      <w:r w:rsidRPr="00775E61">
        <w:rPr>
          <w:color w:val="000000"/>
        </w:rPr>
        <w:t>Friehs</w:t>
      </w:r>
      <w:proofErr w:type="spellEnd"/>
      <w:r w:rsidRPr="00775E61">
        <w:rPr>
          <w:color w:val="000000"/>
        </w:rPr>
        <w:t>, M. A., Frings, C., &amp; Domes, G. (2023). Time-dependent effects of acute stress on working memory performance: A systematic review and hypothesis.</w:t>
      </w:r>
      <w:r w:rsidRPr="00775E61">
        <w:rPr>
          <w:rStyle w:val="apple-converted-space"/>
          <w:color w:val="000000"/>
        </w:rPr>
        <w:t> </w:t>
      </w:r>
      <w:proofErr w:type="spellStart"/>
      <w:r w:rsidRPr="00775E61">
        <w:rPr>
          <w:i/>
          <w:iCs/>
          <w:color w:val="000000"/>
        </w:rPr>
        <w:t>Psychoneuroendocrinology</w:t>
      </w:r>
      <w:proofErr w:type="spellEnd"/>
      <w:r w:rsidRPr="00775E61">
        <w:rPr>
          <w:color w:val="000000"/>
        </w:rPr>
        <w:t>,</w:t>
      </w:r>
      <w:r w:rsidRPr="00775E61">
        <w:rPr>
          <w:rStyle w:val="apple-converted-space"/>
          <w:color w:val="000000"/>
        </w:rPr>
        <w:t> </w:t>
      </w:r>
      <w:r w:rsidRPr="00775E61">
        <w:rPr>
          <w:i/>
          <w:iCs/>
          <w:color w:val="000000"/>
        </w:rPr>
        <w:t>148</w:t>
      </w:r>
      <w:r w:rsidRPr="00775E61">
        <w:rPr>
          <w:color w:val="000000"/>
        </w:rPr>
        <w:t xml:space="preserve">, 105998. </w:t>
      </w:r>
      <w:hyperlink r:id="rId27" w:history="1">
        <w:r w:rsidRPr="00775E61">
          <w:rPr>
            <w:rStyle w:val="Hyperlink"/>
          </w:rPr>
          <w:t>https://doi.org/10.1016/j.psyneuen.2022.105998</w:t>
        </w:r>
      </w:hyperlink>
      <w:r w:rsidRPr="00775E61">
        <w:rPr>
          <w:rStyle w:val="apple-converted-space"/>
          <w:rFonts w:eastAsiaTheme="majorEastAsia"/>
          <w:color w:val="000000"/>
        </w:rPr>
        <w:t xml:space="preserve"> </w:t>
      </w:r>
    </w:p>
    <w:p w14:paraId="3E209241" w14:textId="77777777" w:rsidR="00351F2E" w:rsidRPr="00775E61" w:rsidRDefault="00351F2E" w:rsidP="00351F2E">
      <w:pPr>
        <w:pStyle w:val="NormalWeb"/>
        <w:ind w:left="567" w:hanging="567"/>
        <w:rPr>
          <w:color w:val="000000"/>
        </w:rPr>
      </w:pPr>
      <w:r w:rsidRPr="00775E61">
        <w:rPr>
          <w:color w:val="000000"/>
        </w:rPr>
        <w:t>GOV.UK. (2023, January 31).</w:t>
      </w:r>
      <w:r w:rsidRPr="00775E61">
        <w:rPr>
          <w:rStyle w:val="apple-converted-space"/>
          <w:color w:val="000000"/>
        </w:rPr>
        <w:t> </w:t>
      </w:r>
      <w:r w:rsidRPr="00775E61">
        <w:rPr>
          <w:i/>
          <w:iCs/>
          <w:color w:val="000000"/>
        </w:rPr>
        <w:t>Violent offences reduced in areas with multi-agency partnerships</w:t>
      </w:r>
      <w:r w:rsidRPr="00775E61">
        <w:rPr>
          <w:color w:val="000000"/>
        </w:rPr>
        <w:t xml:space="preserve">. GOV.UK. </w:t>
      </w:r>
      <w:hyperlink r:id="rId28" w:history="1">
        <w:r w:rsidRPr="00775E61">
          <w:rPr>
            <w:rStyle w:val="Hyperlink"/>
          </w:rPr>
          <w:t>https://www.gov.uk/government/news/violent-offences-reduced-in-areas-with-multi-agency-partnerships</w:t>
        </w:r>
      </w:hyperlink>
      <w:r w:rsidRPr="00775E61">
        <w:rPr>
          <w:rStyle w:val="apple-converted-space"/>
          <w:rFonts w:eastAsiaTheme="majorEastAsia"/>
          <w:color w:val="000000"/>
        </w:rPr>
        <w:t xml:space="preserve"> </w:t>
      </w:r>
    </w:p>
    <w:p w14:paraId="02979D09" w14:textId="77777777" w:rsidR="00351F2E" w:rsidRPr="00775E61" w:rsidRDefault="00351F2E" w:rsidP="00351F2E">
      <w:pPr>
        <w:pStyle w:val="NormalWeb"/>
        <w:ind w:left="567" w:hanging="567"/>
        <w:rPr>
          <w:color w:val="3A3A3A"/>
          <w:shd w:val="clear" w:color="auto" w:fill="FFFFFF"/>
        </w:rPr>
      </w:pPr>
      <w:r w:rsidRPr="00775E61">
        <w:rPr>
          <w:color w:val="3A3A3A"/>
          <w:shd w:val="clear" w:color="auto" w:fill="FFFFFF"/>
        </w:rPr>
        <w:t xml:space="preserve">James, T., &amp; </w:t>
      </w:r>
      <w:proofErr w:type="spellStart"/>
      <w:r w:rsidRPr="00775E61">
        <w:rPr>
          <w:color w:val="3A3A3A"/>
          <w:shd w:val="clear" w:color="auto" w:fill="FFFFFF"/>
        </w:rPr>
        <w:t>Roodenrys</w:t>
      </w:r>
      <w:proofErr w:type="spellEnd"/>
      <w:r w:rsidRPr="00775E61">
        <w:rPr>
          <w:color w:val="3A3A3A"/>
          <w:shd w:val="clear" w:color="auto" w:fill="FFFFFF"/>
        </w:rPr>
        <w:t>, S. (2023). Exploring the necessary conditions for phonological interference in serial recall.</w:t>
      </w:r>
      <w:r w:rsidRPr="00775E61">
        <w:rPr>
          <w:rStyle w:val="apple-converted-space"/>
          <w:color w:val="3A3A3A"/>
          <w:shd w:val="clear" w:color="auto" w:fill="FFFFFF"/>
        </w:rPr>
        <w:t> </w:t>
      </w:r>
      <w:r w:rsidRPr="00775E61">
        <w:rPr>
          <w:i/>
          <w:iCs/>
          <w:color w:val="3A3A3A"/>
        </w:rPr>
        <w:t>Memory (Hove)</w:t>
      </w:r>
      <w:r w:rsidRPr="00775E61">
        <w:rPr>
          <w:color w:val="3A3A3A"/>
          <w:shd w:val="clear" w:color="auto" w:fill="FFFFFF"/>
        </w:rPr>
        <w:t>,</w:t>
      </w:r>
      <w:r w:rsidRPr="00775E61">
        <w:rPr>
          <w:rStyle w:val="apple-converted-space"/>
          <w:color w:val="3A3A3A"/>
          <w:shd w:val="clear" w:color="auto" w:fill="FFFFFF"/>
        </w:rPr>
        <w:t> </w:t>
      </w:r>
      <w:r w:rsidRPr="00775E61">
        <w:rPr>
          <w:i/>
          <w:iCs/>
          <w:color w:val="3A3A3A"/>
        </w:rPr>
        <w:t>31</w:t>
      </w:r>
      <w:r w:rsidRPr="00775E61">
        <w:rPr>
          <w:color w:val="3A3A3A"/>
          <w:shd w:val="clear" w:color="auto" w:fill="FFFFFF"/>
        </w:rPr>
        <w:t xml:space="preserve">(7), 891–904. </w:t>
      </w:r>
      <w:hyperlink r:id="rId29" w:history="1">
        <w:r w:rsidRPr="00775E61">
          <w:rPr>
            <w:rStyle w:val="Hyperlink"/>
            <w:shd w:val="clear" w:color="auto" w:fill="FFFFFF"/>
          </w:rPr>
          <w:t>https://doi.org/10.1080/09658211.2023.2200587</w:t>
        </w:r>
      </w:hyperlink>
      <w:r w:rsidRPr="00775E61">
        <w:rPr>
          <w:color w:val="3A3A3A"/>
          <w:shd w:val="clear" w:color="auto" w:fill="FFFFFF"/>
        </w:rPr>
        <w:t xml:space="preserve"> </w:t>
      </w:r>
    </w:p>
    <w:p w14:paraId="0D701872" w14:textId="77777777" w:rsidR="00351F2E" w:rsidRPr="00775E61" w:rsidRDefault="00351F2E" w:rsidP="00351F2E">
      <w:pPr>
        <w:pStyle w:val="NormalWeb"/>
        <w:ind w:left="567" w:hanging="567"/>
        <w:rPr>
          <w:rStyle w:val="apple-converted-space"/>
          <w:rFonts w:eastAsiaTheme="majorEastAsia"/>
          <w:color w:val="000000"/>
        </w:rPr>
      </w:pPr>
      <w:proofErr w:type="spellStart"/>
      <w:r w:rsidRPr="00775E61">
        <w:rPr>
          <w:color w:val="000000"/>
        </w:rPr>
        <w:t>Klauer</w:t>
      </w:r>
      <w:proofErr w:type="spellEnd"/>
      <w:r w:rsidRPr="00775E61">
        <w:rPr>
          <w:color w:val="000000"/>
        </w:rPr>
        <w:t>, K. C., &amp; Zhao, Z. (2004). Double dissociations in visual and spatial short-term memory.</w:t>
      </w:r>
      <w:r w:rsidRPr="00775E61">
        <w:rPr>
          <w:rStyle w:val="apple-converted-space"/>
          <w:color w:val="000000"/>
        </w:rPr>
        <w:t> </w:t>
      </w:r>
      <w:r w:rsidRPr="00775E61">
        <w:rPr>
          <w:i/>
          <w:iCs/>
          <w:color w:val="000000"/>
        </w:rPr>
        <w:t>Journal of Experimental Psychology: General</w:t>
      </w:r>
      <w:r w:rsidRPr="00775E61">
        <w:rPr>
          <w:color w:val="000000"/>
        </w:rPr>
        <w:t>,</w:t>
      </w:r>
      <w:r w:rsidRPr="00775E61">
        <w:rPr>
          <w:rStyle w:val="apple-converted-space"/>
          <w:color w:val="000000"/>
        </w:rPr>
        <w:t> </w:t>
      </w:r>
      <w:r w:rsidRPr="00775E61">
        <w:rPr>
          <w:i/>
          <w:iCs/>
          <w:color w:val="000000"/>
        </w:rPr>
        <w:t>133</w:t>
      </w:r>
      <w:r w:rsidRPr="00775E61">
        <w:rPr>
          <w:color w:val="000000"/>
        </w:rPr>
        <w:t xml:space="preserve">(3), 355–381. </w:t>
      </w:r>
      <w:hyperlink r:id="rId30" w:history="1">
        <w:r w:rsidRPr="00775E61">
          <w:rPr>
            <w:rStyle w:val="Hyperlink"/>
          </w:rPr>
          <w:t>https://doi.org/10.1037/0096-3445.133.3.355</w:t>
        </w:r>
      </w:hyperlink>
      <w:r w:rsidRPr="00775E61">
        <w:rPr>
          <w:rStyle w:val="apple-converted-space"/>
          <w:rFonts w:eastAsiaTheme="majorEastAsia"/>
          <w:color w:val="000000"/>
        </w:rPr>
        <w:t xml:space="preserve"> </w:t>
      </w:r>
    </w:p>
    <w:p w14:paraId="20668D68" w14:textId="77777777" w:rsidR="00351F2E" w:rsidRPr="00775E61" w:rsidRDefault="00351F2E" w:rsidP="00351F2E">
      <w:pPr>
        <w:pStyle w:val="NormalWeb"/>
        <w:ind w:left="567" w:hanging="567"/>
        <w:rPr>
          <w:color w:val="000000"/>
        </w:rPr>
      </w:pPr>
      <w:proofErr w:type="spellStart"/>
      <w:r w:rsidRPr="00775E61">
        <w:rPr>
          <w:color w:val="000000"/>
        </w:rPr>
        <w:t>Kleider</w:t>
      </w:r>
      <w:proofErr w:type="spellEnd"/>
      <w:r w:rsidRPr="00775E61">
        <w:rPr>
          <w:color w:val="000000"/>
        </w:rPr>
        <w:t>-Offutt, H. M., Clevinger, A. M., &amp; Bond, A. D. (2016). Working memory and cognitive load in the legal system: Influences on police shooting decisions, interrogation and jury decisions.</w:t>
      </w:r>
      <w:r w:rsidRPr="00775E61">
        <w:rPr>
          <w:rStyle w:val="apple-converted-space"/>
          <w:color w:val="000000"/>
        </w:rPr>
        <w:t> </w:t>
      </w:r>
      <w:r w:rsidRPr="00775E61">
        <w:rPr>
          <w:i/>
          <w:iCs/>
          <w:color w:val="000000"/>
        </w:rPr>
        <w:t>Journal of Applied Research in Memory and Cognition</w:t>
      </w:r>
      <w:r w:rsidRPr="00775E61">
        <w:rPr>
          <w:color w:val="000000"/>
        </w:rPr>
        <w:t>,</w:t>
      </w:r>
      <w:r w:rsidRPr="00775E61">
        <w:rPr>
          <w:rStyle w:val="apple-converted-space"/>
          <w:color w:val="000000"/>
        </w:rPr>
        <w:t> </w:t>
      </w:r>
      <w:r w:rsidRPr="00775E61">
        <w:rPr>
          <w:i/>
          <w:iCs/>
          <w:color w:val="000000"/>
        </w:rPr>
        <w:t>5</w:t>
      </w:r>
      <w:r w:rsidRPr="00775E61">
        <w:rPr>
          <w:color w:val="000000"/>
        </w:rPr>
        <w:t xml:space="preserve">(4), 426–433. </w:t>
      </w:r>
      <w:hyperlink r:id="rId31" w:history="1">
        <w:r w:rsidRPr="00775E61">
          <w:rPr>
            <w:rStyle w:val="Hyperlink"/>
          </w:rPr>
          <w:t>https://doi.org/10.1016/j.jarmac.2016.04.008</w:t>
        </w:r>
      </w:hyperlink>
      <w:r w:rsidRPr="00775E61">
        <w:rPr>
          <w:color w:val="000000"/>
        </w:rPr>
        <w:t xml:space="preserve"> </w:t>
      </w:r>
      <w:r w:rsidRPr="00775E61">
        <w:rPr>
          <w:rStyle w:val="apple-converted-space"/>
          <w:color w:val="000000"/>
        </w:rPr>
        <w:t> </w:t>
      </w:r>
    </w:p>
    <w:p w14:paraId="194B9DE9" w14:textId="77777777" w:rsidR="00351F2E" w:rsidRPr="00775E61" w:rsidRDefault="00351F2E" w:rsidP="00351F2E">
      <w:pPr>
        <w:pStyle w:val="NormalWeb"/>
        <w:ind w:left="567" w:hanging="567"/>
        <w:rPr>
          <w:color w:val="3A3A3A"/>
          <w:shd w:val="clear" w:color="auto" w:fill="FFFFFF"/>
        </w:rPr>
      </w:pPr>
      <w:proofErr w:type="spellStart"/>
      <w:r w:rsidRPr="00775E61">
        <w:rPr>
          <w:color w:val="3A3A3A"/>
          <w:shd w:val="clear" w:color="auto" w:fill="FFFFFF"/>
        </w:rPr>
        <w:t>Logie</w:t>
      </w:r>
      <w:proofErr w:type="spellEnd"/>
      <w:r w:rsidRPr="00775E61">
        <w:rPr>
          <w:color w:val="3A3A3A"/>
          <w:shd w:val="clear" w:color="auto" w:fill="FFFFFF"/>
        </w:rPr>
        <w:t xml:space="preserve">, R, H. (1995). </w:t>
      </w:r>
      <w:r w:rsidRPr="00775E61">
        <w:rPr>
          <w:i/>
          <w:iCs/>
          <w:color w:val="3A3A3A"/>
          <w:shd w:val="clear" w:color="auto" w:fill="FFFFFF"/>
        </w:rPr>
        <w:t>Visuo-Spatial Working Memory</w:t>
      </w:r>
      <w:r w:rsidRPr="00775E61">
        <w:rPr>
          <w:color w:val="3A3A3A"/>
          <w:shd w:val="clear" w:color="auto" w:fill="FFFFFF"/>
        </w:rPr>
        <w:t xml:space="preserve">. Erlbaum. </w:t>
      </w:r>
    </w:p>
    <w:p w14:paraId="04F59FEE" w14:textId="77777777" w:rsidR="00351F2E" w:rsidRPr="00775E61" w:rsidRDefault="00351F2E" w:rsidP="00351F2E">
      <w:pPr>
        <w:pStyle w:val="NormalWeb"/>
        <w:ind w:left="567" w:hanging="567"/>
        <w:rPr>
          <w:color w:val="3A3A3A"/>
          <w:shd w:val="clear" w:color="auto" w:fill="FFFFFF"/>
        </w:rPr>
      </w:pPr>
      <w:proofErr w:type="spellStart"/>
      <w:r w:rsidRPr="00775E61">
        <w:rPr>
          <w:color w:val="3A3A3A"/>
          <w:shd w:val="clear" w:color="auto" w:fill="FFFFFF"/>
        </w:rPr>
        <w:t>Logie</w:t>
      </w:r>
      <w:proofErr w:type="spellEnd"/>
      <w:r w:rsidRPr="00775E61">
        <w:rPr>
          <w:color w:val="3A3A3A"/>
          <w:shd w:val="clear" w:color="auto" w:fill="FFFFFF"/>
        </w:rPr>
        <w:t>, R. H. (2011). The functional organization and capacity limits of working memory.</w:t>
      </w:r>
      <w:r w:rsidRPr="00775E61">
        <w:rPr>
          <w:rStyle w:val="apple-converted-space"/>
          <w:color w:val="3A3A3A"/>
          <w:shd w:val="clear" w:color="auto" w:fill="FFFFFF"/>
        </w:rPr>
        <w:t> </w:t>
      </w:r>
      <w:r w:rsidRPr="00775E61">
        <w:rPr>
          <w:i/>
          <w:iCs/>
          <w:color w:val="3A3A3A"/>
        </w:rPr>
        <w:t xml:space="preserve">Current Directions in Psychological </w:t>
      </w:r>
      <w:proofErr w:type="gramStart"/>
      <w:r w:rsidRPr="00775E61">
        <w:rPr>
          <w:i/>
          <w:iCs/>
          <w:color w:val="3A3A3A"/>
        </w:rPr>
        <w:t>Science :</w:t>
      </w:r>
      <w:proofErr w:type="gramEnd"/>
      <w:r w:rsidRPr="00775E61">
        <w:rPr>
          <w:i/>
          <w:iCs/>
          <w:color w:val="3A3A3A"/>
        </w:rPr>
        <w:t xml:space="preserve"> A Journal of the American Psychological Society</w:t>
      </w:r>
      <w:r w:rsidRPr="00775E61">
        <w:rPr>
          <w:color w:val="3A3A3A"/>
          <w:shd w:val="clear" w:color="auto" w:fill="FFFFFF"/>
        </w:rPr>
        <w:t>,</w:t>
      </w:r>
      <w:r w:rsidRPr="00775E61">
        <w:rPr>
          <w:rStyle w:val="apple-converted-space"/>
          <w:color w:val="3A3A3A"/>
          <w:shd w:val="clear" w:color="auto" w:fill="FFFFFF"/>
        </w:rPr>
        <w:t> </w:t>
      </w:r>
      <w:r w:rsidRPr="00775E61">
        <w:rPr>
          <w:i/>
          <w:iCs/>
          <w:color w:val="3A3A3A"/>
        </w:rPr>
        <w:t>20</w:t>
      </w:r>
      <w:r w:rsidRPr="00775E61">
        <w:rPr>
          <w:color w:val="3A3A3A"/>
          <w:shd w:val="clear" w:color="auto" w:fill="FFFFFF"/>
        </w:rPr>
        <w:t xml:space="preserve">(4), 240–245. https://doi.org/10.1177/0963721411415340 </w:t>
      </w:r>
      <w:proofErr w:type="spellStart"/>
      <w:r w:rsidRPr="00775E61">
        <w:rPr>
          <w:color w:val="3A3A3A"/>
          <w:shd w:val="clear" w:color="auto" w:fill="FFFFFF"/>
        </w:rPr>
        <w:t>Logie</w:t>
      </w:r>
      <w:proofErr w:type="spellEnd"/>
      <w:r w:rsidRPr="00775E61">
        <w:rPr>
          <w:color w:val="3A3A3A"/>
          <w:shd w:val="clear" w:color="auto" w:fill="FFFFFF"/>
        </w:rPr>
        <w:t>, R. H., &amp; Cowan, N. (2015). Perspectives on working memory: introduction to the special issue.</w:t>
      </w:r>
      <w:r w:rsidRPr="00775E61">
        <w:rPr>
          <w:rStyle w:val="apple-converted-space"/>
          <w:color w:val="3A3A3A"/>
          <w:shd w:val="clear" w:color="auto" w:fill="FFFFFF"/>
        </w:rPr>
        <w:t> </w:t>
      </w:r>
      <w:r w:rsidRPr="00775E61">
        <w:rPr>
          <w:i/>
          <w:iCs/>
          <w:color w:val="3A3A3A"/>
        </w:rPr>
        <w:t>Memory &amp; Cognition</w:t>
      </w:r>
      <w:r w:rsidRPr="00775E61">
        <w:rPr>
          <w:color w:val="3A3A3A"/>
          <w:shd w:val="clear" w:color="auto" w:fill="FFFFFF"/>
        </w:rPr>
        <w:t>,</w:t>
      </w:r>
      <w:r w:rsidRPr="00775E61">
        <w:rPr>
          <w:rStyle w:val="apple-converted-space"/>
          <w:color w:val="3A3A3A"/>
          <w:shd w:val="clear" w:color="auto" w:fill="FFFFFF"/>
        </w:rPr>
        <w:t> </w:t>
      </w:r>
      <w:r w:rsidRPr="00775E61">
        <w:rPr>
          <w:i/>
          <w:iCs/>
          <w:color w:val="3A3A3A"/>
        </w:rPr>
        <w:t>43</w:t>
      </w:r>
      <w:r w:rsidRPr="00775E61">
        <w:rPr>
          <w:color w:val="3A3A3A"/>
          <w:shd w:val="clear" w:color="auto" w:fill="FFFFFF"/>
        </w:rPr>
        <w:t xml:space="preserve">(3), 315–324. </w:t>
      </w:r>
      <w:hyperlink r:id="rId32" w:history="1">
        <w:r w:rsidRPr="00775E61">
          <w:rPr>
            <w:rStyle w:val="Hyperlink"/>
            <w:shd w:val="clear" w:color="auto" w:fill="FFFFFF"/>
          </w:rPr>
          <w:t>https://doi.org/10.3758/s13421-015-0510-x</w:t>
        </w:r>
      </w:hyperlink>
      <w:r w:rsidRPr="00775E61">
        <w:rPr>
          <w:color w:val="3A3A3A"/>
          <w:shd w:val="clear" w:color="auto" w:fill="FFFFFF"/>
        </w:rPr>
        <w:t xml:space="preserve"> </w:t>
      </w:r>
    </w:p>
    <w:p w14:paraId="5E052E59" w14:textId="77777777" w:rsidR="00351F2E" w:rsidRPr="00775E61" w:rsidRDefault="00351F2E" w:rsidP="00351F2E">
      <w:pPr>
        <w:pStyle w:val="NormalWeb"/>
        <w:ind w:left="567" w:hanging="567"/>
        <w:rPr>
          <w:color w:val="000000"/>
        </w:rPr>
      </w:pPr>
      <w:proofErr w:type="spellStart"/>
      <w:r w:rsidRPr="00775E61">
        <w:rPr>
          <w:color w:val="333333"/>
          <w:shd w:val="clear" w:color="auto" w:fill="FFFFFF"/>
        </w:rPr>
        <w:t>Logie</w:t>
      </w:r>
      <w:proofErr w:type="spellEnd"/>
      <w:r w:rsidRPr="00775E61">
        <w:rPr>
          <w:color w:val="333333"/>
          <w:shd w:val="clear" w:color="auto" w:fill="FFFFFF"/>
        </w:rPr>
        <w:t>, R. H., &amp; Cowan, N. (2015). Perspectives on working memory: Introduction to the special issue.</w:t>
      </w:r>
      <w:r w:rsidRPr="00775E61">
        <w:rPr>
          <w:rStyle w:val="apple-converted-space"/>
          <w:color w:val="333333"/>
          <w:shd w:val="clear" w:color="auto" w:fill="FFFFFF"/>
        </w:rPr>
        <w:t> </w:t>
      </w:r>
      <w:r w:rsidRPr="00775E61">
        <w:rPr>
          <w:rStyle w:val="Emphasis"/>
          <w:color w:val="333333"/>
        </w:rPr>
        <w:t>Memory &amp; Cognition, 43</w:t>
      </w:r>
      <w:r w:rsidRPr="00775E61">
        <w:rPr>
          <w:color w:val="333333"/>
          <w:shd w:val="clear" w:color="auto" w:fill="FFFFFF"/>
        </w:rPr>
        <w:t>(3), 315–324.</w:t>
      </w:r>
      <w:r w:rsidRPr="00775E61">
        <w:rPr>
          <w:rStyle w:val="apple-converted-space"/>
          <w:color w:val="333333"/>
          <w:shd w:val="clear" w:color="auto" w:fill="FFFFFF"/>
        </w:rPr>
        <w:t> </w:t>
      </w:r>
      <w:hyperlink r:id="rId33" w:tgtFrame="_blank" w:history="1">
        <w:r w:rsidRPr="00775E61">
          <w:rPr>
            <w:rStyle w:val="Hyperlink"/>
            <w:rFonts w:eastAsiaTheme="majorEastAsia"/>
            <w:color w:val="2C72B7"/>
          </w:rPr>
          <w:t>https://doi.org/10.3758/s13421-015-0510-x</w:t>
        </w:r>
      </w:hyperlink>
    </w:p>
    <w:p w14:paraId="07CFF1B7" w14:textId="77777777" w:rsidR="00351F2E" w:rsidRPr="00775E61" w:rsidRDefault="00351F2E" w:rsidP="00351F2E">
      <w:pPr>
        <w:pStyle w:val="NormalWeb"/>
        <w:ind w:left="567" w:hanging="567"/>
        <w:rPr>
          <w:color w:val="000000"/>
        </w:rPr>
      </w:pPr>
      <w:proofErr w:type="spellStart"/>
      <w:r w:rsidRPr="00775E61">
        <w:rPr>
          <w:color w:val="000000"/>
        </w:rPr>
        <w:t>Mascherek</w:t>
      </w:r>
      <w:proofErr w:type="spellEnd"/>
      <w:r w:rsidRPr="00775E61">
        <w:rPr>
          <w:color w:val="000000"/>
        </w:rPr>
        <w:t xml:space="preserve">, A., </w:t>
      </w:r>
      <w:proofErr w:type="spellStart"/>
      <w:r w:rsidRPr="00775E61">
        <w:rPr>
          <w:color w:val="000000"/>
        </w:rPr>
        <w:t>Düzel</w:t>
      </w:r>
      <w:proofErr w:type="spellEnd"/>
      <w:r w:rsidRPr="00775E61">
        <w:rPr>
          <w:color w:val="000000"/>
        </w:rPr>
        <w:t xml:space="preserve">, S., </w:t>
      </w:r>
      <w:proofErr w:type="spellStart"/>
      <w:r w:rsidRPr="00775E61">
        <w:rPr>
          <w:color w:val="000000"/>
        </w:rPr>
        <w:t>Eibich</w:t>
      </w:r>
      <w:proofErr w:type="spellEnd"/>
      <w:r w:rsidRPr="00775E61">
        <w:rPr>
          <w:color w:val="000000"/>
        </w:rPr>
        <w:t xml:space="preserve">, P., Krekel, C., Goebel, J., </w:t>
      </w:r>
      <w:proofErr w:type="spellStart"/>
      <w:r w:rsidRPr="00775E61">
        <w:rPr>
          <w:color w:val="000000"/>
        </w:rPr>
        <w:t>Gallinat</w:t>
      </w:r>
      <w:proofErr w:type="spellEnd"/>
      <w:r w:rsidRPr="00775E61">
        <w:rPr>
          <w:color w:val="000000"/>
        </w:rPr>
        <w:t xml:space="preserve">, J., Wagner, G. G., </w:t>
      </w:r>
      <w:proofErr w:type="spellStart"/>
      <w:r w:rsidRPr="00775E61">
        <w:rPr>
          <w:color w:val="000000"/>
        </w:rPr>
        <w:t>Lindenberger</w:t>
      </w:r>
      <w:proofErr w:type="spellEnd"/>
      <w:r w:rsidRPr="00775E61">
        <w:rPr>
          <w:color w:val="000000"/>
        </w:rPr>
        <w:t xml:space="preserve">, U., &amp; </w:t>
      </w:r>
      <w:proofErr w:type="spellStart"/>
      <w:r w:rsidRPr="00775E61">
        <w:rPr>
          <w:color w:val="000000"/>
        </w:rPr>
        <w:t>Kühn</w:t>
      </w:r>
      <w:proofErr w:type="spellEnd"/>
      <w:r w:rsidRPr="00775E61">
        <w:rPr>
          <w:color w:val="000000"/>
        </w:rPr>
        <w:t>, S. (2024). Working memory and fluid intelligence are differentially related to categories of urban fabric in older adults: Results from the Berlin Aging Study.</w:t>
      </w:r>
      <w:r w:rsidRPr="00775E61">
        <w:rPr>
          <w:rStyle w:val="apple-converted-space"/>
          <w:color w:val="000000"/>
        </w:rPr>
        <w:t> </w:t>
      </w:r>
      <w:r w:rsidRPr="00775E61">
        <w:rPr>
          <w:i/>
          <w:iCs/>
          <w:color w:val="000000"/>
        </w:rPr>
        <w:t>Journal of Environmental Psychology</w:t>
      </w:r>
      <w:r w:rsidRPr="00775E61">
        <w:rPr>
          <w:color w:val="000000"/>
        </w:rPr>
        <w:t>,</w:t>
      </w:r>
      <w:r w:rsidRPr="00775E61">
        <w:rPr>
          <w:rStyle w:val="apple-converted-space"/>
          <w:color w:val="000000"/>
        </w:rPr>
        <w:t> </w:t>
      </w:r>
      <w:r w:rsidRPr="00775E61">
        <w:rPr>
          <w:i/>
          <w:iCs/>
          <w:color w:val="000000"/>
        </w:rPr>
        <w:t>93</w:t>
      </w:r>
      <w:r w:rsidRPr="00775E61">
        <w:rPr>
          <w:color w:val="000000"/>
        </w:rPr>
        <w:t xml:space="preserve">, 102224. </w:t>
      </w:r>
      <w:hyperlink r:id="rId34" w:history="1">
        <w:r w:rsidRPr="00775E61">
          <w:rPr>
            <w:rStyle w:val="Hyperlink"/>
          </w:rPr>
          <w:t>https://doi.org/10.1016/j.jenvp.2023.102224</w:t>
        </w:r>
      </w:hyperlink>
      <w:r w:rsidRPr="00775E61">
        <w:rPr>
          <w:rStyle w:val="apple-converted-space"/>
          <w:rFonts w:eastAsiaTheme="majorEastAsia"/>
          <w:color w:val="000000"/>
        </w:rPr>
        <w:t xml:space="preserve"> </w:t>
      </w:r>
    </w:p>
    <w:p w14:paraId="4F78A3BD" w14:textId="77777777" w:rsidR="00351F2E" w:rsidRPr="00775E61" w:rsidRDefault="00351F2E" w:rsidP="00351F2E">
      <w:pPr>
        <w:pStyle w:val="NormalWeb"/>
        <w:ind w:left="567" w:hanging="567"/>
        <w:rPr>
          <w:rStyle w:val="apple-converted-space"/>
          <w:rFonts w:eastAsiaTheme="majorEastAsia"/>
          <w:color w:val="000000"/>
        </w:rPr>
      </w:pPr>
      <w:r w:rsidRPr="00775E61">
        <w:rPr>
          <w:color w:val="000000"/>
        </w:rPr>
        <w:t>Noga, H., Foreman, A., Walsh, E., Shaw, J., &amp; Senior, J. (2015). Multi-agency action learning: Challenging institutional barriers in policing and Mental Health Services.</w:t>
      </w:r>
      <w:r w:rsidRPr="00775E61">
        <w:rPr>
          <w:rStyle w:val="apple-converted-space"/>
          <w:color w:val="000000"/>
        </w:rPr>
        <w:t> </w:t>
      </w:r>
      <w:r w:rsidRPr="00775E61">
        <w:rPr>
          <w:i/>
          <w:iCs/>
          <w:color w:val="000000"/>
        </w:rPr>
        <w:t>Action Research</w:t>
      </w:r>
      <w:r w:rsidRPr="00775E61">
        <w:rPr>
          <w:color w:val="000000"/>
        </w:rPr>
        <w:t>,</w:t>
      </w:r>
      <w:r w:rsidRPr="00775E61">
        <w:rPr>
          <w:rStyle w:val="apple-converted-space"/>
          <w:color w:val="000000"/>
        </w:rPr>
        <w:t> </w:t>
      </w:r>
      <w:r w:rsidRPr="00775E61">
        <w:rPr>
          <w:i/>
          <w:iCs/>
          <w:color w:val="000000"/>
        </w:rPr>
        <w:t>14</w:t>
      </w:r>
      <w:r w:rsidRPr="00775E61">
        <w:rPr>
          <w:color w:val="000000"/>
        </w:rPr>
        <w:t xml:space="preserve">(2), 132–150. </w:t>
      </w:r>
      <w:hyperlink r:id="rId35" w:history="1">
        <w:r w:rsidRPr="00775E61">
          <w:rPr>
            <w:rStyle w:val="Hyperlink"/>
          </w:rPr>
          <w:t>https://doi.org/10.1177/1476750315583315</w:t>
        </w:r>
      </w:hyperlink>
      <w:r w:rsidRPr="00775E61">
        <w:rPr>
          <w:rStyle w:val="apple-converted-space"/>
          <w:rFonts w:eastAsiaTheme="majorEastAsia"/>
          <w:color w:val="000000"/>
        </w:rPr>
        <w:t xml:space="preserve"> </w:t>
      </w:r>
    </w:p>
    <w:p w14:paraId="622E7495" w14:textId="77777777" w:rsidR="00351F2E" w:rsidRPr="00775E61" w:rsidRDefault="00351F2E" w:rsidP="00351F2E">
      <w:pPr>
        <w:pStyle w:val="NormalWeb"/>
        <w:ind w:left="567" w:hanging="567"/>
        <w:rPr>
          <w:color w:val="3A3A3A"/>
          <w:shd w:val="clear" w:color="auto" w:fill="FFFFFF"/>
        </w:rPr>
      </w:pPr>
      <w:proofErr w:type="spellStart"/>
      <w:r w:rsidRPr="00775E61">
        <w:rPr>
          <w:color w:val="3A3A3A"/>
          <w:shd w:val="clear" w:color="auto" w:fill="FFFFFF"/>
        </w:rPr>
        <w:t>Papagno</w:t>
      </w:r>
      <w:proofErr w:type="spellEnd"/>
      <w:r w:rsidRPr="00775E61">
        <w:rPr>
          <w:color w:val="3A3A3A"/>
          <w:shd w:val="clear" w:color="auto" w:fill="FFFFFF"/>
        </w:rPr>
        <w:t xml:space="preserve">, C., </w:t>
      </w:r>
      <w:proofErr w:type="spellStart"/>
      <w:r w:rsidRPr="00775E61">
        <w:rPr>
          <w:color w:val="3A3A3A"/>
          <w:shd w:val="clear" w:color="auto" w:fill="FFFFFF"/>
        </w:rPr>
        <w:t>Comi</w:t>
      </w:r>
      <w:proofErr w:type="spellEnd"/>
      <w:r w:rsidRPr="00775E61">
        <w:rPr>
          <w:color w:val="3A3A3A"/>
          <w:shd w:val="clear" w:color="auto" w:fill="FFFFFF"/>
        </w:rPr>
        <w:t xml:space="preserve">, A., Riva, M., Bizzi, A., Vernice, M., </w:t>
      </w:r>
      <w:proofErr w:type="spellStart"/>
      <w:r w:rsidRPr="00775E61">
        <w:rPr>
          <w:color w:val="3A3A3A"/>
          <w:shd w:val="clear" w:color="auto" w:fill="FFFFFF"/>
        </w:rPr>
        <w:t>Casarotti</w:t>
      </w:r>
      <w:proofErr w:type="spellEnd"/>
      <w:r w:rsidRPr="00775E61">
        <w:rPr>
          <w:color w:val="3A3A3A"/>
          <w:shd w:val="clear" w:color="auto" w:fill="FFFFFF"/>
        </w:rPr>
        <w:t>, A., Fava, E., &amp; Bello, L. (2017). Mapping the brain network of the phonological loop.</w:t>
      </w:r>
      <w:r w:rsidRPr="00775E61">
        <w:rPr>
          <w:rStyle w:val="apple-converted-space"/>
          <w:color w:val="3A3A3A"/>
          <w:shd w:val="clear" w:color="auto" w:fill="FFFFFF"/>
        </w:rPr>
        <w:t> </w:t>
      </w:r>
      <w:r w:rsidRPr="00775E61">
        <w:rPr>
          <w:i/>
          <w:iCs/>
          <w:color w:val="3A3A3A"/>
        </w:rPr>
        <w:t>Human Brain Mapping</w:t>
      </w:r>
      <w:r w:rsidRPr="00775E61">
        <w:rPr>
          <w:color w:val="3A3A3A"/>
          <w:shd w:val="clear" w:color="auto" w:fill="FFFFFF"/>
        </w:rPr>
        <w:t>,</w:t>
      </w:r>
      <w:r w:rsidRPr="00775E61">
        <w:rPr>
          <w:rStyle w:val="apple-converted-space"/>
          <w:color w:val="3A3A3A"/>
          <w:shd w:val="clear" w:color="auto" w:fill="FFFFFF"/>
        </w:rPr>
        <w:t> </w:t>
      </w:r>
      <w:r w:rsidRPr="00775E61">
        <w:rPr>
          <w:i/>
          <w:iCs/>
          <w:color w:val="3A3A3A"/>
        </w:rPr>
        <w:t>38</w:t>
      </w:r>
      <w:r w:rsidRPr="00775E61">
        <w:rPr>
          <w:color w:val="3A3A3A"/>
          <w:shd w:val="clear" w:color="auto" w:fill="FFFFFF"/>
        </w:rPr>
        <w:t xml:space="preserve">(6), 3011–3024. </w:t>
      </w:r>
      <w:hyperlink r:id="rId36" w:history="1">
        <w:r w:rsidRPr="00775E61">
          <w:rPr>
            <w:rStyle w:val="Hyperlink"/>
            <w:shd w:val="clear" w:color="auto" w:fill="FFFFFF"/>
          </w:rPr>
          <w:t>https://doi.org/10.1002/hbm.23569</w:t>
        </w:r>
      </w:hyperlink>
      <w:r w:rsidRPr="00775E61">
        <w:rPr>
          <w:color w:val="3A3A3A"/>
          <w:shd w:val="clear" w:color="auto" w:fill="FFFFFF"/>
        </w:rPr>
        <w:t xml:space="preserve"> </w:t>
      </w:r>
    </w:p>
    <w:p w14:paraId="2B3B59B0" w14:textId="77777777" w:rsidR="00351F2E" w:rsidRPr="00775E61" w:rsidRDefault="00351F2E" w:rsidP="00351F2E">
      <w:pPr>
        <w:pStyle w:val="NormalWeb"/>
        <w:ind w:left="567" w:hanging="567"/>
        <w:rPr>
          <w:rStyle w:val="apple-converted-space"/>
          <w:rFonts w:eastAsiaTheme="majorEastAsia"/>
          <w:color w:val="000000"/>
        </w:rPr>
      </w:pPr>
      <w:r w:rsidRPr="00775E61">
        <w:rPr>
          <w:color w:val="000000"/>
        </w:rPr>
        <w:t xml:space="preserve">Parkes, S., Irizar, P., Greenberg, N., </w:t>
      </w:r>
      <w:proofErr w:type="spellStart"/>
      <w:r w:rsidRPr="00775E61">
        <w:rPr>
          <w:color w:val="000000"/>
        </w:rPr>
        <w:t>Wessely</w:t>
      </w:r>
      <w:proofErr w:type="spellEnd"/>
      <w:r w:rsidRPr="00775E61">
        <w:rPr>
          <w:color w:val="000000"/>
        </w:rPr>
        <w:t xml:space="preserve">, S., Fear, N. T., </w:t>
      </w:r>
      <w:proofErr w:type="spellStart"/>
      <w:r w:rsidRPr="00775E61">
        <w:rPr>
          <w:color w:val="000000"/>
        </w:rPr>
        <w:t>Hotopf</w:t>
      </w:r>
      <w:proofErr w:type="spellEnd"/>
      <w:r w:rsidRPr="00775E61">
        <w:rPr>
          <w:color w:val="000000"/>
        </w:rPr>
        <w:t xml:space="preserve">, M., &amp; </w:t>
      </w:r>
      <w:proofErr w:type="spellStart"/>
      <w:r w:rsidRPr="00775E61">
        <w:rPr>
          <w:color w:val="000000"/>
        </w:rPr>
        <w:t>Stevelink</w:t>
      </w:r>
      <w:proofErr w:type="spellEnd"/>
      <w:r w:rsidRPr="00775E61">
        <w:rPr>
          <w:color w:val="000000"/>
        </w:rPr>
        <w:t>, S. A. (2024). Sickness absence and associations with sociodemographic factors, health risk behaviours, occupational stressors and adverse mental health in 40,343 UK police employees.</w:t>
      </w:r>
      <w:r w:rsidRPr="00775E61">
        <w:rPr>
          <w:rStyle w:val="apple-converted-space"/>
          <w:color w:val="000000"/>
        </w:rPr>
        <w:t> </w:t>
      </w:r>
      <w:r w:rsidRPr="00775E61">
        <w:rPr>
          <w:i/>
          <w:iCs/>
          <w:color w:val="000000"/>
        </w:rPr>
        <w:t>Epidemiology and Psychiatric Sciences</w:t>
      </w:r>
      <w:r w:rsidRPr="00775E61">
        <w:rPr>
          <w:color w:val="000000"/>
        </w:rPr>
        <w:t>,</w:t>
      </w:r>
      <w:r w:rsidRPr="00775E61">
        <w:rPr>
          <w:rStyle w:val="apple-converted-space"/>
          <w:color w:val="000000"/>
        </w:rPr>
        <w:t> </w:t>
      </w:r>
      <w:r w:rsidRPr="00775E61">
        <w:rPr>
          <w:i/>
          <w:iCs/>
          <w:color w:val="000000"/>
        </w:rPr>
        <w:t>33</w:t>
      </w:r>
      <w:r w:rsidRPr="00775E61">
        <w:rPr>
          <w:color w:val="000000"/>
        </w:rPr>
        <w:t xml:space="preserve">. </w:t>
      </w:r>
      <w:hyperlink r:id="rId37" w:history="1">
        <w:r w:rsidRPr="00775E61">
          <w:rPr>
            <w:rStyle w:val="Hyperlink"/>
          </w:rPr>
          <w:t>https://doi.org/10.1017/s2045796024000283</w:t>
        </w:r>
      </w:hyperlink>
      <w:r w:rsidRPr="00775E61">
        <w:rPr>
          <w:rStyle w:val="apple-converted-space"/>
          <w:rFonts w:eastAsiaTheme="majorEastAsia"/>
          <w:color w:val="000000"/>
        </w:rPr>
        <w:t xml:space="preserve"> </w:t>
      </w:r>
    </w:p>
    <w:p w14:paraId="1EEC7B73" w14:textId="77777777" w:rsidR="00351F2E" w:rsidRPr="00775E61" w:rsidRDefault="00351F2E" w:rsidP="00351F2E">
      <w:pPr>
        <w:pStyle w:val="NormalWeb"/>
        <w:ind w:left="567" w:hanging="567"/>
        <w:rPr>
          <w:rStyle w:val="apple-converted-space"/>
          <w:color w:val="000000"/>
        </w:rPr>
      </w:pPr>
      <w:proofErr w:type="spellStart"/>
      <w:r w:rsidRPr="00775E61">
        <w:rPr>
          <w:color w:val="000000"/>
        </w:rPr>
        <w:lastRenderedPageBreak/>
        <w:t>Sweller</w:t>
      </w:r>
      <w:proofErr w:type="spellEnd"/>
      <w:r w:rsidRPr="00775E61">
        <w:rPr>
          <w:color w:val="000000"/>
        </w:rPr>
        <w:t>, J. (1988). Cognitive load during problem solving: Effects on learning.</w:t>
      </w:r>
      <w:r w:rsidRPr="00775E61">
        <w:rPr>
          <w:rStyle w:val="apple-converted-space"/>
          <w:color w:val="000000"/>
        </w:rPr>
        <w:t> </w:t>
      </w:r>
      <w:r w:rsidRPr="00775E61">
        <w:rPr>
          <w:i/>
          <w:iCs/>
          <w:color w:val="000000"/>
        </w:rPr>
        <w:t>Cognitive Science</w:t>
      </w:r>
      <w:r w:rsidRPr="00775E61">
        <w:rPr>
          <w:color w:val="000000"/>
        </w:rPr>
        <w:t>,</w:t>
      </w:r>
      <w:r w:rsidRPr="00775E61">
        <w:rPr>
          <w:rStyle w:val="apple-converted-space"/>
          <w:color w:val="000000"/>
        </w:rPr>
        <w:t> </w:t>
      </w:r>
      <w:r w:rsidRPr="00775E61">
        <w:rPr>
          <w:i/>
          <w:iCs/>
          <w:color w:val="000000"/>
        </w:rPr>
        <w:t>12</w:t>
      </w:r>
      <w:r w:rsidRPr="00775E61">
        <w:rPr>
          <w:color w:val="000000"/>
        </w:rPr>
        <w:t xml:space="preserve">(2), 257–285. </w:t>
      </w:r>
      <w:hyperlink r:id="rId38" w:history="1">
        <w:r w:rsidRPr="00775E61">
          <w:rPr>
            <w:rStyle w:val="Hyperlink"/>
          </w:rPr>
          <w:t>https://doi.org/10.1016/0364-0213(88)90023-7</w:t>
        </w:r>
      </w:hyperlink>
      <w:r w:rsidRPr="00775E61">
        <w:rPr>
          <w:rStyle w:val="apple-converted-space"/>
          <w:rFonts w:eastAsiaTheme="majorEastAsia"/>
          <w:color w:val="000000"/>
        </w:rPr>
        <w:t xml:space="preserve"> </w:t>
      </w:r>
    </w:p>
    <w:p w14:paraId="71489B54" w14:textId="77777777" w:rsidR="00351F2E" w:rsidRPr="00775E61" w:rsidRDefault="00351F2E" w:rsidP="00351F2E">
      <w:pPr>
        <w:pStyle w:val="NormalWeb"/>
        <w:ind w:left="567" w:hanging="567"/>
        <w:rPr>
          <w:color w:val="000000"/>
        </w:rPr>
      </w:pPr>
      <w:r w:rsidRPr="00775E61">
        <w:rPr>
          <w:color w:val="3A3A3A"/>
          <w:shd w:val="clear" w:color="auto" w:fill="FFFFFF"/>
        </w:rPr>
        <w:t xml:space="preserve">Towse, J., Hurlstone, M., Atkinson, A., Saito, S., &amp; </w:t>
      </w:r>
      <w:proofErr w:type="spellStart"/>
      <w:r w:rsidRPr="00775E61">
        <w:rPr>
          <w:color w:val="3A3A3A"/>
          <w:shd w:val="clear" w:color="auto" w:fill="FFFFFF"/>
        </w:rPr>
        <w:t>Logie</w:t>
      </w:r>
      <w:proofErr w:type="spellEnd"/>
      <w:r w:rsidRPr="00775E61">
        <w:rPr>
          <w:color w:val="3A3A3A"/>
          <w:shd w:val="clear" w:color="auto" w:fill="FFFFFF"/>
        </w:rPr>
        <w:t>, R. (2025). Working memory gets a workout: Reviewing the legacy of Baddeley and Hitch (1974) 50 years on.</w:t>
      </w:r>
      <w:r w:rsidRPr="00775E61">
        <w:rPr>
          <w:rStyle w:val="apple-converted-space"/>
          <w:color w:val="3A3A3A"/>
          <w:shd w:val="clear" w:color="auto" w:fill="FFFFFF"/>
        </w:rPr>
        <w:t> </w:t>
      </w:r>
      <w:r w:rsidRPr="00775E61">
        <w:rPr>
          <w:i/>
          <w:iCs/>
          <w:color w:val="3A3A3A"/>
        </w:rPr>
        <w:t>Quarterly Journal of Experimental Psychology (2006)</w:t>
      </w:r>
      <w:r w:rsidRPr="00775E61">
        <w:rPr>
          <w:color w:val="3A3A3A"/>
          <w:shd w:val="clear" w:color="auto" w:fill="FFFFFF"/>
        </w:rPr>
        <w:t>,</w:t>
      </w:r>
      <w:r w:rsidRPr="00775E61">
        <w:rPr>
          <w:rStyle w:val="apple-converted-space"/>
          <w:color w:val="3A3A3A"/>
          <w:shd w:val="clear" w:color="auto" w:fill="FFFFFF"/>
        </w:rPr>
        <w:t> </w:t>
      </w:r>
      <w:r w:rsidRPr="00775E61">
        <w:rPr>
          <w:i/>
          <w:iCs/>
          <w:color w:val="3A3A3A"/>
        </w:rPr>
        <w:t>78</w:t>
      </w:r>
      <w:r w:rsidRPr="00775E61">
        <w:rPr>
          <w:color w:val="3A3A3A"/>
          <w:shd w:val="clear" w:color="auto" w:fill="FFFFFF"/>
        </w:rPr>
        <w:t xml:space="preserve">(2), 217–221. </w:t>
      </w:r>
      <w:hyperlink r:id="rId39" w:history="1">
        <w:r w:rsidRPr="00775E61">
          <w:rPr>
            <w:rStyle w:val="Hyperlink"/>
            <w:shd w:val="clear" w:color="auto" w:fill="FFFFFF"/>
          </w:rPr>
          <w:t>https://doi.org/10.1177/17470218241301759</w:t>
        </w:r>
      </w:hyperlink>
      <w:r w:rsidRPr="00775E61">
        <w:rPr>
          <w:color w:val="3A3A3A"/>
          <w:shd w:val="clear" w:color="auto" w:fill="FFFFFF"/>
        </w:rPr>
        <w:t xml:space="preserve"> </w:t>
      </w:r>
    </w:p>
    <w:p w14:paraId="097BDA55" w14:textId="77777777" w:rsidR="00351F2E" w:rsidRPr="00775E61" w:rsidRDefault="00351F2E" w:rsidP="00351F2E">
      <w:pPr>
        <w:pStyle w:val="NormalWeb"/>
        <w:ind w:left="567" w:hanging="567"/>
        <w:rPr>
          <w:color w:val="000000"/>
        </w:rPr>
      </w:pPr>
      <w:r w:rsidRPr="00775E61">
        <w:rPr>
          <w:color w:val="000000"/>
        </w:rPr>
        <w:t xml:space="preserve">Tyler, S., </w:t>
      </w:r>
      <w:proofErr w:type="spellStart"/>
      <w:r w:rsidRPr="00775E61">
        <w:rPr>
          <w:color w:val="000000"/>
        </w:rPr>
        <w:t>Olis</w:t>
      </w:r>
      <w:proofErr w:type="spellEnd"/>
      <w:r w:rsidRPr="00775E61">
        <w:rPr>
          <w:color w:val="000000"/>
        </w:rPr>
        <w:t xml:space="preserve">, M., </w:t>
      </w:r>
      <w:proofErr w:type="spellStart"/>
      <w:r w:rsidRPr="00775E61">
        <w:rPr>
          <w:color w:val="000000"/>
        </w:rPr>
        <w:t>Aust</w:t>
      </w:r>
      <w:proofErr w:type="spellEnd"/>
      <w:r w:rsidRPr="00775E61">
        <w:rPr>
          <w:color w:val="000000"/>
        </w:rPr>
        <w:t xml:space="preserve">, N., Patel, L., Simon, L., </w:t>
      </w:r>
      <w:proofErr w:type="spellStart"/>
      <w:r w:rsidRPr="00775E61">
        <w:rPr>
          <w:color w:val="000000"/>
        </w:rPr>
        <w:t>Triantafyllidis</w:t>
      </w:r>
      <w:proofErr w:type="spellEnd"/>
      <w:r w:rsidRPr="00775E61">
        <w:rPr>
          <w:color w:val="000000"/>
        </w:rPr>
        <w:t>, C., Patel, V., Lee, D. W., Ginsberg, B., Ahmad, H., &amp; Jacobs, R. J. (2024). Use of artificial intelligence in triage in hospital emergency departments: A scoping review.</w:t>
      </w:r>
      <w:r w:rsidRPr="00775E61">
        <w:rPr>
          <w:rStyle w:val="apple-converted-space"/>
          <w:color w:val="000000"/>
        </w:rPr>
        <w:t> </w:t>
      </w:r>
      <w:proofErr w:type="spellStart"/>
      <w:r w:rsidRPr="00775E61">
        <w:rPr>
          <w:i/>
          <w:iCs/>
          <w:color w:val="000000"/>
        </w:rPr>
        <w:t>Cureus</w:t>
      </w:r>
      <w:proofErr w:type="spellEnd"/>
      <w:r w:rsidRPr="00775E61">
        <w:rPr>
          <w:color w:val="000000"/>
        </w:rPr>
        <w:t xml:space="preserve">. </w:t>
      </w:r>
      <w:hyperlink r:id="rId40" w:history="1">
        <w:r w:rsidRPr="00775E61">
          <w:rPr>
            <w:rStyle w:val="Hyperlink"/>
          </w:rPr>
          <w:t>https://doi.org/10.7759/cureus.59906</w:t>
        </w:r>
      </w:hyperlink>
      <w:r w:rsidRPr="00775E61">
        <w:rPr>
          <w:rStyle w:val="apple-converted-space"/>
          <w:rFonts w:eastAsiaTheme="majorEastAsia"/>
          <w:color w:val="000000"/>
        </w:rPr>
        <w:t xml:space="preserve"> </w:t>
      </w:r>
    </w:p>
    <w:p w14:paraId="6F73A93F" w14:textId="77777777" w:rsidR="00351F2E" w:rsidRPr="00775E61" w:rsidRDefault="00351F2E" w:rsidP="00351F2E">
      <w:pPr>
        <w:pStyle w:val="NormalWeb"/>
        <w:ind w:left="567" w:hanging="567"/>
        <w:rPr>
          <w:color w:val="000000"/>
        </w:rPr>
      </w:pPr>
      <w:r w:rsidRPr="00775E61">
        <w:rPr>
          <w:color w:val="000000"/>
        </w:rPr>
        <w:t>Zimmer, H. (2008). Visual and spatial working memory: From boxes to networks.</w:t>
      </w:r>
      <w:r w:rsidRPr="00775E61">
        <w:rPr>
          <w:rStyle w:val="apple-converted-space"/>
          <w:color w:val="000000"/>
        </w:rPr>
        <w:t> </w:t>
      </w:r>
      <w:r w:rsidRPr="00775E61">
        <w:rPr>
          <w:i/>
          <w:iCs/>
          <w:color w:val="000000"/>
        </w:rPr>
        <w:t xml:space="preserve">Neuroscience &amp;amp; </w:t>
      </w:r>
      <w:proofErr w:type="spellStart"/>
      <w:r w:rsidRPr="00775E61">
        <w:rPr>
          <w:i/>
          <w:iCs/>
          <w:color w:val="000000"/>
        </w:rPr>
        <w:t>Biobehavioral</w:t>
      </w:r>
      <w:proofErr w:type="spellEnd"/>
      <w:r w:rsidRPr="00775E61">
        <w:rPr>
          <w:i/>
          <w:iCs/>
          <w:color w:val="000000"/>
        </w:rPr>
        <w:t xml:space="preserve"> Reviews</w:t>
      </w:r>
      <w:r w:rsidRPr="00775E61">
        <w:rPr>
          <w:color w:val="000000"/>
        </w:rPr>
        <w:t>,</w:t>
      </w:r>
      <w:r w:rsidRPr="00775E61">
        <w:rPr>
          <w:rStyle w:val="apple-converted-space"/>
          <w:color w:val="000000"/>
        </w:rPr>
        <w:t> </w:t>
      </w:r>
      <w:r w:rsidRPr="00775E61">
        <w:rPr>
          <w:i/>
          <w:iCs/>
          <w:color w:val="000000"/>
        </w:rPr>
        <w:t>32</w:t>
      </w:r>
      <w:r w:rsidRPr="00775E61">
        <w:rPr>
          <w:color w:val="000000"/>
        </w:rPr>
        <w:t xml:space="preserve">(8), 1373–1395. </w:t>
      </w:r>
      <w:hyperlink r:id="rId41" w:history="1">
        <w:r w:rsidRPr="00775E61">
          <w:rPr>
            <w:rStyle w:val="Hyperlink"/>
          </w:rPr>
          <w:t>https://doi.org/10.1016/j.neubiorev.2008.05.016</w:t>
        </w:r>
      </w:hyperlink>
      <w:r w:rsidRPr="00775E61">
        <w:rPr>
          <w:rStyle w:val="apple-converted-space"/>
          <w:rFonts w:eastAsiaTheme="majorEastAsia"/>
          <w:color w:val="000000"/>
        </w:rPr>
        <w:t xml:space="preserve"> </w:t>
      </w:r>
    </w:p>
    <w:p w14:paraId="22AA48B6" w14:textId="77777777" w:rsidR="00351F2E" w:rsidRDefault="00351F2E" w:rsidP="00351F2E">
      <w:pPr>
        <w:spacing w:line="360" w:lineRule="auto"/>
        <w:rPr>
          <w:lang w:val="en-GB" w:eastAsia="en-AU"/>
        </w:rPr>
      </w:pPr>
    </w:p>
    <w:p w14:paraId="10C9BB41" w14:textId="77777777" w:rsidR="00351F2E" w:rsidRDefault="00351F2E" w:rsidP="00351F2E">
      <w:pPr>
        <w:spacing w:line="360" w:lineRule="auto"/>
        <w:rPr>
          <w:lang w:val="en-GB" w:eastAsia="en-AU"/>
        </w:rPr>
      </w:pPr>
    </w:p>
    <w:p w14:paraId="68A12D56" w14:textId="77777777" w:rsidR="00351F2E" w:rsidRDefault="00351F2E" w:rsidP="00351F2E">
      <w:pPr>
        <w:spacing w:line="360" w:lineRule="auto"/>
        <w:rPr>
          <w:lang w:val="en-GB" w:eastAsia="en-AU"/>
        </w:rPr>
      </w:pPr>
    </w:p>
    <w:p w14:paraId="6F2CEB3A" w14:textId="26215AB2" w:rsidR="00351F2E" w:rsidRPr="00351F2E" w:rsidRDefault="00351F2E" w:rsidP="00351F2E">
      <w:pPr>
        <w:spacing w:line="360" w:lineRule="auto"/>
        <w:rPr>
          <w:lang w:val="en-GB" w:eastAsia="en-AU"/>
        </w:rPr>
      </w:pPr>
      <w:r w:rsidRPr="00351F2E">
        <w:rPr>
          <w:lang w:val="en-GB" w:eastAsia="en-AU"/>
        </w:rPr>
        <w:t>A.I Acknowledgement</w:t>
      </w:r>
    </w:p>
    <w:p w14:paraId="294910E0" w14:textId="377DF291" w:rsidR="00351F2E" w:rsidRPr="00351F2E" w:rsidRDefault="00351F2E" w:rsidP="00351F2E">
      <w:pPr>
        <w:spacing w:line="360" w:lineRule="auto"/>
        <w:rPr>
          <w:lang w:val="en-GB" w:eastAsia="en-AU"/>
        </w:rPr>
      </w:pPr>
      <w:r w:rsidRPr="00351F2E">
        <w:rPr>
          <w:lang w:val="en-GB" w:eastAsia="en-AU"/>
        </w:rPr>
        <w:t xml:space="preserve">I acknowledge that Grammarly was intermittently used throughout this </w:t>
      </w:r>
      <w:r>
        <w:rPr>
          <w:lang w:val="en-GB" w:eastAsia="en-AU"/>
        </w:rPr>
        <w:t>briefing report</w:t>
      </w:r>
      <w:r w:rsidRPr="00351F2E">
        <w:rPr>
          <w:lang w:val="en-GB" w:eastAsia="en-AU"/>
        </w:rPr>
        <w:t xml:space="preserve"> for some word/sentence structure improvement between </w:t>
      </w:r>
      <w:r>
        <w:rPr>
          <w:lang w:val="en-GB" w:eastAsia="en-AU"/>
        </w:rPr>
        <w:t>Saturday</w:t>
      </w:r>
      <w:r w:rsidRPr="00351F2E">
        <w:rPr>
          <w:lang w:val="en-GB" w:eastAsia="en-AU"/>
        </w:rPr>
        <w:t xml:space="preserve">, </w:t>
      </w:r>
      <w:proofErr w:type="gramStart"/>
      <w:r w:rsidRPr="00351F2E">
        <w:rPr>
          <w:lang w:val="en-GB" w:eastAsia="en-AU"/>
        </w:rPr>
        <w:t xml:space="preserve">the  </w:t>
      </w:r>
      <w:r>
        <w:rPr>
          <w:lang w:val="en-GB" w:eastAsia="en-AU"/>
        </w:rPr>
        <w:t>3</w:t>
      </w:r>
      <w:proofErr w:type="gramEnd"/>
      <w:r w:rsidRPr="00351F2E">
        <w:rPr>
          <w:vertAlign w:val="superscript"/>
          <w:lang w:val="en-GB" w:eastAsia="en-AU"/>
        </w:rPr>
        <w:t>rd</w:t>
      </w:r>
      <w:r>
        <w:rPr>
          <w:lang w:val="en-GB" w:eastAsia="en-AU"/>
        </w:rPr>
        <w:t xml:space="preserve"> </w:t>
      </w:r>
      <w:r w:rsidRPr="00351F2E">
        <w:rPr>
          <w:lang w:val="en-GB" w:eastAsia="en-AU"/>
        </w:rPr>
        <w:t xml:space="preserve"> of May 2025, and Tuesday, the 2</w:t>
      </w:r>
      <w:r>
        <w:rPr>
          <w:lang w:val="en-GB" w:eastAsia="en-AU"/>
        </w:rPr>
        <w:t>0</w:t>
      </w:r>
      <w:r w:rsidRPr="00351F2E">
        <w:rPr>
          <w:vertAlign w:val="superscript"/>
          <w:lang w:val="en-GB" w:eastAsia="en-AU"/>
        </w:rPr>
        <w:t>th</w:t>
      </w:r>
      <w:r w:rsidRPr="00351F2E">
        <w:rPr>
          <w:lang w:val="en-GB" w:eastAsia="en-AU"/>
        </w:rPr>
        <w:t xml:space="preserve"> of May 2025. No prompts were used, only some automatic suggestions. </w:t>
      </w:r>
    </w:p>
    <w:p w14:paraId="73191E24" w14:textId="77777777" w:rsidR="00351F2E" w:rsidRPr="00351F2E" w:rsidRDefault="00351F2E" w:rsidP="00351F2E">
      <w:pPr>
        <w:spacing w:line="360" w:lineRule="auto"/>
        <w:rPr>
          <w:lang w:val="en-GB" w:eastAsia="en-AU"/>
        </w:rPr>
      </w:pPr>
      <w:r w:rsidRPr="00351F2E">
        <w:rPr>
          <w:lang w:val="en-GB" w:eastAsia="en-AU"/>
        </w:rPr>
        <w:t>I confirm that I have not presented any AI-generated text as my work. I confirm I have copies of my drafts, notes, and other resources I used before and after using the AI tools, which I may be asked to provide as evidence.</w:t>
      </w:r>
    </w:p>
    <w:p w14:paraId="209486D0" w14:textId="77777777" w:rsidR="00351F2E" w:rsidRDefault="00351F2E" w:rsidP="00351F2E">
      <w:pPr>
        <w:rPr>
          <w:lang w:eastAsia="en-AU"/>
        </w:rPr>
      </w:pPr>
    </w:p>
    <w:p w14:paraId="1BAEA734" w14:textId="77777777" w:rsidR="00351F2E" w:rsidRDefault="00351F2E" w:rsidP="00351F2E">
      <w:pPr>
        <w:rPr>
          <w:lang w:eastAsia="en-AU"/>
        </w:rPr>
      </w:pPr>
    </w:p>
    <w:p w14:paraId="45982B32" w14:textId="77777777" w:rsidR="00351F2E" w:rsidRDefault="00351F2E" w:rsidP="00351F2E">
      <w:pPr>
        <w:rPr>
          <w:lang w:eastAsia="en-AU"/>
        </w:rPr>
      </w:pPr>
    </w:p>
    <w:p w14:paraId="080FEF29" w14:textId="77777777" w:rsidR="00351F2E" w:rsidRDefault="00351F2E" w:rsidP="00351F2E">
      <w:pPr>
        <w:rPr>
          <w:lang w:eastAsia="en-AU"/>
        </w:rPr>
      </w:pPr>
    </w:p>
    <w:p w14:paraId="24A03CB4" w14:textId="77777777" w:rsidR="00351F2E" w:rsidRDefault="00351F2E" w:rsidP="00351F2E">
      <w:pPr>
        <w:rPr>
          <w:lang w:eastAsia="en-AU"/>
        </w:rPr>
      </w:pPr>
    </w:p>
    <w:p w14:paraId="33483420" w14:textId="77777777" w:rsidR="00351F2E" w:rsidRDefault="00351F2E" w:rsidP="00351F2E">
      <w:pPr>
        <w:rPr>
          <w:lang w:eastAsia="en-AU"/>
        </w:rPr>
      </w:pPr>
    </w:p>
    <w:p w14:paraId="6B15032E" w14:textId="77777777" w:rsidR="00351F2E" w:rsidRDefault="00351F2E" w:rsidP="00351F2E">
      <w:pPr>
        <w:rPr>
          <w:lang w:eastAsia="en-AU"/>
        </w:rPr>
      </w:pPr>
    </w:p>
    <w:p w14:paraId="35157E81" w14:textId="77777777" w:rsidR="00351F2E" w:rsidRPr="00351F2E" w:rsidRDefault="00351F2E" w:rsidP="00351F2E">
      <w:pPr>
        <w:rPr>
          <w:lang w:eastAsia="en-AU"/>
        </w:rPr>
      </w:pPr>
    </w:p>
    <w:p w14:paraId="18B7BD7B" w14:textId="488A0333" w:rsidR="00A81248" w:rsidRPr="003A798E" w:rsidRDefault="00C66528" w:rsidP="0098239A">
      <w:pPr>
        <w:pStyle w:val="Heading2"/>
        <w:jc w:val="center"/>
      </w:pPr>
      <w:r w:rsidRPr="003A798E">
        <w:rPr>
          <w:noProof/>
          <w:lang w:eastAsia="en-AU"/>
        </w:rPr>
        <mc:AlternateContent>
          <mc:Choice Requires="wps">
            <w:drawing>
              <wp:anchor distT="0" distB="0" distL="114300" distR="114300" simplePos="0" relativeHeight="251661312" behindDoc="1" locked="0" layoutInCell="1" allowOverlap="1" wp14:anchorId="6598AA6A" wp14:editId="1C28B894">
                <wp:simplePos x="0" y="0"/>
                <wp:positionH relativeFrom="column">
                  <wp:posOffset>-433449</wp:posOffset>
                </wp:positionH>
                <wp:positionV relativeFrom="paragraph">
                  <wp:posOffset>-8979487</wp:posOffset>
                </wp:positionV>
                <wp:extent cx="7771130" cy="11210307"/>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11210307"/>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45BF9243" id="Shape" o:spid="_x0000_s1026" alt="&quot;&quot;" style="position:absolute;margin-left:-34.15pt;margin-top:-707.05pt;width:611.9pt;height:882.7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" path="m,14678r,6922l21600,3032,21600,,17075,,,14678xe" fillcolor="#123869 [3204]" stroked="f" strokeweight="1pt">
                <v:stroke miterlimit="4" joinstyle="miter"/>
                <v:path arrowok="t" o:extrusionok="f" o:connecttype="custom" o:connectlocs="3885565,5605154;3885565,5605154;3885565,5605154;3885565,5605154" o:connectangles="0,90,180,270"/>
              </v:shape>
            </w:pict>
          </mc:Fallback>
        </mc:AlternateContent>
      </w:r>
    </w:p>
    <w:sectPr w:rsidR="00A81248" w:rsidRPr="003A798E" w:rsidSect="00A24793">
      <w:footerReference w:type="even" r:id="rId42"/>
      <w:footerReference w:type="default" r:id="rId43"/>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8DEA7" w14:textId="77777777" w:rsidR="00DF220E" w:rsidRDefault="00DF220E" w:rsidP="001205A1">
      <w:r>
        <w:separator/>
      </w:r>
    </w:p>
  </w:endnote>
  <w:endnote w:type="continuationSeparator" w:id="0">
    <w:p w14:paraId="692D13C9" w14:textId="77777777" w:rsidR="00DF220E" w:rsidRDefault="00DF220E"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aramond">
    <w:panose1 w:val="02020404030301010803"/>
    <w:charset w:val="00"/>
    <w:family w:val="roman"/>
    <w:pitch w:val="variable"/>
    <w:sig w:usb0="00000287" w:usb1="00000002"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Content>
      <w:p w14:paraId="198F700F"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2ECA9D28"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1358343"/>
      <w:docPartObj>
        <w:docPartGallery w:val="Page Numbers (Bottom of Page)"/>
        <w:docPartUnique/>
      </w:docPartObj>
    </w:sdtPr>
    <w:sdtContent>
      <w:p w14:paraId="31DC9860"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21EEB6C5" w14:textId="77777777" w:rsidTr="005F4F46">
      <w:tc>
        <w:tcPr>
          <w:tcW w:w="5395" w:type="dxa"/>
        </w:tcPr>
        <w:p w14:paraId="76CE729D" w14:textId="77777777" w:rsidR="001205A1" w:rsidRPr="001205A1" w:rsidRDefault="00000000" w:rsidP="00C66528">
          <w:pPr>
            <w:pStyle w:val="Footer"/>
          </w:pPr>
          <w:sdt>
            <w:sdtPr>
              <w:rPr>
                <w:color w:val="7F7F7F" w:themeColor="text1" w:themeTint="80"/>
              </w:rPr>
              <w:id w:val="-94713725"/>
              <w:placeholder>
                <w:docPart w:val="46792151FACB47B5915EE665BA0D783F"/>
              </w:placeholder>
              <w:temporary/>
              <w:showingPlcHdr/>
              <w15:appearance w15:val="hidden"/>
            </w:sdtPr>
            <w:sdtContent>
              <w:r w:rsidR="00C66528" w:rsidRPr="00FC49AE">
                <w:t>REPORT TITLE</w:t>
              </w:r>
            </w:sdtContent>
          </w:sdt>
        </w:p>
      </w:tc>
      <w:tc>
        <w:tcPr>
          <w:tcW w:w="5395" w:type="dxa"/>
        </w:tcPr>
        <w:p w14:paraId="690FE5C5" w14:textId="77777777" w:rsidR="001205A1" w:rsidRPr="001205A1" w:rsidRDefault="001205A1" w:rsidP="001205A1">
          <w:pPr>
            <w:pStyle w:val="Footer"/>
          </w:pPr>
          <w:r w:rsidRPr="001205A1">
            <w:t xml:space="preserve">   </w:t>
          </w:r>
        </w:p>
      </w:tc>
    </w:tr>
  </w:tbl>
  <w:p w14:paraId="5DE6753D"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14FC3" w14:textId="77777777" w:rsidR="00DF220E" w:rsidRDefault="00DF220E" w:rsidP="001205A1">
      <w:r>
        <w:separator/>
      </w:r>
    </w:p>
  </w:footnote>
  <w:footnote w:type="continuationSeparator" w:id="0">
    <w:p w14:paraId="368E260D" w14:textId="77777777" w:rsidR="00DF220E" w:rsidRDefault="00DF220E"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0D70B7"/>
    <w:multiLevelType w:val="hybridMultilevel"/>
    <w:tmpl w:val="DB8E8328"/>
    <w:lvl w:ilvl="0" w:tplc="09183938">
      <w:start w:val="1"/>
      <w:numFmt w:val="bullet"/>
      <w:lvlText w:val="◦"/>
      <w:lvlJc w:val="left"/>
      <w:pPr>
        <w:tabs>
          <w:tab w:val="num" w:pos="720"/>
        </w:tabs>
        <w:ind w:left="720" w:hanging="360"/>
      </w:pPr>
      <w:rPr>
        <w:rFonts w:ascii="Garamond" w:hAnsi="Garamond" w:hint="default"/>
      </w:rPr>
    </w:lvl>
    <w:lvl w:ilvl="1" w:tplc="A516AA74" w:tentative="1">
      <w:start w:val="1"/>
      <w:numFmt w:val="bullet"/>
      <w:lvlText w:val="◦"/>
      <w:lvlJc w:val="left"/>
      <w:pPr>
        <w:tabs>
          <w:tab w:val="num" w:pos="1440"/>
        </w:tabs>
        <w:ind w:left="1440" w:hanging="360"/>
      </w:pPr>
      <w:rPr>
        <w:rFonts w:ascii="Garamond" w:hAnsi="Garamond" w:hint="default"/>
      </w:rPr>
    </w:lvl>
    <w:lvl w:ilvl="2" w:tplc="CDD4F932" w:tentative="1">
      <w:start w:val="1"/>
      <w:numFmt w:val="bullet"/>
      <w:lvlText w:val="◦"/>
      <w:lvlJc w:val="left"/>
      <w:pPr>
        <w:tabs>
          <w:tab w:val="num" w:pos="2160"/>
        </w:tabs>
        <w:ind w:left="2160" w:hanging="360"/>
      </w:pPr>
      <w:rPr>
        <w:rFonts w:ascii="Garamond" w:hAnsi="Garamond" w:hint="default"/>
      </w:rPr>
    </w:lvl>
    <w:lvl w:ilvl="3" w:tplc="B0EE1060" w:tentative="1">
      <w:start w:val="1"/>
      <w:numFmt w:val="bullet"/>
      <w:lvlText w:val="◦"/>
      <w:lvlJc w:val="left"/>
      <w:pPr>
        <w:tabs>
          <w:tab w:val="num" w:pos="2880"/>
        </w:tabs>
        <w:ind w:left="2880" w:hanging="360"/>
      </w:pPr>
      <w:rPr>
        <w:rFonts w:ascii="Garamond" w:hAnsi="Garamond" w:hint="default"/>
      </w:rPr>
    </w:lvl>
    <w:lvl w:ilvl="4" w:tplc="7D9C36EC" w:tentative="1">
      <w:start w:val="1"/>
      <w:numFmt w:val="bullet"/>
      <w:lvlText w:val="◦"/>
      <w:lvlJc w:val="left"/>
      <w:pPr>
        <w:tabs>
          <w:tab w:val="num" w:pos="3600"/>
        </w:tabs>
        <w:ind w:left="3600" w:hanging="360"/>
      </w:pPr>
      <w:rPr>
        <w:rFonts w:ascii="Garamond" w:hAnsi="Garamond" w:hint="default"/>
      </w:rPr>
    </w:lvl>
    <w:lvl w:ilvl="5" w:tplc="8990E2E8" w:tentative="1">
      <w:start w:val="1"/>
      <w:numFmt w:val="bullet"/>
      <w:lvlText w:val="◦"/>
      <w:lvlJc w:val="left"/>
      <w:pPr>
        <w:tabs>
          <w:tab w:val="num" w:pos="4320"/>
        </w:tabs>
        <w:ind w:left="4320" w:hanging="360"/>
      </w:pPr>
      <w:rPr>
        <w:rFonts w:ascii="Garamond" w:hAnsi="Garamond" w:hint="default"/>
      </w:rPr>
    </w:lvl>
    <w:lvl w:ilvl="6" w:tplc="8068BCB6" w:tentative="1">
      <w:start w:val="1"/>
      <w:numFmt w:val="bullet"/>
      <w:lvlText w:val="◦"/>
      <w:lvlJc w:val="left"/>
      <w:pPr>
        <w:tabs>
          <w:tab w:val="num" w:pos="5040"/>
        </w:tabs>
        <w:ind w:left="5040" w:hanging="360"/>
      </w:pPr>
      <w:rPr>
        <w:rFonts w:ascii="Garamond" w:hAnsi="Garamond" w:hint="default"/>
      </w:rPr>
    </w:lvl>
    <w:lvl w:ilvl="7" w:tplc="30BC2D7C" w:tentative="1">
      <w:start w:val="1"/>
      <w:numFmt w:val="bullet"/>
      <w:lvlText w:val="◦"/>
      <w:lvlJc w:val="left"/>
      <w:pPr>
        <w:tabs>
          <w:tab w:val="num" w:pos="5760"/>
        </w:tabs>
        <w:ind w:left="5760" w:hanging="360"/>
      </w:pPr>
      <w:rPr>
        <w:rFonts w:ascii="Garamond" w:hAnsi="Garamond" w:hint="default"/>
      </w:rPr>
    </w:lvl>
    <w:lvl w:ilvl="8" w:tplc="5024E43C" w:tentative="1">
      <w:start w:val="1"/>
      <w:numFmt w:val="bullet"/>
      <w:lvlText w:val="◦"/>
      <w:lvlJc w:val="left"/>
      <w:pPr>
        <w:tabs>
          <w:tab w:val="num" w:pos="6480"/>
        </w:tabs>
        <w:ind w:left="6480" w:hanging="360"/>
      </w:pPr>
      <w:rPr>
        <w:rFonts w:ascii="Garamond" w:hAnsi="Garamond" w:hint="default"/>
      </w:rPr>
    </w:lvl>
  </w:abstractNum>
  <w:num w:numId="1" w16cid:durableId="950934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F9A"/>
    <w:rsid w:val="000B0A4E"/>
    <w:rsid w:val="000C4ED1"/>
    <w:rsid w:val="000D5641"/>
    <w:rsid w:val="000E131D"/>
    <w:rsid w:val="001205A1"/>
    <w:rsid w:val="002803FF"/>
    <w:rsid w:val="002877E8"/>
    <w:rsid w:val="002E7C4E"/>
    <w:rsid w:val="0031055C"/>
    <w:rsid w:val="0034143E"/>
    <w:rsid w:val="00351F2E"/>
    <w:rsid w:val="00356039"/>
    <w:rsid w:val="00371EE1"/>
    <w:rsid w:val="00387389"/>
    <w:rsid w:val="003A798E"/>
    <w:rsid w:val="00425A99"/>
    <w:rsid w:val="00450684"/>
    <w:rsid w:val="0051164E"/>
    <w:rsid w:val="005228C0"/>
    <w:rsid w:val="00540AEE"/>
    <w:rsid w:val="005E6B25"/>
    <w:rsid w:val="005F4F46"/>
    <w:rsid w:val="00695A86"/>
    <w:rsid w:val="006972DC"/>
    <w:rsid w:val="006A4D0F"/>
    <w:rsid w:val="006B2F4E"/>
    <w:rsid w:val="006B7872"/>
    <w:rsid w:val="006C60E6"/>
    <w:rsid w:val="00766C02"/>
    <w:rsid w:val="007B0740"/>
    <w:rsid w:val="007C1BAB"/>
    <w:rsid w:val="00871889"/>
    <w:rsid w:val="00913380"/>
    <w:rsid w:val="0098239A"/>
    <w:rsid w:val="009B1823"/>
    <w:rsid w:val="009B4F9A"/>
    <w:rsid w:val="00A15CF7"/>
    <w:rsid w:val="00A24793"/>
    <w:rsid w:val="00A65495"/>
    <w:rsid w:val="00A81248"/>
    <w:rsid w:val="00A938E0"/>
    <w:rsid w:val="00AB1151"/>
    <w:rsid w:val="00C66528"/>
    <w:rsid w:val="00C915F0"/>
    <w:rsid w:val="00D720ED"/>
    <w:rsid w:val="00DF220E"/>
    <w:rsid w:val="00E904C6"/>
    <w:rsid w:val="00E90514"/>
    <w:rsid w:val="00ED2DC4"/>
    <w:rsid w:val="00F00899"/>
    <w:rsid w:val="00F21281"/>
    <w:rsid w:val="00F72E3E"/>
    <w:rsid w:val="00FA38A4"/>
    <w:rsid w:val="00FB65B8"/>
    <w:rsid w:val="00FC49AE"/>
    <w:rsid w:val="00FD2FC3"/>
    <w:rsid w:val="00FF29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9D5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customStyle="1" w:styleId="apple-converted-space">
    <w:name w:val="apple-converted-space"/>
    <w:basedOn w:val="DefaultParagraphFont"/>
    <w:rsid w:val="00351F2E"/>
  </w:style>
  <w:style w:type="character" w:styleId="Strong">
    <w:name w:val="Strong"/>
    <w:basedOn w:val="DefaultParagraphFont"/>
    <w:uiPriority w:val="22"/>
    <w:qFormat/>
    <w:rsid w:val="00351F2E"/>
    <w:rPr>
      <w:b/>
      <w:bCs/>
    </w:rPr>
  </w:style>
  <w:style w:type="character" w:styleId="Hyperlink">
    <w:name w:val="Hyperlink"/>
    <w:basedOn w:val="DefaultParagraphFont"/>
    <w:uiPriority w:val="99"/>
    <w:unhideWhenUsed/>
    <w:rsid w:val="00351F2E"/>
    <w:rPr>
      <w:color w:val="0000FF" w:themeColor="hyperlink"/>
      <w:u w:val="single"/>
    </w:rPr>
  </w:style>
  <w:style w:type="paragraph" w:styleId="NormalWeb">
    <w:name w:val="Normal (Web)"/>
    <w:basedOn w:val="Normal"/>
    <w:uiPriority w:val="99"/>
    <w:unhideWhenUsed/>
    <w:rsid w:val="00351F2E"/>
    <w:pPr>
      <w:spacing w:before="100" w:beforeAutospacing="1" w:after="100" w:afterAutospacing="1"/>
    </w:pPr>
    <w:rPr>
      <w:rFonts w:ascii="Times New Roman" w:eastAsia="Times New Roman" w:hAnsi="Times New Roman" w:cs="Times New Roman"/>
      <w:lang w:val="en-GB" w:eastAsia="en-GB"/>
    </w:rPr>
  </w:style>
  <w:style w:type="character" w:styleId="FollowedHyperlink">
    <w:name w:val="FollowedHyperlink"/>
    <w:basedOn w:val="DefaultParagraphFont"/>
    <w:uiPriority w:val="99"/>
    <w:semiHidden/>
    <w:rsid w:val="00351F2E"/>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4675322">
      <w:bodyDiv w:val="1"/>
      <w:marLeft w:val="0"/>
      <w:marRight w:val="0"/>
      <w:marTop w:val="0"/>
      <w:marBottom w:val="0"/>
      <w:divBdr>
        <w:top w:val="none" w:sz="0" w:space="0" w:color="auto"/>
        <w:left w:val="none" w:sz="0" w:space="0" w:color="auto"/>
        <w:bottom w:val="none" w:sz="0" w:space="0" w:color="auto"/>
        <w:right w:val="none" w:sz="0" w:space="0" w:color="auto"/>
      </w:divBdr>
      <w:divsChild>
        <w:div w:id="713968415">
          <w:marLeft w:val="288"/>
          <w:marRight w:val="0"/>
          <w:marTop w:val="180"/>
          <w:marBottom w:val="0"/>
          <w:divBdr>
            <w:top w:val="none" w:sz="0" w:space="0" w:color="auto"/>
            <w:left w:val="none" w:sz="0" w:space="0" w:color="auto"/>
            <w:bottom w:val="none" w:sz="0" w:space="0" w:color="auto"/>
            <w:right w:val="none" w:sz="0" w:space="0" w:color="auto"/>
          </w:divBdr>
        </w:div>
        <w:div w:id="692076880">
          <w:marLeft w:val="288"/>
          <w:marRight w:val="0"/>
          <w:marTop w:val="180"/>
          <w:marBottom w:val="0"/>
          <w:divBdr>
            <w:top w:val="none" w:sz="0" w:space="0" w:color="auto"/>
            <w:left w:val="none" w:sz="0" w:space="0" w:color="auto"/>
            <w:bottom w:val="none" w:sz="0" w:space="0" w:color="auto"/>
            <w:right w:val="none" w:sz="0" w:space="0" w:color="auto"/>
          </w:divBdr>
        </w:div>
        <w:div w:id="339746852">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8/nrn1201" TargetMode="External"/><Relationship Id="rId18" Type="http://schemas.openxmlformats.org/officeDocument/2006/relationships/hyperlink" Target="https://doi.org/10.3389/fpsyg.2013.00496" TargetMode="External"/><Relationship Id="rId26" Type="http://schemas.openxmlformats.org/officeDocument/2006/relationships/hyperlink" Target="https://doi.org/10.3390/brainsci7050049" TargetMode="External"/><Relationship Id="rId39" Type="http://schemas.openxmlformats.org/officeDocument/2006/relationships/hyperlink" Target="https://doi.org/10.1177/17470218241301759" TargetMode="External"/><Relationship Id="rId21" Type="http://schemas.openxmlformats.org/officeDocument/2006/relationships/hyperlink" Target="https://doi.org/10.1093/police/paaa033" TargetMode="External"/><Relationship Id="rId34" Type="http://schemas.openxmlformats.org/officeDocument/2006/relationships/hyperlink" Target="https://doi.org/10.1016/j.jenvp.2023.102224" TargetMode="External"/><Relationship Id="rId42"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016/s0022-5371(75)80045-4" TargetMode="External"/><Relationship Id="rId29" Type="http://schemas.openxmlformats.org/officeDocument/2006/relationships/hyperlink" Target="https://doi.org/10.1080/09658211.2023.220058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713755608" TargetMode="External"/><Relationship Id="rId24" Type="http://schemas.openxmlformats.org/officeDocument/2006/relationships/hyperlink" Target="https://doi.org/10.1016/j.ijmedinf.2025.105838" TargetMode="External"/><Relationship Id="rId32" Type="http://schemas.openxmlformats.org/officeDocument/2006/relationships/hyperlink" Target="https://doi.org/10.3758/s13421-015-0510-x" TargetMode="External"/><Relationship Id="rId37" Type="http://schemas.openxmlformats.org/officeDocument/2006/relationships/hyperlink" Target="https://doi.org/10.1017/s2045796024000283" TargetMode="External"/><Relationship Id="rId40" Type="http://schemas.openxmlformats.org/officeDocument/2006/relationships/hyperlink" Target="https://doi.org/10.7759/cureus.59906" TargetMode="External"/><Relationship Id="rId45"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doi.org/10.1037/xlm0000509" TargetMode="External"/><Relationship Id="rId23" Type="http://schemas.openxmlformats.org/officeDocument/2006/relationships/hyperlink" Target="https://doi.org/10.1037/xlm0000822" TargetMode="External"/><Relationship Id="rId28" Type="http://schemas.openxmlformats.org/officeDocument/2006/relationships/hyperlink" Target="https://www.gov.uk/government/news/violent-offences-reduced-in-areas-with-multi-agency-partnerships" TargetMode="External"/><Relationship Id="rId36" Type="http://schemas.openxmlformats.org/officeDocument/2006/relationships/hyperlink" Target="https://doi.org/10.1002/hbm.23569" TargetMode="External"/><Relationship Id="rId10" Type="http://schemas.openxmlformats.org/officeDocument/2006/relationships/hyperlink" Target="https://doi.org/10.1016/j.procs.2025.03.029" TargetMode="External"/><Relationship Id="rId19" Type="http://schemas.openxmlformats.org/officeDocument/2006/relationships/hyperlink" Target="https://doi.org/10.1093/police/paac054" TargetMode="External"/><Relationship Id="rId31" Type="http://schemas.openxmlformats.org/officeDocument/2006/relationships/hyperlink" Target="https://doi.org/10.1016/j.jarmac.2016.04.008" TargetMode="Externa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16/s0079-7421(08)60452-1" TargetMode="External"/><Relationship Id="rId22" Type="http://schemas.openxmlformats.org/officeDocument/2006/relationships/hyperlink" Target="https://doi.org/10.3389/fpsyg.2018.00401" TargetMode="External"/><Relationship Id="rId27" Type="http://schemas.openxmlformats.org/officeDocument/2006/relationships/hyperlink" Target="https://doi.org/10.1016/j.psyneuen.2022.105998" TargetMode="External"/><Relationship Id="rId30" Type="http://schemas.openxmlformats.org/officeDocument/2006/relationships/hyperlink" Target="https://doi.org/10.1037/0096-3445.133.3.355" TargetMode="External"/><Relationship Id="rId35" Type="http://schemas.openxmlformats.org/officeDocument/2006/relationships/hyperlink" Target="https://doi.org/10.1177/1476750315583315" TargetMode="External"/><Relationship Id="rId43" Type="http://schemas.openxmlformats.org/officeDocument/2006/relationships/footer" Target="footer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doi.org/10.1016/s1364-6613(00)01538-2" TargetMode="External"/><Relationship Id="rId17" Type="http://schemas.openxmlformats.org/officeDocument/2006/relationships/hyperlink" Target="https://doi.org/10.1016/j.conb.2013.10.008" TargetMode="External"/><Relationship Id="rId25" Type="http://schemas.openxmlformats.org/officeDocument/2006/relationships/hyperlink" Target="https://doi.org/10.1146/annurev-psych-010814-015031" TargetMode="External"/><Relationship Id="rId33" Type="http://schemas.openxmlformats.org/officeDocument/2006/relationships/hyperlink" Target="https://psycnet.apa.org/doi/10.3758/s13421-015-0510-x" TargetMode="External"/><Relationship Id="rId38" Type="http://schemas.openxmlformats.org/officeDocument/2006/relationships/hyperlink" Target="https://doi.org/10.1016/0364-0213(88)90023-7" TargetMode="External"/><Relationship Id="rId46" Type="http://schemas.openxmlformats.org/officeDocument/2006/relationships/theme" Target="theme/theme1.xml"/><Relationship Id="rId20" Type="http://schemas.openxmlformats.org/officeDocument/2006/relationships/hyperlink" Target="https://doi.org/10.1080/02643294.2013.803958" TargetMode="External"/><Relationship Id="rId41" Type="http://schemas.openxmlformats.org/officeDocument/2006/relationships/hyperlink" Target="https://doi.org/10.1016/j.neubiorev.2008.05.016"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kw\AppData\Roaming\Microsoft\Templates\Jazzy%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6792151FACB47B5915EE665BA0D783F"/>
        <w:category>
          <w:name w:val="General"/>
          <w:gallery w:val="placeholder"/>
        </w:category>
        <w:types>
          <w:type w:val="bbPlcHdr"/>
        </w:types>
        <w:behaviors>
          <w:behavior w:val="content"/>
        </w:behaviors>
        <w:guid w:val="{66D57DAD-5EF7-4AA9-8C90-F910B0E82F11}"/>
      </w:docPartPr>
      <w:docPartBody>
        <w:p w:rsidR="005F6076" w:rsidRDefault="003C0142" w:rsidP="003C0142">
          <w:pPr>
            <w:pStyle w:val="46792151FACB47B5915EE665BA0D783F"/>
          </w:pPr>
          <w:r w:rsidRPr="003A798E">
            <w:t>INSTRUCTIONS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aramond">
    <w:panose1 w:val="02020404030301010803"/>
    <w:charset w:val="00"/>
    <w:family w:val="roman"/>
    <w:pitch w:val="variable"/>
    <w:sig w:usb0="00000287" w:usb1="00000002"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142"/>
    <w:rsid w:val="003258BA"/>
    <w:rsid w:val="003C0142"/>
    <w:rsid w:val="0051164E"/>
    <w:rsid w:val="005F6076"/>
    <w:rsid w:val="00F212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qFormat/>
    <w:rsid w:val="003C0142"/>
    <w:pPr>
      <w:keepNext/>
      <w:keepLines/>
      <w:spacing w:after="0" w:line="240" w:lineRule="auto"/>
      <w:outlineLvl w:val="3"/>
    </w:pPr>
    <w:rPr>
      <w:rFonts w:eastAsiaTheme="majorEastAsia" w:cstheme="majorBidi"/>
      <w:i/>
      <w:iCs/>
      <w:color w:val="000000" w:themeColor="text1"/>
      <w:sz w:val="32"/>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3"/>
    <w:rsid w:val="003C0142"/>
    <w:rPr>
      <w:rFonts w:eastAsiaTheme="majorEastAsia" w:cstheme="majorBidi"/>
      <w:i/>
      <w:iCs/>
      <w:color w:val="000000" w:themeColor="text1"/>
      <w:sz w:val="32"/>
      <w:szCs w:val="24"/>
      <w:lang w:val="en-US" w:eastAsia="en-US"/>
    </w:rPr>
  </w:style>
  <w:style w:type="character" w:styleId="Emphasis">
    <w:name w:val="Emphasis"/>
    <w:basedOn w:val="DefaultParagraphFont"/>
    <w:uiPriority w:val="20"/>
    <w:qFormat/>
    <w:rPr>
      <w:i w:val="0"/>
      <w:iCs/>
      <w:color w:val="E97132" w:themeColor="accent2"/>
    </w:rPr>
  </w:style>
  <w:style w:type="paragraph" w:styleId="Quote">
    <w:name w:val="Quote"/>
    <w:basedOn w:val="Normal"/>
    <w:next w:val="Normal"/>
    <w:link w:val="QuoteChar"/>
    <w:uiPriority w:val="29"/>
    <w:qFormat/>
    <w:pPr>
      <w:spacing w:after="0" w:line="192" w:lineRule="auto"/>
      <w:jc w:val="center"/>
    </w:pPr>
    <w:rPr>
      <w:rFonts w:asciiTheme="majorHAnsi" w:eastAsiaTheme="minorHAnsi" w:hAnsiTheme="majorHAnsi"/>
      <w:iCs/>
      <w:color w:val="156082" w:themeColor="accent1"/>
      <w:sz w:val="76"/>
      <w:szCs w:val="24"/>
      <w:lang w:val="en-US" w:eastAsia="en-US"/>
    </w:rPr>
  </w:style>
  <w:style w:type="character" w:customStyle="1" w:styleId="QuoteChar">
    <w:name w:val="Quote Char"/>
    <w:basedOn w:val="DefaultParagraphFont"/>
    <w:link w:val="Quote"/>
    <w:uiPriority w:val="29"/>
    <w:rPr>
      <w:rFonts w:asciiTheme="majorHAnsi" w:eastAsiaTheme="minorHAnsi" w:hAnsiTheme="majorHAnsi"/>
      <w:iCs/>
      <w:color w:val="156082" w:themeColor="accent1"/>
      <w:sz w:val="76"/>
      <w:szCs w:val="24"/>
      <w:lang w:val="en-US" w:eastAsia="en-US"/>
    </w:rPr>
  </w:style>
  <w:style w:type="paragraph" w:customStyle="1" w:styleId="46792151FACB47B5915EE665BA0D783F">
    <w:name w:val="46792151FACB47B5915EE665BA0D783F"/>
    <w:rsid w:val="003C01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C:\Users\edu-kw\AppData\Roaming\Microsoft\Templates\Jazzy student report.dotx</Template>
  <TotalTime>0</TotalTime>
  <Pages>15</Pages>
  <Words>4502</Words>
  <Characters>25668</Characters>
  <Application>Microsoft Office Word</Application>
  <DocSecurity>0</DocSecurity>
  <Lines>213</Lines>
  <Paragraphs>60</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REFERENCE LIST /</vt:lpstr>
    </vt:vector>
  </TitlesOfParts>
  <Company/>
  <LinksUpToDate>false</LinksUpToDate>
  <CharactersWithSpaces>30110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2025-05-20T12:01:00Z</dcterms:created>
  <dcterms:modified xsi:type="dcterms:W3CDTF">2025-05-20T12:14:00Z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