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Ivan Uzunov</w:t>
      </w:r>
    </w:p>
    <w:p>
      <w:pPr>
        <w:spacing w:before="0" w:after="160" w:line="360"/>
        <w:ind w:right="0" w:left="0" w:firstLine="0"/>
        <w:jc w:val="both"/>
        <w:rPr>
          <w:rFonts w:ascii="Times New Roman" w:hAnsi="Times New Roman" w:cs="Times New Roman" w:eastAsia="Times New Roman"/>
          <w:b/>
          <w:color w:val="auto"/>
          <w:spacing w:val="-10"/>
          <w:position w:val="0"/>
          <w:sz w:val="36"/>
          <w:shd w:fill="auto" w:val="clear"/>
        </w:rPr>
      </w:pPr>
      <w:r>
        <w:rPr>
          <w:rFonts w:ascii="Times New Roman" w:hAnsi="Times New Roman" w:cs="Times New Roman" w:eastAsia="Times New Roman"/>
          <w:b/>
          <w:color w:val="auto"/>
          <w:spacing w:val="0"/>
          <w:position w:val="0"/>
          <w:sz w:val="24"/>
          <w:shd w:fill="auto" w:val="clear"/>
        </w:rPr>
        <w:t xml:space="preserve">Student Id:2011296</w:t>
      </w:r>
    </w:p>
    <w:p>
      <w:pPr>
        <w:keepNext w:val="true"/>
        <w:keepLines w:val="true"/>
        <w:spacing w:before="480" w:after="0" w:line="360"/>
        <w:ind w:right="0" w:left="0" w:firstLine="0"/>
        <w:jc w:val="both"/>
        <w:rPr>
          <w:rFonts w:ascii="Calibri Light" w:hAnsi="Calibri Light" w:cs="Calibri Light" w:eastAsia="Calibri Light"/>
          <w:color w:val="2F5496"/>
          <w:spacing w:val="0"/>
          <w:position w:val="0"/>
          <w:sz w:val="28"/>
          <w:shd w:fill="auto" w:val="clear"/>
        </w:rPr>
      </w:pPr>
    </w:p>
    <w:p>
      <w:pPr>
        <w:keepNext w:val="true"/>
        <w:keepLines w:val="true"/>
        <w:spacing w:before="480" w:after="0" w:line="360"/>
        <w:ind w:right="0" w:left="0" w:firstLine="0"/>
        <w:jc w:val="both"/>
        <w:rPr>
          <w:rFonts w:ascii="Calibri Light" w:hAnsi="Calibri Light" w:cs="Calibri Light" w:eastAsia="Calibri Light"/>
          <w:color w:val="2F5496"/>
          <w:spacing w:val="0"/>
          <w:position w:val="0"/>
          <w:sz w:val="28"/>
          <w:shd w:fill="auto" w:val="clear"/>
        </w:rPr>
      </w:pPr>
      <w:r>
        <w:rPr>
          <w:rFonts w:ascii="Calibri Light" w:hAnsi="Calibri Light" w:cs="Calibri Light" w:eastAsia="Calibri Light"/>
          <w:color w:val="2F5496"/>
          <w:spacing w:val="0"/>
          <w:position w:val="0"/>
          <w:sz w:val="28"/>
          <w:shd w:fill="auto" w:val="clear"/>
        </w:rPr>
        <w:t xml:space="preserve">Introduction </w:t>
      </w:r>
    </w:p>
    <w:p>
      <w:pPr>
        <w:tabs>
          <w:tab w:val="left" w:pos="6570"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will mainly discuss about a new business plan. A new business plan of Fitucate will be highlighted in which a new online health and fitness app will be developed. The market opportunity for the new business plan will be highlighted. Porters Five Forces analysis will be applied in order to conduct industry analysis. The operation plan of the new business will be highlighted as well as with the function of management team. In order to conduct marketing plan, 4Ps of marketing mix will be applied in the new business idea of health and fitness app. Finally, a financial plan will be provided in order to outline funding sources, costs and profit of the new business plan.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Calibri Light" w:hAnsi="Calibri Light" w:cs="Calibri Light" w:eastAsia="Calibri Light"/>
          <w:color w:val="2F5496"/>
          <w:spacing w:val="0"/>
          <w:position w:val="0"/>
          <w:sz w:val="28"/>
          <w:shd w:fill="auto" w:val="clear"/>
        </w:rPr>
      </w:pPr>
      <w:r>
        <w:rPr>
          <w:rFonts w:ascii="Calibri Light" w:hAnsi="Calibri Light" w:cs="Calibri Light" w:eastAsia="Calibri Light"/>
          <w:color w:val="2F5496"/>
          <w:spacing w:val="0"/>
          <w:position w:val="0"/>
          <w:sz w:val="28"/>
          <w:shd w:fill="auto" w:val="clear"/>
        </w:rPr>
        <w:t xml:space="preserve">Business plan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10162"/>
      </w:tblGrid>
      <w:tr>
        <w:trPr>
          <w:trHeight w:val="11960" w:hRule="auto"/>
          <w:jc w:val="left"/>
        </w:trPr>
        <w:tc>
          <w:tcPr>
            <w:tcW w:w="101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BUSINESS DESCRIPTION / MARKET OPPORTUNITY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new business in gymnastics will be started by creating a health and fitness app for “Fitucate” to deliver health and fitness routine, expert suggestions and in-app purchase service to the users. The mission of this new business plan for gym chain online business is to assure a quality health and fitness service to the health sector in the UK. During the Covid-19 pandemic, Gymnastic businesses have to face major challenges due to health and safety regulations which largely lowers the profit margin of the business (Dominici, 2019). A new business plan will be developed for Fitucate which concludes with a health and fitness app named “Fit Heal” in which health and fitness routine, guidelines, expert suggestions as well as purchase options of health and nutritional supplements will be provided. After the Covid-19 pandemic, there is a huge demand for health and fitness services as most individuals did not get a chance to go to the gym for fitness services (Kerin, 2019). In this regard, the new business plan for Fitucate will develop a health and fitness app named “Fit Heal” in order to fulfil the demands of health-conscious individuals in the UK (Denim, 2019). The new business or ownership structure will be a partnership as the funding is relatively higher in this type of business to gather gymnastic resources, experts, nutrient supplements as well as technological maintenance. </w:t>
            </w:r>
          </w:p>
          <w:p>
            <w:pPr>
              <w:spacing w:before="0" w:after="0" w:line="360"/>
              <w:ind w:right="0" w:left="0" w:firstLine="0"/>
              <w:jc w:val="both"/>
              <w:rPr>
                <w:color w:val="auto"/>
                <w:spacing w:val="0"/>
                <w:position w:val="0"/>
                <w:shd w:fill="auto" w:val="clear"/>
              </w:rPr>
            </w:pP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10104"/>
        <w:gridCol w:w="40"/>
      </w:tblGrid>
      <w:tr>
        <w:trPr>
          <w:trHeight w:val="13146" w:hRule="auto"/>
          <w:jc w:val="left"/>
        </w:trPr>
        <w:tc>
          <w:tcPr>
            <w:tcW w:w="10144"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INDUSTRY 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the new business plan of Fitucate is to create health and fitness apps to deliver fitness routines as well as expert guidelines regarding fitness, this will fall under the health sector. The size of the health sector in the UK is large compared to other business sectors (David, 2018). As individuals are becoming more conscious regarding health and safety after the Covid-19 pandemic, the growth rate of the health sector is enormously high. As a result, there is a higher sales projection of the business in the health sector.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analyse the health industry, Porters' Five Forces have been applied below: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threat of new entry: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health sector, the threat of new entrants is limited as there is a requirement of large start-up costs and investment which impossible for small businesses to start gymnastic businesses in the health sector (Chanson, 2020). Like the equipment, technology in the gymnastic sector business is relatively high cost, the threat of new entrants is relatively low for the new health and fitness app of Fitucate.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threat of substitutes: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threat of substitutes is relatively low as most gymnastics businesses in the health sector do not have their own health and fitness apps to provide fitness and in-app purchase service (Blackwell, 2020). So, the threat of the substitute is relatively low for the new health and fitness app of Fitucate.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Bargaining power of customers: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there is a large number of free health and fitness apps online, the bargaining power of the customers is relatively high in the health sector (Zanem, 2020). As a result, the bargaining power of customers is high for the health and fitness app business of Fitucate.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Bargaining power of suppliers: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number of suppliers in the health sector is comparatively medium which possesses a moderate level of threat to the suppliers (Warrink, 2018). So, the bargaining power of suppliers is moderate for the health and fitness app business of Fitucate.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Competitive rivalry: </w:t>
            </w:r>
          </w:p>
          <w:tbl>
            <w:tblPr/>
            <w:tblGrid>
              <w:gridCol w:w="4927"/>
              <w:gridCol w:w="4927"/>
            </w:tblGrid>
            <w:tr>
              <w:trPr>
                <w:trHeight w:val="555" w:hRule="auto"/>
                <w:jc w:val="left"/>
              </w:trPr>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Competitor </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Differentiation </w:t>
                  </w:r>
                </w:p>
              </w:tc>
            </w:tr>
            <w:tr>
              <w:trPr>
                <w:trHeight w:val="576" w:hRule="auto"/>
                <w:jc w:val="left"/>
              </w:trPr>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Calorie Counter +</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“Fit Heal” app of Fitucate will be an in-app purchase service which is not available in </w:t>
                  </w:r>
                </w:p>
              </w:tc>
            </w:tr>
            <w:tr>
              <w:trPr>
                <w:trHeight w:val="555" w:hRule="auto"/>
                <w:jc w:val="left"/>
              </w:trPr>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Pure Gym </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“Fit Heal” app will be expert health and consultation service which is not available in Pure Gym (Stovall, 2019). </w:t>
                  </w:r>
                </w:p>
              </w:tc>
            </w:tr>
            <w:tr>
              <w:trPr>
                <w:trHeight w:val="555" w:hRule="auto"/>
                <w:jc w:val="left"/>
              </w:trPr>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NHS Couch </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“Fit Heal” app will provide a purchase option to users to buy nutritional and health supplements and proteins which is not available in NHS Couch. </w:t>
                  </w:r>
                </w:p>
              </w:tc>
            </w:tr>
          </w:tbl>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r>
        <w:trPr>
          <w:trHeight w:val="12122" w:hRule="auto"/>
          <w:jc w:val="left"/>
        </w:trPr>
        <w:tc>
          <w:tcPr>
            <w:tcW w:w="101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OPERATIONS AND MANAGEMENT TEAM</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OPERATIONS: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new business of Fitucate is to develop a health and fitness app to deliver health and fitness services and suggestions as well as in-app purchase service to the customers (Schilit, 2020). During the development of the new app, an app development team will be required will operate and function in the app development process. Moreover, gymnastic equipment will be collected from suppliers in the health sector. Different experts will be hired for giving fitness suggestions to the customers through the health and fitness app. As it will be an online app, customers will find and download it from the Google play store and Apple store (Probert, 2019). An expert app development team will be involved during the creation and development of the app in order to deliver a standard health and fitness app.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subscription business model will be followed by the new health and fitness app of Fitucate. Under this business model, the users will pay a definite amount on a monthly basis to access the service of the health and fitness app (Marceau, 2019). The customers will have also the opportunity to purchase nutritional items from the app by paying a definite cost under the subscription business model. Through this business model, the app of Fitucate will generate revenue and prevent revenue loss for the business (Martin, 2020).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MANAGEMENT TEAM:</w:t>
            </w:r>
          </w:p>
          <w:tbl>
            <w:tblPr/>
            <w:tblGrid>
              <w:gridCol w:w="4939"/>
              <w:gridCol w:w="4939"/>
            </w:tblGrid>
            <w:tr>
              <w:trPr>
                <w:trHeight w:val="12122" w:hRule="auto"/>
                <w:jc w:val="left"/>
              </w:trPr>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Name </w:t>
                  </w:r>
                </w:p>
              </w:tc>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Skills What do they bring to the firm</w:t>
                  </w:r>
                </w:p>
              </w:tc>
            </w:tr>
            <w:tr>
              <w:trPr>
                <w:trHeight w:val="12122" w:hRule="auto"/>
                <w:jc w:val="left"/>
              </w:trPr>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David Peterson</w:t>
                  </w:r>
                </w:p>
              </w:tc>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David Peterson will be the founder of the new business of Fitucate. David Peterson will bring leadership skills to the new business of Fitucate. </w:t>
                  </w:r>
                </w:p>
              </w:tc>
            </w:tr>
            <w:tr>
              <w:trPr>
                <w:trHeight w:val="12122" w:hRule="auto"/>
                <w:jc w:val="left"/>
              </w:trPr>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Locus Hud </w:t>
                  </w:r>
                </w:p>
              </w:tc>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Locus Hud will be the Co-founder of the new business and also contributes leadership skills to the new business. </w:t>
                  </w:r>
                </w:p>
              </w:tc>
            </w:tr>
            <w:tr>
              <w:trPr>
                <w:trHeight w:val="12122" w:hRule="auto"/>
                <w:jc w:val="left"/>
              </w:trPr>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Mike Johnson </w:t>
                  </w:r>
                </w:p>
              </w:tc>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Mike Johnson will be the Human resource manager and deliver management skills to develop the health and fitness app of Fitucate (Plummer, 2019). </w:t>
                  </w:r>
                </w:p>
              </w:tc>
            </w:tr>
            <w:tr>
              <w:trPr>
                <w:trHeight w:val="12122" w:hRule="auto"/>
                <w:jc w:val="left"/>
              </w:trPr>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Carlos Tevez</w:t>
                  </w:r>
                </w:p>
              </w:tc>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Carlos Tevez will be the production manager in developing the health and fitness app and delivering creativity skills to the business. </w:t>
                  </w:r>
                </w:p>
              </w:tc>
            </w:tr>
            <w:tr>
              <w:trPr>
                <w:trHeight w:val="12122" w:hRule="auto"/>
                <w:jc w:val="left"/>
              </w:trPr>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Shaun Michael </w:t>
                  </w:r>
                </w:p>
              </w:tc>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Shaun Michael will be a project member in the app development process and bring technical skills to develop the app for the firm. </w:t>
                  </w:r>
                </w:p>
              </w:tc>
            </w:tr>
            <w:tr>
              <w:trPr>
                <w:trHeight w:val="12122" w:hRule="auto"/>
                <w:jc w:val="left"/>
              </w:trPr>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Steven Johnson </w:t>
                  </w:r>
                </w:p>
              </w:tc>
              <w:tc>
                <w:tcPr>
                  <w:tcW w:w="49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Steven Johnson will also be a project member in app development and bring technological and time management sill to develop the health and fitness of Fitucate. </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legal structure of the new business will be in partnership form as there will be multiple founders of the new business to develop health and fitness apps (Krishnamurthy, 2020). Though there will be other options for legal structures of business, this legal structure will be selected for the new business as there will be a necessity to gather more funds as well as leadership skills.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color w:val="auto"/>
                <w:spacing w:val="0"/>
                <w:position w:val="0"/>
                <w:shd w:fill="auto" w:val="clear"/>
              </w:rPr>
            </w:pP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10058"/>
      </w:tblGrid>
      <w:tr>
        <w:trPr>
          <w:trHeight w:val="11838" w:hRule="auto"/>
          <w:jc w:val="left"/>
        </w:trPr>
        <w:tc>
          <w:tcPr>
            <w:tcW w:w="100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4Ps of the marketing mix will be applied in the new business plan to describe the marketing strategy.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product of the new business plan of Fitucate will be an intangible service consisting of a health and fitness app which will deliver online health and fitness suggestions, routines, expert guidelines, as well as in-app purchase service to the customers (Kerin, 2019). The health and fitness app will provide a purchasing capability to the customers to order health and nutritional items online.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Price: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new business of Fitucate will follow a competitive pricing strategy to set a definite cost for the users to access the service. Based on the competition, Fitucate will employ a competitive pricing strategy during price setting (Dominici, 2019). Fitucate will charge 10 GBP each month for the subscription cost to get the health and fitness service online. Moreover, the price of nutritional items and supplements will have different costs based on their brand and quantity.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Promotional mix: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the new business plan will be based on the development of an online health and fitness app by Fitucate, it will necessitate promotional activities to promote this application (Denim, 2019). Through the social media pages of Fitucate, the new health and fitness app will be promoted to inform the users about the app's functions and features. Since the app will be available online, it can also be promoted through advertisements and influencer marketing in order to attract more users to purchase and use this health and fitness app (David, 2018).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Place: </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As the new business plan will be an online-based health and fitness app named “Fit Heal” by Fitucate so, the distribution strategy of the application will also be online based. In order to distribute the app among the users in online, the app will be made available in Google play store for Android users and in Apple store for iOS users (Chanson, 2020). Customers can easily find and download the app from the google app store and Apple store. So, through the Google play store and Apple store, the health and fitness app will be distributed.  </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9715"/>
      </w:tblGrid>
      <w:tr>
        <w:trPr>
          <w:trHeight w:val="1" w:hRule="atLeast"/>
          <w:jc w:val="left"/>
        </w:trPr>
        <w:tc>
          <w:tcPr>
            <w:tcW w:w="97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FINANCIALS</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Sources of funds: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this new business plan for health and fitness app development will be a partnership business, personal investment by the business owner will be the main source of funding. Moreover, the source of funds will also include bank loans, family and friends of the business partners (Blackwell, 2020).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Finance: </w:t>
            </w:r>
          </w:p>
          <w:tbl>
            <w:tblPr/>
            <w:tblGrid>
              <w:gridCol w:w="4744"/>
              <w:gridCol w:w="4745"/>
            </w:tblGrid>
            <w:tr>
              <w:trPr>
                <w:trHeight w:val="1" w:hRule="atLeast"/>
                <w:jc w:val="left"/>
              </w:trPr>
              <w:tc>
                <w:tcPr>
                  <w:tcW w:w="47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Sources of funds </w:t>
                  </w:r>
                </w:p>
              </w:tc>
              <w:tc>
                <w:tcPr>
                  <w:tcW w:w="4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Amount (GBP)</w:t>
                  </w:r>
                </w:p>
              </w:tc>
            </w:tr>
            <w:tr>
              <w:trPr>
                <w:trHeight w:val="1" w:hRule="atLeast"/>
                <w:jc w:val="left"/>
              </w:trPr>
              <w:tc>
                <w:tcPr>
                  <w:tcW w:w="47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Personal investment </w:t>
                  </w:r>
                </w:p>
              </w:tc>
              <w:tc>
                <w:tcPr>
                  <w:tcW w:w="4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20000 </w:t>
                  </w:r>
                </w:p>
              </w:tc>
            </w:tr>
            <w:tr>
              <w:trPr>
                <w:trHeight w:val="1" w:hRule="atLeast"/>
                <w:jc w:val="left"/>
              </w:trPr>
              <w:tc>
                <w:tcPr>
                  <w:tcW w:w="47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Bank loans </w:t>
                  </w:r>
                </w:p>
              </w:tc>
              <w:tc>
                <w:tcPr>
                  <w:tcW w:w="4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20000</w:t>
                  </w:r>
                </w:p>
              </w:tc>
            </w:tr>
            <w:tr>
              <w:trPr>
                <w:trHeight w:val="1" w:hRule="atLeast"/>
                <w:jc w:val="left"/>
              </w:trPr>
              <w:tc>
                <w:tcPr>
                  <w:tcW w:w="47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Family and friends </w:t>
                  </w:r>
                </w:p>
              </w:tc>
              <w:tc>
                <w:tcPr>
                  <w:tcW w:w="4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10000</w:t>
                  </w:r>
                </w:p>
              </w:tc>
            </w:tr>
            <w:tr>
              <w:trPr>
                <w:trHeight w:val="1" w:hRule="atLeast"/>
                <w:jc w:val="left"/>
              </w:trPr>
              <w:tc>
                <w:tcPr>
                  <w:tcW w:w="47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finance </w:t>
                  </w:r>
                </w:p>
              </w:tc>
              <w:tc>
                <w:tcPr>
                  <w:tcW w:w="4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50000</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Use of funds</w:t>
            </w:r>
          </w:p>
          <w:tbl>
            <w:tblPr/>
            <w:tblGrid>
              <w:gridCol w:w="1355"/>
              <w:gridCol w:w="1355"/>
              <w:gridCol w:w="1355"/>
              <w:gridCol w:w="1356"/>
              <w:gridCol w:w="1356"/>
              <w:gridCol w:w="1356"/>
              <w:gridCol w:w="1356"/>
            </w:tblGrid>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Fixed costs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Month 1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Month 2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Month 3</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Month 4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Month 5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Month 6 </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Funds: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Personal investment</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Bank loans</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Family and friends</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fund</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50000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42,700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35,500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28250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20700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13400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Fixed costs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Salary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 GBP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 GBP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Tax</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 GBP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 GBP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 GBP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 GBP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Insurance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Rental payment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Depreciation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Utility bills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Variable cost</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Raw materials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 GBP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650 GBP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650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Labour cost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1100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950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400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Delivery costs</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450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550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550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 GBP </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Production cost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650 GBP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750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 GBP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650 GBP </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600 GBP</w:t>
                  </w: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Profit </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500000 GBP</w:t>
                  </w:r>
                </w:p>
              </w:tc>
              <w:tc>
                <w:tcPr>
                  <w:tcW w:w="13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42,700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35,500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28250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20700 GBP</w:t>
                  </w:r>
                </w:p>
              </w:tc>
              <w:tc>
                <w:tcPr>
                  <w:tcW w:w="1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13400 GBP</w:t>
                  </w:r>
                </w:p>
              </w:tc>
            </w:tr>
          </w:tbl>
          <w:p>
            <w:pPr>
              <w:spacing w:before="0" w:after="0" w:line="240"/>
              <w:ind w:right="0" w:left="0" w:firstLine="0"/>
              <w:jc w:val="left"/>
              <w:rPr>
                <w:color w:val="auto"/>
                <w:spacing w:val="0"/>
                <w:position w:val="0"/>
                <w:shd w:fill="auto" w:val="clear"/>
              </w:rPr>
            </w:pP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Calibri Light" w:hAnsi="Calibri Light" w:cs="Calibri Light" w:eastAsia="Calibri Light"/>
          <w:color w:val="2F5496"/>
          <w:spacing w:val="0"/>
          <w:position w:val="0"/>
          <w:sz w:val="28"/>
          <w:shd w:fill="auto" w:val="clear"/>
        </w:rPr>
      </w:pPr>
      <w:r>
        <w:rPr>
          <w:rFonts w:ascii="Calibri Light" w:hAnsi="Calibri Light" w:cs="Calibri Light" w:eastAsia="Calibri Light"/>
          <w:color w:val="2F5496"/>
          <w:spacing w:val="0"/>
          <w:position w:val="0"/>
          <w:sz w:val="28"/>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new business plan has been developed for Fitucate which concludes with a health and fitness app named “Fit Heal” in which health and fitness routine, guidelines, expert suggestions as well as purchase options of health and nutritional supplements have been provided. Due to Covid-19, there is huge market demand of health and fitness service which assists the new business plan to be profitable.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59"/>
        <w:ind w:right="0" w:left="0" w:firstLine="0"/>
        <w:jc w:val="left"/>
        <w:rPr>
          <w:rFonts w:ascii="Calibri Light" w:hAnsi="Calibri Light" w:cs="Calibri Light" w:eastAsia="Calibri Light"/>
          <w:color w:val="2F5496"/>
          <w:spacing w:val="0"/>
          <w:position w:val="0"/>
          <w:sz w:val="28"/>
          <w:shd w:fill="auto" w:val="clear"/>
        </w:rPr>
      </w:pPr>
    </w:p>
    <w:p>
      <w:pPr>
        <w:keepNext w:val="true"/>
        <w:keepLines w:val="true"/>
        <w:spacing w:before="480" w:after="0" w:line="360"/>
        <w:ind w:right="0" w:left="0" w:firstLine="0"/>
        <w:jc w:val="both"/>
        <w:rPr>
          <w:rFonts w:ascii="Calibri Light" w:hAnsi="Calibri Light" w:cs="Calibri Light" w:eastAsia="Calibri Light"/>
          <w:color w:val="2F5496"/>
          <w:spacing w:val="0"/>
          <w:position w:val="0"/>
          <w:sz w:val="28"/>
          <w:shd w:fill="auto" w:val="clear"/>
        </w:rPr>
      </w:pPr>
      <w:r>
        <w:rPr>
          <w:rFonts w:ascii="Calibri Light" w:hAnsi="Calibri Light" w:cs="Calibri Light" w:eastAsia="Calibri Light"/>
          <w:color w:val="2F5496"/>
          <w:spacing w:val="0"/>
          <w:position w:val="0"/>
          <w:sz w:val="28"/>
          <w:shd w:fill="auto" w:val="clear"/>
        </w:rPr>
        <w:t xml:space="preserve">References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Blackwell, E., 2020. </w:t>
      </w:r>
      <w:r>
        <w:rPr>
          <w:rFonts w:ascii="Times New Roman" w:hAnsi="Times New Roman" w:cs="Times New Roman" w:eastAsia="Times New Roman"/>
          <w:i/>
          <w:color w:val="auto"/>
          <w:spacing w:val="0"/>
          <w:position w:val="0"/>
          <w:sz w:val="24"/>
          <w:shd w:fill="auto" w:val="clear"/>
        </w:rPr>
        <w:t xml:space="preserve">How to prepare a business plan</w:t>
      </w:r>
      <w:r>
        <w:rPr>
          <w:rFonts w:ascii="Times New Roman" w:hAnsi="Times New Roman" w:cs="Times New Roman" w:eastAsia="Times New Roman"/>
          <w:color w:val="auto"/>
          <w:spacing w:val="0"/>
          <w:position w:val="0"/>
          <w:sz w:val="24"/>
          <w:shd w:fill="auto" w:val="clear"/>
        </w:rPr>
        <w:t xml:space="preserve">. 13th ed.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Chanson, G., 2020. Business plan. </w:t>
      </w:r>
      <w:r>
        <w:rPr>
          <w:rFonts w:ascii="Times New Roman" w:hAnsi="Times New Roman" w:cs="Times New Roman" w:eastAsia="Times New Roman"/>
          <w:i/>
          <w:color w:val="auto"/>
          <w:spacing w:val="0"/>
          <w:position w:val="0"/>
          <w:sz w:val="24"/>
          <w:shd w:fill="auto" w:val="clear"/>
        </w:rPr>
        <w:t xml:space="preserve">Management industriel</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David, D., 2018. Industry updates. </w:t>
      </w:r>
      <w:r>
        <w:rPr>
          <w:rFonts w:ascii="Times New Roman" w:hAnsi="Times New Roman" w:cs="Times New Roman" w:eastAsia="Times New Roman"/>
          <w:i/>
          <w:color w:val="auto"/>
          <w:spacing w:val="0"/>
          <w:position w:val="0"/>
          <w:sz w:val="24"/>
          <w:shd w:fill="auto" w:val="clear"/>
        </w:rPr>
        <w:t xml:space="preserve">Practical Failure Analysis</w:t>
      </w:r>
      <w:r>
        <w:rPr>
          <w:rFonts w:ascii="Times New Roman" w:hAnsi="Times New Roman" w:cs="Times New Roman" w:eastAsia="Times New Roman"/>
          <w:color w:val="auto"/>
          <w:spacing w:val="0"/>
          <w:position w:val="0"/>
          <w:sz w:val="24"/>
          <w:shd w:fill="auto" w:val="clear"/>
        </w:rPr>
        <w:t xml:space="preserve">, 3(2), pp.43-46.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Denim, D., 2019. </w:t>
      </w:r>
      <w:r>
        <w:rPr>
          <w:rFonts w:ascii="Times New Roman" w:hAnsi="Times New Roman" w:cs="Times New Roman" w:eastAsia="Times New Roman"/>
          <w:i/>
          <w:color w:val="auto"/>
          <w:spacing w:val="0"/>
          <w:position w:val="0"/>
          <w:sz w:val="24"/>
          <w:shd w:fill="auto" w:val="clear"/>
        </w:rPr>
        <w:t xml:space="preserve">Marketing mix</w:t>
      </w:r>
      <w:r>
        <w:rPr>
          <w:rFonts w:ascii="Times New Roman" w:hAnsi="Times New Roman" w:cs="Times New Roman" w:eastAsia="Times New Roman"/>
          <w:color w:val="auto"/>
          <w:spacing w:val="0"/>
          <w:position w:val="0"/>
          <w:sz w:val="24"/>
          <w:shd w:fill="auto" w:val="clear"/>
        </w:rPr>
        <w:t xml:space="preserve">. 10th ed. Johannesburg: Systems Publishers (Pty) Ltd.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Dominici, G., 2019. From Marketing Mix to e-Marketing Mix: a literature overview and classification. </w:t>
      </w:r>
      <w:r>
        <w:rPr>
          <w:rFonts w:ascii="Times New Roman" w:hAnsi="Times New Roman" w:cs="Times New Roman" w:eastAsia="Times New Roman"/>
          <w:i/>
          <w:color w:val="auto"/>
          <w:spacing w:val="0"/>
          <w:position w:val="0"/>
          <w:sz w:val="24"/>
          <w:shd w:fill="auto" w:val="clear"/>
        </w:rPr>
        <w:t xml:space="preserve">International Journal of Business and Management</w:t>
      </w:r>
      <w:r>
        <w:rPr>
          <w:rFonts w:ascii="Times New Roman" w:hAnsi="Times New Roman" w:cs="Times New Roman" w:eastAsia="Times New Roman"/>
          <w:color w:val="auto"/>
          <w:spacing w:val="0"/>
          <w:position w:val="0"/>
          <w:sz w:val="24"/>
          <w:shd w:fill="auto" w:val="clear"/>
        </w:rPr>
        <w:t xml:space="preserve">, 4(9).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Kerin, R., 2019. </w:t>
      </w:r>
      <w:r>
        <w:rPr>
          <w:rFonts w:ascii="Times New Roman" w:hAnsi="Times New Roman" w:cs="Times New Roman" w:eastAsia="Times New Roman"/>
          <w:i/>
          <w:color w:val="auto"/>
          <w:spacing w:val="0"/>
          <w:position w:val="0"/>
          <w:sz w:val="24"/>
          <w:shd w:fill="auto" w:val="clear"/>
        </w:rPr>
        <w:t xml:space="preserve">Marketing mix decisions</w:t>
      </w:r>
      <w:r>
        <w:rPr>
          <w:rFonts w:ascii="Times New Roman" w:hAnsi="Times New Roman" w:cs="Times New Roman" w:eastAsia="Times New Roman"/>
          <w:color w:val="auto"/>
          <w:spacing w:val="0"/>
          <w:position w:val="0"/>
          <w:sz w:val="24"/>
          <w:shd w:fill="auto" w:val="clear"/>
        </w:rPr>
        <w:t xml:space="preserve">. 10th ed. Chicago, Ill: American Marketing Association.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Krishnamurthy, B., 2020. Five Forces Model: Analysis from an Emerging Economy. </w:t>
      </w:r>
      <w:r>
        <w:rPr>
          <w:rFonts w:ascii="Times New Roman" w:hAnsi="Times New Roman" w:cs="Times New Roman" w:eastAsia="Times New Roman"/>
          <w:i/>
          <w:color w:val="auto"/>
          <w:spacing w:val="0"/>
          <w:position w:val="0"/>
          <w:sz w:val="24"/>
          <w:shd w:fill="auto" w:val="clear"/>
        </w:rPr>
        <w:t xml:space="preserve">SSRN Electronic Journal</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Marceau, J., 2019. Reshaping industry analysis. </w:t>
      </w:r>
      <w:r>
        <w:rPr>
          <w:rFonts w:ascii="Times New Roman" w:hAnsi="Times New Roman" w:cs="Times New Roman" w:eastAsia="Times New Roman"/>
          <w:i/>
          <w:color w:val="auto"/>
          <w:spacing w:val="0"/>
          <w:position w:val="0"/>
          <w:sz w:val="24"/>
          <w:shd w:fill="auto" w:val="clear"/>
        </w:rPr>
        <w:t xml:space="preserve">Journal of Industry Studies</w:t>
      </w:r>
      <w:r>
        <w:rPr>
          <w:rFonts w:ascii="Times New Roman" w:hAnsi="Times New Roman" w:cs="Times New Roman" w:eastAsia="Times New Roman"/>
          <w:color w:val="auto"/>
          <w:spacing w:val="0"/>
          <w:position w:val="0"/>
          <w:sz w:val="24"/>
          <w:shd w:fill="auto" w:val="clear"/>
        </w:rPr>
        <w:t xml:space="preserve">, 2(2), pp.19-33.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Martin, J., 2020. Operation Plan. </w:t>
      </w:r>
      <w:r>
        <w:rPr>
          <w:rFonts w:ascii="Times New Roman" w:hAnsi="Times New Roman" w:cs="Times New Roman" w:eastAsia="Times New Roman"/>
          <w:i/>
          <w:color w:val="auto"/>
          <w:spacing w:val="0"/>
          <w:position w:val="0"/>
          <w:sz w:val="24"/>
          <w:shd w:fill="auto" w:val="clear"/>
        </w:rPr>
        <w:t xml:space="preserve">Nursing Management (Springhouse)</w:t>
      </w:r>
      <w:r>
        <w:rPr>
          <w:rFonts w:ascii="Times New Roman" w:hAnsi="Times New Roman" w:cs="Times New Roman" w:eastAsia="Times New Roman"/>
          <w:color w:val="auto"/>
          <w:spacing w:val="0"/>
          <w:position w:val="0"/>
          <w:sz w:val="24"/>
          <w:shd w:fill="auto" w:val="clear"/>
        </w:rPr>
        <w:t xml:space="preserve">, 19(4), pp.72???73.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Plummer, C., 2019. A Financial Investment Plan. </w:t>
      </w:r>
      <w:r>
        <w:rPr>
          <w:rFonts w:ascii="Times New Roman" w:hAnsi="Times New Roman" w:cs="Times New Roman" w:eastAsia="Times New Roman"/>
          <w:i/>
          <w:color w:val="auto"/>
          <w:spacing w:val="0"/>
          <w:position w:val="0"/>
          <w:sz w:val="24"/>
          <w:shd w:fill="auto" w:val="clear"/>
        </w:rPr>
        <w:t xml:space="preserve">Financial Analysts Journal</w:t>
      </w:r>
      <w:r>
        <w:rPr>
          <w:rFonts w:ascii="Times New Roman" w:hAnsi="Times New Roman" w:cs="Times New Roman" w:eastAsia="Times New Roman"/>
          <w:color w:val="auto"/>
          <w:spacing w:val="0"/>
          <w:position w:val="0"/>
          <w:sz w:val="24"/>
          <w:shd w:fill="auto" w:val="clear"/>
        </w:rPr>
        <w:t xml:space="preserve">, 17(4), pp.23-28.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Probert, C., 2019. </w:t>
      </w:r>
      <w:r>
        <w:rPr>
          <w:rFonts w:ascii="Times New Roman" w:hAnsi="Times New Roman" w:cs="Times New Roman" w:eastAsia="Times New Roman"/>
          <w:i/>
          <w:color w:val="auto"/>
          <w:spacing w:val="0"/>
          <w:position w:val="0"/>
          <w:sz w:val="24"/>
          <w:shd w:fill="auto" w:val="clear"/>
        </w:rPr>
        <w:t xml:space="preserve">Porter's five forces</w:t>
      </w:r>
      <w:r>
        <w:rPr>
          <w:rFonts w:ascii="Times New Roman" w:hAnsi="Times New Roman" w:cs="Times New Roman" w:eastAsia="Times New Roman"/>
          <w:color w:val="auto"/>
          <w:spacing w:val="0"/>
          <w:position w:val="0"/>
          <w:sz w:val="24"/>
          <w:shd w:fill="auto" w:val="clear"/>
        </w:rPr>
        <w:t xml:space="preserve">. 14th ed. [Place of publication not identified]: 50Minutes.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Schilit, W., 2020. How to write a winning business plan. </w:t>
      </w:r>
      <w:r>
        <w:rPr>
          <w:rFonts w:ascii="Times New Roman" w:hAnsi="Times New Roman" w:cs="Times New Roman" w:eastAsia="Times New Roman"/>
          <w:i/>
          <w:color w:val="auto"/>
          <w:spacing w:val="0"/>
          <w:position w:val="0"/>
          <w:sz w:val="24"/>
          <w:shd w:fill="auto" w:val="clear"/>
        </w:rPr>
        <w:t xml:space="preserve">Business Horizons</w:t>
      </w:r>
      <w:r>
        <w:rPr>
          <w:rFonts w:ascii="Times New Roman" w:hAnsi="Times New Roman" w:cs="Times New Roman" w:eastAsia="Times New Roman"/>
          <w:color w:val="auto"/>
          <w:spacing w:val="0"/>
          <w:position w:val="0"/>
          <w:sz w:val="24"/>
          <w:shd w:fill="auto" w:val="clear"/>
        </w:rPr>
        <w:t xml:space="preserve">, 30(5), pp.13-22.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Stovall, J., 2019. </w:t>
      </w:r>
      <w:r>
        <w:rPr>
          <w:rFonts w:ascii="Times New Roman" w:hAnsi="Times New Roman" w:cs="Times New Roman" w:eastAsia="Times New Roman"/>
          <w:i/>
          <w:color w:val="auto"/>
          <w:spacing w:val="0"/>
          <w:position w:val="0"/>
          <w:sz w:val="24"/>
          <w:shd w:fill="auto" w:val="clear"/>
        </w:rPr>
        <w:t xml:space="preserve">The ultimate financial plan</w:t>
      </w:r>
      <w:r>
        <w:rPr>
          <w:rFonts w:ascii="Times New Roman" w:hAnsi="Times New Roman" w:cs="Times New Roman" w:eastAsia="Times New Roman"/>
          <w:color w:val="auto"/>
          <w:spacing w:val="0"/>
          <w:position w:val="0"/>
          <w:sz w:val="24"/>
          <w:shd w:fill="auto" w:val="clear"/>
        </w:rPr>
        <w:t xml:space="preserve">. 12th ed. Hoboken, N.J.: Wiley.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Warrink, D., 2018. The Marketing Mix in a Marketing 3.0 Context. </w:t>
      </w:r>
      <w:r>
        <w:rPr>
          <w:rFonts w:ascii="Times New Roman" w:hAnsi="Times New Roman" w:cs="Times New Roman" w:eastAsia="Times New Roman"/>
          <w:i/>
          <w:color w:val="auto"/>
          <w:spacing w:val="0"/>
          <w:position w:val="0"/>
          <w:sz w:val="24"/>
          <w:shd w:fill="auto" w:val="clear"/>
        </w:rPr>
        <w:t xml:space="preserve">INTERNATIONAL JOURNAL OF INNOVATION AND ECONOMIC DEVELOPMENT</w:t>
      </w:r>
      <w:r>
        <w:rPr>
          <w:rFonts w:ascii="Times New Roman" w:hAnsi="Times New Roman" w:cs="Times New Roman" w:eastAsia="Times New Roman"/>
          <w:color w:val="auto"/>
          <w:spacing w:val="0"/>
          <w:position w:val="0"/>
          <w:sz w:val="24"/>
          <w:shd w:fill="auto" w:val="clear"/>
        </w:rPr>
        <w:t xml:space="preserve">, 4(4), pp.7-30.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Zanem, D., 2020. Porter’s Five Forces Analysis and Value Chain Analysis of AUX Air-conditioning Co., Ltd. </w:t>
      </w:r>
      <w:r>
        <w:rPr>
          <w:rFonts w:ascii="Times New Roman" w:hAnsi="Times New Roman" w:cs="Times New Roman" w:eastAsia="Times New Roman"/>
          <w:i/>
          <w:color w:val="auto"/>
          <w:spacing w:val="0"/>
          <w:position w:val="0"/>
          <w:sz w:val="24"/>
          <w:shd w:fill="auto" w:val="clear"/>
        </w:rPr>
        <w:t xml:space="preserve">DEStech Transactions on Social Science, Education and Human Science</w:t>
      </w:r>
      <w:r>
        <w:rPr>
          <w:rFonts w:ascii="Times New Roman" w:hAnsi="Times New Roman" w:cs="Times New Roman" w:eastAsia="Times New Roman"/>
          <w:color w:val="auto"/>
          <w:spacing w:val="0"/>
          <w:position w:val="0"/>
          <w:sz w:val="24"/>
          <w:shd w:fill="auto" w:val="clear"/>
        </w:rPr>
        <w:t xml:space="preserve">, (icsste).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