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CB8D4" w14:textId="77777777" w:rsidR="006D524E" w:rsidRPr="00BB0A00" w:rsidRDefault="006D524E" w:rsidP="006D524E">
      <w:pPr>
        <w:spacing w:before="212"/>
        <w:jc w:val="center"/>
        <w:rPr>
          <w:b/>
          <w:sz w:val="56"/>
        </w:rPr>
      </w:pPr>
      <w:bookmarkStart w:id="0" w:name="_ym9ngbele4vg" w:colFirst="0" w:colLast="0"/>
      <w:bookmarkEnd w:id="0"/>
      <w:r w:rsidRPr="00BB0A00">
        <w:rPr>
          <w:b/>
          <w:noProof/>
          <w:sz w:val="56"/>
        </w:rPr>
        <w:drawing>
          <wp:inline distT="0" distB="0" distL="0" distR="0" wp14:anchorId="3C3D2180" wp14:editId="103AF9A7">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048B6819" w14:textId="77777777" w:rsidR="006D524E" w:rsidRPr="00BB0A00" w:rsidRDefault="006D524E" w:rsidP="006D524E">
      <w:pPr>
        <w:spacing w:before="212"/>
        <w:jc w:val="center"/>
        <w:rPr>
          <w:b/>
          <w:sz w:val="36"/>
          <w:szCs w:val="36"/>
        </w:rPr>
      </w:pPr>
    </w:p>
    <w:p w14:paraId="73253AB4" w14:textId="77777777" w:rsidR="006D524E" w:rsidRPr="00BB0A00" w:rsidRDefault="006D524E" w:rsidP="006D524E">
      <w:pPr>
        <w:spacing w:before="212"/>
        <w:rPr>
          <w:b/>
          <w:sz w:val="56"/>
        </w:rPr>
      </w:pPr>
    </w:p>
    <w:p w14:paraId="764A115C" w14:textId="4F7B25A5" w:rsidR="006D524E" w:rsidRPr="00BB0A00" w:rsidRDefault="006D524E" w:rsidP="006D524E">
      <w:pPr>
        <w:spacing w:before="212"/>
        <w:rPr>
          <w:b/>
          <w:sz w:val="48"/>
          <w:szCs w:val="48"/>
        </w:rPr>
      </w:pPr>
      <w:r w:rsidRPr="00BB0A00">
        <w:rPr>
          <w:b/>
          <w:sz w:val="48"/>
          <w:szCs w:val="48"/>
        </w:rPr>
        <w:t>MODULE CODE: EDCE7012</w:t>
      </w:r>
    </w:p>
    <w:p w14:paraId="1288EDF0" w14:textId="77777777" w:rsidR="006D524E" w:rsidRPr="00BB0A00" w:rsidRDefault="006D524E" w:rsidP="006D524E">
      <w:pPr>
        <w:spacing w:before="212"/>
        <w:rPr>
          <w:b/>
          <w:sz w:val="48"/>
          <w:szCs w:val="48"/>
        </w:rPr>
      </w:pPr>
    </w:p>
    <w:p w14:paraId="2A1CB8E0" w14:textId="77777777" w:rsidR="006D524E" w:rsidRPr="00BB0A00" w:rsidRDefault="006D524E" w:rsidP="006D524E">
      <w:pPr>
        <w:spacing w:before="212"/>
        <w:rPr>
          <w:b/>
          <w:sz w:val="48"/>
          <w:szCs w:val="48"/>
        </w:rPr>
      </w:pPr>
      <w:r w:rsidRPr="00BB0A00">
        <w:rPr>
          <w:b/>
          <w:sz w:val="48"/>
          <w:szCs w:val="48"/>
        </w:rPr>
        <w:t>ASSESSMENT COMPONENT:2</w:t>
      </w:r>
    </w:p>
    <w:p w14:paraId="2AED350E" w14:textId="77777777" w:rsidR="006D524E" w:rsidRPr="00BB0A00" w:rsidRDefault="006D524E" w:rsidP="006D524E">
      <w:pPr>
        <w:spacing w:before="7"/>
        <w:jc w:val="center"/>
        <w:rPr>
          <w:b/>
          <w:sz w:val="44"/>
        </w:rPr>
      </w:pPr>
    </w:p>
    <w:p w14:paraId="69191F18" w14:textId="77777777" w:rsidR="006D524E" w:rsidRPr="00BB0A00" w:rsidRDefault="006D524E" w:rsidP="006D524E">
      <w:pPr>
        <w:spacing w:before="3"/>
        <w:rPr>
          <w:b/>
          <w:sz w:val="48"/>
          <w:szCs w:val="48"/>
        </w:rPr>
      </w:pPr>
      <w:r w:rsidRPr="00BB0A00">
        <w:rPr>
          <w:b/>
          <w:sz w:val="48"/>
          <w:szCs w:val="48"/>
        </w:rPr>
        <w:t>STUDENT NAME: Owain Glyn Jones</w:t>
      </w:r>
    </w:p>
    <w:p w14:paraId="03CAC0BA" w14:textId="77777777" w:rsidR="006D524E" w:rsidRPr="00BB0A00" w:rsidRDefault="006D524E" w:rsidP="006D524E">
      <w:pPr>
        <w:spacing w:before="3"/>
        <w:rPr>
          <w:b/>
          <w:sz w:val="48"/>
          <w:szCs w:val="48"/>
        </w:rPr>
      </w:pPr>
    </w:p>
    <w:p w14:paraId="14504D5B" w14:textId="77777777" w:rsidR="006D524E" w:rsidRPr="00BB0A00" w:rsidRDefault="006D524E" w:rsidP="006D524E">
      <w:pPr>
        <w:spacing w:before="3"/>
        <w:rPr>
          <w:b/>
          <w:sz w:val="48"/>
          <w:szCs w:val="48"/>
        </w:rPr>
      </w:pPr>
      <w:r w:rsidRPr="00BB0A00">
        <w:rPr>
          <w:b/>
          <w:sz w:val="48"/>
          <w:szCs w:val="48"/>
        </w:rPr>
        <w:t>STUDENT NUMBER: 2413521</w:t>
      </w:r>
    </w:p>
    <w:p w14:paraId="67B44EDC" w14:textId="77777777" w:rsidR="006D524E" w:rsidRPr="00BB0A00" w:rsidRDefault="006D524E" w:rsidP="006D524E">
      <w:pPr>
        <w:rPr>
          <w:b/>
          <w:sz w:val="47"/>
        </w:rPr>
      </w:pPr>
    </w:p>
    <w:p w14:paraId="0B422D9C" w14:textId="77777777" w:rsidR="006D524E" w:rsidRPr="00BB0A00" w:rsidRDefault="006D524E" w:rsidP="006D524E">
      <w:pPr>
        <w:ind w:left="100"/>
        <w:jc w:val="center"/>
        <w:rPr>
          <w:b/>
          <w:sz w:val="47"/>
        </w:rPr>
      </w:pPr>
    </w:p>
    <w:p w14:paraId="04DC6B6E" w14:textId="77777777" w:rsidR="006D524E" w:rsidRPr="00BB0A00" w:rsidRDefault="006D524E" w:rsidP="006D524E">
      <w:pPr>
        <w:ind w:left="100"/>
        <w:rPr>
          <w:b/>
          <w:sz w:val="47"/>
        </w:rPr>
      </w:pPr>
    </w:p>
    <w:p w14:paraId="1711FF74" w14:textId="77777777" w:rsidR="006D524E" w:rsidRPr="00BB0A00" w:rsidRDefault="006D524E" w:rsidP="006D524E">
      <w:pPr>
        <w:ind w:left="100"/>
        <w:rPr>
          <w:b/>
          <w:sz w:val="47"/>
        </w:rPr>
      </w:pPr>
    </w:p>
    <w:p w14:paraId="2881CA3A" w14:textId="77777777" w:rsidR="006D524E" w:rsidRPr="00BB0A00" w:rsidRDefault="006D524E" w:rsidP="006D524E">
      <w:pPr>
        <w:ind w:left="100"/>
        <w:rPr>
          <w:b/>
          <w:sz w:val="47"/>
        </w:rPr>
      </w:pPr>
      <w:r w:rsidRPr="00BB0A00">
        <w:rPr>
          <w:b/>
          <w:sz w:val="47"/>
        </w:rPr>
        <w:t>Doctorate in Education (EdD)</w:t>
      </w:r>
    </w:p>
    <w:p w14:paraId="1637D8AE" w14:textId="77777777" w:rsidR="006D524E" w:rsidRPr="00BB0A00" w:rsidRDefault="006D524E" w:rsidP="006D524E">
      <w:pPr>
        <w:jc w:val="center"/>
        <w:rPr>
          <w:b/>
          <w:sz w:val="40"/>
        </w:rPr>
      </w:pPr>
    </w:p>
    <w:p w14:paraId="77805B3B" w14:textId="77777777" w:rsidR="006D524E" w:rsidRPr="00BB0A00" w:rsidRDefault="006D524E" w:rsidP="006D524E">
      <w:pPr>
        <w:rPr>
          <w:b/>
          <w:bCs/>
          <w:sz w:val="32"/>
          <w:szCs w:val="32"/>
          <w:u w:val="single"/>
        </w:rPr>
      </w:pPr>
      <w:r w:rsidRPr="00BB0A00">
        <w:rPr>
          <w:b/>
          <w:bCs/>
          <w:sz w:val="32"/>
          <w:szCs w:val="32"/>
          <w:u w:val="single"/>
        </w:rPr>
        <w:lastRenderedPageBreak/>
        <w:t>AI Acknowledgement</w:t>
      </w:r>
    </w:p>
    <w:p w14:paraId="1238E657" w14:textId="77777777" w:rsidR="006D524E" w:rsidRPr="00BB0A00" w:rsidRDefault="006D524E" w:rsidP="006D524E"/>
    <w:p w14:paraId="2BE94D7B" w14:textId="77777777" w:rsidR="006D524E" w:rsidRPr="00BB0A00" w:rsidRDefault="006D524E" w:rsidP="006D524E">
      <w:r w:rsidRPr="00BB0A00">
        <w:t xml:space="preserve">I confirm that I have not used any AI tools in the research and creation of this assignment. </w:t>
      </w:r>
    </w:p>
    <w:p w14:paraId="304E322A" w14:textId="77777777" w:rsidR="006D524E" w:rsidRPr="00BB0A00" w:rsidRDefault="006D524E" w:rsidP="006D524E">
      <w:r w:rsidRPr="00BB0A00">
        <w:t xml:space="preserve">I confirm that I have not presented any AI generated materials as my own work. </w:t>
      </w:r>
    </w:p>
    <w:p w14:paraId="42E73DDD" w14:textId="77777777" w:rsidR="006D524E" w:rsidRPr="00BB0A00" w:rsidRDefault="006D524E" w:rsidP="006D524E">
      <w:r w:rsidRPr="00BB0A00">
        <w:t>I confirm that I have copies of my drafts, notes, and other resources I used, which I may be asked to provide in evidence.</w:t>
      </w:r>
    </w:p>
    <w:p w14:paraId="14066E2A" w14:textId="77777777" w:rsidR="006D524E" w:rsidRPr="00BB0A00" w:rsidRDefault="006D524E">
      <w:pPr>
        <w:rPr>
          <w:sz w:val="24"/>
          <w:szCs w:val="24"/>
          <w:u w:val="single"/>
        </w:rPr>
      </w:pPr>
      <w:r w:rsidRPr="00BB0A00">
        <w:rPr>
          <w:sz w:val="24"/>
          <w:szCs w:val="24"/>
          <w:u w:val="single"/>
        </w:rPr>
        <w:br w:type="page"/>
      </w:r>
    </w:p>
    <w:sdt>
      <w:sdtPr>
        <w:rPr>
          <w:rFonts w:ascii="Arial" w:eastAsia="Arial" w:hAnsi="Arial" w:cs="Arial"/>
          <w:color w:val="auto"/>
          <w:sz w:val="22"/>
          <w:szCs w:val="22"/>
          <w:lang w:val="en-GB" w:eastAsia="en-GB"/>
        </w:rPr>
        <w:id w:val="620266752"/>
        <w:docPartObj>
          <w:docPartGallery w:val="Table of Contents"/>
          <w:docPartUnique/>
        </w:docPartObj>
      </w:sdtPr>
      <w:sdtEndPr>
        <w:rPr>
          <w:b/>
          <w:bCs/>
        </w:rPr>
      </w:sdtEndPr>
      <w:sdtContent>
        <w:p w14:paraId="790F39BD" w14:textId="6B46B435" w:rsidR="006D524E" w:rsidRPr="00BB0A00" w:rsidRDefault="006D524E">
          <w:pPr>
            <w:pStyle w:val="TOCHeading"/>
            <w:rPr>
              <w:lang w:val="en-GB"/>
            </w:rPr>
          </w:pPr>
          <w:r w:rsidRPr="00BB0A00">
            <w:rPr>
              <w:lang w:val="en-GB"/>
            </w:rPr>
            <w:t>Contents</w:t>
          </w:r>
        </w:p>
        <w:p w14:paraId="1EDC0904" w14:textId="6D710038" w:rsidR="006D524E" w:rsidRPr="00BB0A00" w:rsidRDefault="006D524E">
          <w:pPr>
            <w:pStyle w:val="TOC1"/>
            <w:tabs>
              <w:tab w:val="right" w:leader="dot" w:pos="9350"/>
            </w:tabs>
            <w:rPr>
              <w:rFonts w:asciiTheme="minorHAnsi" w:eastAsiaTheme="minorEastAsia" w:hAnsiTheme="minorHAnsi" w:cstheme="minorBidi"/>
              <w:kern w:val="2"/>
              <w:sz w:val="24"/>
              <w:szCs w:val="24"/>
              <w14:ligatures w14:val="standardContextual"/>
            </w:rPr>
          </w:pPr>
          <w:r w:rsidRPr="00BB0A00">
            <w:fldChar w:fldCharType="begin"/>
          </w:r>
          <w:r w:rsidRPr="00BB0A00">
            <w:instrText xml:space="preserve"> TOC \o "1-3" \h \z \u </w:instrText>
          </w:r>
          <w:r w:rsidRPr="00BB0A00">
            <w:fldChar w:fldCharType="separate"/>
          </w:r>
          <w:hyperlink w:anchor="_Toc228222281" w:history="1">
            <w:r w:rsidRPr="00BB0A00">
              <w:rPr>
                <w:rStyle w:val="Hyperlink"/>
              </w:rPr>
              <w:t>1. Research context and questions</w:t>
            </w:r>
            <w:r w:rsidRPr="00BB0A00">
              <w:rPr>
                <w:webHidden/>
              </w:rPr>
              <w:tab/>
            </w:r>
            <w:r w:rsidRPr="00BB0A00">
              <w:rPr>
                <w:webHidden/>
              </w:rPr>
              <w:fldChar w:fldCharType="begin"/>
            </w:r>
            <w:r w:rsidRPr="00BB0A00">
              <w:rPr>
                <w:webHidden/>
              </w:rPr>
              <w:instrText xml:space="preserve"> PAGEREF _Toc228222281 \h </w:instrText>
            </w:r>
            <w:r w:rsidRPr="00BB0A00">
              <w:rPr>
                <w:webHidden/>
              </w:rPr>
            </w:r>
            <w:r w:rsidRPr="00BB0A00">
              <w:rPr>
                <w:webHidden/>
              </w:rPr>
              <w:fldChar w:fldCharType="separate"/>
            </w:r>
            <w:r w:rsidRPr="00BB0A00">
              <w:rPr>
                <w:webHidden/>
              </w:rPr>
              <w:t>3</w:t>
            </w:r>
            <w:r w:rsidRPr="00BB0A00">
              <w:rPr>
                <w:webHidden/>
              </w:rPr>
              <w:fldChar w:fldCharType="end"/>
            </w:r>
          </w:hyperlink>
        </w:p>
        <w:p w14:paraId="7A529D17" w14:textId="796CA11F" w:rsidR="006D524E" w:rsidRPr="00BB0A00" w:rsidRDefault="006D524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228222282" w:history="1">
            <w:r w:rsidRPr="00BB0A00">
              <w:rPr>
                <w:rStyle w:val="Hyperlink"/>
              </w:rPr>
              <w:t>2. Research Design and Methodology</w:t>
            </w:r>
            <w:r w:rsidRPr="00BB0A00">
              <w:rPr>
                <w:webHidden/>
              </w:rPr>
              <w:tab/>
            </w:r>
            <w:r w:rsidRPr="00BB0A00">
              <w:rPr>
                <w:webHidden/>
              </w:rPr>
              <w:fldChar w:fldCharType="begin"/>
            </w:r>
            <w:r w:rsidRPr="00BB0A00">
              <w:rPr>
                <w:webHidden/>
              </w:rPr>
              <w:instrText xml:space="preserve"> PAGEREF _Toc228222282 \h </w:instrText>
            </w:r>
            <w:r w:rsidRPr="00BB0A00">
              <w:rPr>
                <w:webHidden/>
              </w:rPr>
            </w:r>
            <w:r w:rsidRPr="00BB0A00">
              <w:rPr>
                <w:webHidden/>
              </w:rPr>
              <w:fldChar w:fldCharType="separate"/>
            </w:r>
            <w:r w:rsidRPr="00BB0A00">
              <w:rPr>
                <w:webHidden/>
              </w:rPr>
              <w:t>4</w:t>
            </w:r>
            <w:r w:rsidRPr="00BB0A00">
              <w:rPr>
                <w:webHidden/>
              </w:rPr>
              <w:fldChar w:fldCharType="end"/>
            </w:r>
          </w:hyperlink>
        </w:p>
        <w:p w14:paraId="4E6175DD" w14:textId="34DFBB91" w:rsidR="006D524E" w:rsidRPr="00BB0A00" w:rsidRDefault="006D524E">
          <w:pPr>
            <w:pStyle w:val="TOC2"/>
            <w:tabs>
              <w:tab w:val="right" w:leader="dot" w:pos="9350"/>
            </w:tabs>
            <w:rPr>
              <w:rFonts w:asciiTheme="minorHAnsi" w:eastAsiaTheme="minorEastAsia" w:hAnsiTheme="minorHAnsi" w:cstheme="minorBidi"/>
              <w:kern w:val="2"/>
              <w:sz w:val="24"/>
              <w:szCs w:val="24"/>
              <w14:ligatures w14:val="standardContextual"/>
            </w:rPr>
          </w:pPr>
          <w:hyperlink w:anchor="_Toc228222283" w:history="1">
            <w:r w:rsidRPr="00BB0A00">
              <w:rPr>
                <w:rStyle w:val="Hyperlink"/>
              </w:rPr>
              <w:t>2.1 Philosophical Worldview</w:t>
            </w:r>
            <w:r w:rsidRPr="00BB0A00">
              <w:rPr>
                <w:webHidden/>
              </w:rPr>
              <w:tab/>
            </w:r>
            <w:r w:rsidRPr="00BB0A00">
              <w:rPr>
                <w:webHidden/>
              </w:rPr>
              <w:fldChar w:fldCharType="begin"/>
            </w:r>
            <w:r w:rsidRPr="00BB0A00">
              <w:rPr>
                <w:webHidden/>
              </w:rPr>
              <w:instrText xml:space="preserve"> PAGEREF _Toc228222283 \h </w:instrText>
            </w:r>
            <w:r w:rsidRPr="00BB0A00">
              <w:rPr>
                <w:webHidden/>
              </w:rPr>
            </w:r>
            <w:r w:rsidRPr="00BB0A00">
              <w:rPr>
                <w:webHidden/>
              </w:rPr>
              <w:fldChar w:fldCharType="separate"/>
            </w:r>
            <w:r w:rsidRPr="00BB0A00">
              <w:rPr>
                <w:webHidden/>
              </w:rPr>
              <w:t>4</w:t>
            </w:r>
            <w:r w:rsidRPr="00BB0A00">
              <w:rPr>
                <w:webHidden/>
              </w:rPr>
              <w:fldChar w:fldCharType="end"/>
            </w:r>
          </w:hyperlink>
        </w:p>
        <w:p w14:paraId="0BF37887" w14:textId="4AC67A23" w:rsidR="006D524E" w:rsidRPr="00BB0A00" w:rsidRDefault="006D524E">
          <w:pPr>
            <w:pStyle w:val="TOC2"/>
            <w:tabs>
              <w:tab w:val="right" w:leader="dot" w:pos="9350"/>
            </w:tabs>
            <w:rPr>
              <w:rFonts w:asciiTheme="minorHAnsi" w:eastAsiaTheme="minorEastAsia" w:hAnsiTheme="minorHAnsi" w:cstheme="minorBidi"/>
              <w:kern w:val="2"/>
              <w:sz w:val="24"/>
              <w:szCs w:val="24"/>
              <w14:ligatures w14:val="standardContextual"/>
            </w:rPr>
          </w:pPr>
          <w:hyperlink w:anchor="_Toc228222284" w:history="1">
            <w:r w:rsidRPr="00BB0A00">
              <w:rPr>
                <w:rStyle w:val="Hyperlink"/>
              </w:rPr>
              <w:t>2.2 Research Approach and Methodology</w:t>
            </w:r>
            <w:r w:rsidRPr="00BB0A00">
              <w:rPr>
                <w:webHidden/>
              </w:rPr>
              <w:tab/>
            </w:r>
            <w:r w:rsidRPr="00BB0A00">
              <w:rPr>
                <w:webHidden/>
              </w:rPr>
              <w:fldChar w:fldCharType="begin"/>
            </w:r>
            <w:r w:rsidRPr="00BB0A00">
              <w:rPr>
                <w:webHidden/>
              </w:rPr>
              <w:instrText xml:space="preserve"> PAGEREF _Toc228222284 \h </w:instrText>
            </w:r>
            <w:r w:rsidRPr="00BB0A00">
              <w:rPr>
                <w:webHidden/>
              </w:rPr>
            </w:r>
            <w:r w:rsidRPr="00BB0A00">
              <w:rPr>
                <w:webHidden/>
              </w:rPr>
              <w:fldChar w:fldCharType="separate"/>
            </w:r>
            <w:r w:rsidRPr="00BB0A00">
              <w:rPr>
                <w:webHidden/>
              </w:rPr>
              <w:t>6</w:t>
            </w:r>
            <w:r w:rsidRPr="00BB0A00">
              <w:rPr>
                <w:webHidden/>
              </w:rPr>
              <w:fldChar w:fldCharType="end"/>
            </w:r>
          </w:hyperlink>
        </w:p>
        <w:p w14:paraId="16639356" w14:textId="66E15C17" w:rsidR="006D524E" w:rsidRPr="00BB0A00" w:rsidRDefault="006D524E">
          <w:pPr>
            <w:pStyle w:val="TOC2"/>
            <w:tabs>
              <w:tab w:val="right" w:leader="dot" w:pos="9350"/>
            </w:tabs>
            <w:rPr>
              <w:rFonts w:asciiTheme="minorHAnsi" w:eastAsiaTheme="minorEastAsia" w:hAnsiTheme="minorHAnsi" w:cstheme="minorBidi"/>
              <w:kern w:val="2"/>
              <w:sz w:val="24"/>
              <w:szCs w:val="24"/>
              <w14:ligatures w14:val="standardContextual"/>
            </w:rPr>
          </w:pPr>
          <w:hyperlink w:anchor="_Toc228222285" w:history="1">
            <w:r w:rsidRPr="00BB0A00">
              <w:rPr>
                <w:rStyle w:val="Hyperlink"/>
              </w:rPr>
              <w:t>2.3 Research Strategy</w:t>
            </w:r>
            <w:r w:rsidRPr="00BB0A00">
              <w:rPr>
                <w:webHidden/>
              </w:rPr>
              <w:tab/>
            </w:r>
            <w:r w:rsidRPr="00BB0A00">
              <w:rPr>
                <w:webHidden/>
              </w:rPr>
              <w:fldChar w:fldCharType="begin"/>
            </w:r>
            <w:r w:rsidRPr="00BB0A00">
              <w:rPr>
                <w:webHidden/>
              </w:rPr>
              <w:instrText xml:space="preserve"> PAGEREF _Toc228222285 \h </w:instrText>
            </w:r>
            <w:r w:rsidRPr="00BB0A00">
              <w:rPr>
                <w:webHidden/>
              </w:rPr>
            </w:r>
            <w:r w:rsidRPr="00BB0A00">
              <w:rPr>
                <w:webHidden/>
              </w:rPr>
              <w:fldChar w:fldCharType="separate"/>
            </w:r>
            <w:r w:rsidRPr="00BB0A00">
              <w:rPr>
                <w:webHidden/>
              </w:rPr>
              <w:t>7</w:t>
            </w:r>
            <w:r w:rsidRPr="00BB0A00">
              <w:rPr>
                <w:webHidden/>
              </w:rPr>
              <w:fldChar w:fldCharType="end"/>
            </w:r>
          </w:hyperlink>
        </w:p>
        <w:p w14:paraId="0517F7E1" w14:textId="27B7C13E" w:rsidR="006D524E" w:rsidRPr="00BB0A00" w:rsidRDefault="006D524E">
          <w:pPr>
            <w:pStyle w:val="TOC2"/>
            <w:tabs>
              <w:tab w:val="right" w:leader="dot" w:pos="9350"/>
            </w:tabs>
            <w:rPr>
              <w:rFonts w:asciiTheme="minorHAnsi" w:eastAsiaTheme="minorEastAsia" w:hAnsiTheme="minorHAnsi" w:cstheme="minorBidi"/>
              <w:kern w:val="2"/>
              <w:sz w:val="24"/>
              <w:szCs w:val="24"/>
              <w14:ligatures w14:val="standardContextual"/>
            </w:rPr>
          </w:pPr>
          <w:hyperlink w:anchor="_Toc228222286" w:history="1">
            <w:r w:rsidRPr="00BB0A00">
              <w:rPr>
                <w:rStyle w:val="Hyperlink"/>
              </w:rPr>
              <w:t>2.4 Positionality</w:t>
            </w:r>
            <w:r w:rsidRPr="00BB0A00">
              <w:rPr>
                <w:webHidden/>
              </w:rPr>
              <w:tab/>
            </w:r>
            <w:r w:rsidRPr="00BB0A00">
              <w:rPr>
                <w:webHidden/>
              </w:rPr>
              <w:fldChar w:fldCharType="begin"/>
            </w:r>
            <w:r w:rsidRPr="00BB0A00">
              <w:rPr>
                <w:webHidden/>
              </w:rPr>
              <w:instrText xml:space="preserve"> PAGEREF _Toc228222286 \h </w:instrText>
            </w:r>
            <w:r w:rsidRPr="00BB0A00">
              <w:rPr>
                <w:webHidden/>
              </w:rPr>
            </w:r>
            <w:r w:rsidRPr="00BB0A00">
              <w:rPr>
                <w:webHidden/>
              </w:rPr>
              <w:fldChar w:fldCharType="separate"/>
            </w:r>
            <w:r w:rsidRPr="00BB0A00">
              <w:rPr>
                <w:webHidden/>
              </w:rPr>
              <w:t>8</w:t>
            </w:r>
            <w:r w:rsidRPr="00BB0A00">
              <w:rPr>
                <w:webHidden/>
              </w:rPr>
              <w:fldChar w:fldCharType="end"/>
            </w:r>
          </w:hyperlink>
        </w:p>
        <w:p w14:paraId="038D179B" w14:textId="1072BECB" w:rsidR="006D524E" w:rsidRPr="00BB0A00" w:rsidRDefault="006D524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228222287" w:history="1">
            <w:r w:rsidRPr="00BB0A00">
              <w:rPr>
                <w:rStyle w:val="Hyperlink"/>
              </w:rPr>
              <w:t>3. Research Methods and Tools</w:t>
            </w:r>
            <w:r w:rsidRPr="00BB0A00">
              <w:rPr>
                <w:webHidden/>
              </w:rPr>
              <w:tab/>
            </w:r>
            <w:r w:rsidRPr="00BB0A00">
              <w:rPr>
                <w:webHidden/>
              </w:rPr>
              <w:fldChar w:fldCharType="begin"/>
            </w:r>
            <w:r w:rsidRPr="00BB0A00">
              <w:rPr>
                <w:webHidden/>
              </w:rPr>
              <w:instrText xml:space="preserve"> PAGEREF _Toc228222287 \h </w:instrText>
            </w:r>
            <w:r w:rsidRPr="00BB0A00">
              <w:rPr>
                <w:webHidden/>
              </w:rPr>
            </w:r>
            <w:r w:rsidRPr="00BB0A00">
              <w:rPr>
                <w:webHidden/>
              </w:rPr>
              <w:fldChar w:fldCharType="separate"/>
            </w:r>
            <w:r w:rsidRPr="00BB0A00">
              <w:rPr>
                <w:webHidden/>
              </w:rPr>
              <w:t>8</w:t>
            </w:r>
            <w:r w:rsidRPr="00BB0A00">
              <w:rPr>
                <w:webHidden/>
              </w:rPr>
              <w:fldChar w:fldCharType="end"/>
            </w:r>
          </w:hyperlink>
        </w:p>
        <w:p w14:paraId="56CF56DF" w14:textId="41D0D7BA" w:rsidR="006D524E" w:rsidRPr="00BB0A00" w:rsidRDefault="006D524E">
          <w:pPr>
            <w:pStyle w:val="TOC2"/>
            <w:tabs>
              <w:tab w:val="right" w:leader="dot" w:pos="9350"/>
            </w:tabs>
            <w:rPr>
              <w:rFonts w:asciiTheme="minorHAnsi" w:eastAsiaTheme="minorEastAsia" w:hAnsiTheme="minorHAnsi" w:cstheme="minorBidi"/>
              <w:kern w:val="2"/>
              <w:sz w:val="24"/>
              <w:szCs w:val="24"/>
              <w14:ligatures w14:val="standardContextual"/>
            </w:rPr>
          </w:pPr>
          <w:hyperlink w:anchor="_Toc228222288" w:history="1">
            <w:r w:rsidRPr="00BB0A00">
              <w:rPr>
                <w:rStyle w:val="Hyperlink"/>
              </w:rPr>
              <w:t>3.1 Sample and context</w:t>
            </w:r>
            <w:r w:rsidRPr="00BB0A00">
              <w:rPr>
                <w:webHidden/>
              </w:rPr>
              <w:tab/>
            </w:r>
            <w:r w:rsidRPr="00BB0A00">
              <w:rPr>
                <w:webHidden/>
              </w:rPr>
              <w:fldChar w:fldCharType="begin"/>
            </w:r>
            <w:r w:rsidRPr="00BB0A00">
              <w:rPr>
                <w:webHidden/>
              </w:rPr>
              <w:instrText xml:space="preserve"> PAGEREF _Toc228222288 \h </w:instrText>
            </w:r>
            <w:r w:rsidRPr="00BB0A00">
              <w:rPr>
                <w:webHidden/>
              </w:rPr>
            </w:r>
            <w:r w:rsidRPr="00BB0A00">
              <w:rPr>
                <w:webHidden/>
              </w:rPr>
              <w:fldChar w:fldCharType="separate"/>
            </w:r>
            <w:r w:rsidRPr="00BB0A00">
              <w:rPr>
                <w:webHidden/>
              </w:rPr>
              <w:t>9</w:t>
            </w:r>
            <w:r w:rsidRPr="00BB0A00">
              <w:rPr>
                <w:webHidden/>
              </w:rPr>
              <w:fldChar w:fldCharType="end"/>
            </w:r>
          </w:hyperlink>
        </w:p>
        <w:p w14:paraId="6B448060" w14:textId="46AA6D7E" w:rsidR="006D524E" w:rsidRPr="00BB0A00" w:rsidRDefault="006D524E">
          <w:pPr>
            <w:pStyle w:val="TOC2"/>
            <w:tabs>
              <w:tab w:val="right" w:leader="dot" w:pos="9350"/>
            </w:tabs>
            <w:rPr>
              <w:rFonts w:asciiTheme="minorHAnsi" w:eastAsiaTheme="minorEastAsia" w:hAnsiTheme="minorHAnsi" w:cstheme="minorBidi"/>
              <w:kern w:val="2"/>
              <w:sz w:val="24"/>
              <w:szCs w:val="24"/>
              <w14:ligatures w14:val="standardContextual"/>
            </w:rPr>
          </w:pPr>
          <w:hyperlink w:anchor="_Toc228222289" w:history="1">
            <w:r w:rsidRPr="00BB0A00">
              <w:rPr>
                <w:rStyle w:val="Hyperlink"/>
              </w:rPr>
              <w:t>3.2 Data collection: Pupils</w:t>
            </w:r>
            <w:r w:rsidRPr="00BB0A00">
              <w:rPr>
                <w:webHidden/>
              </w:rPr>
              <w:tab/>
            </w:r>
            <w:r w:rsidRPr="00BB0A00">
              <w:rPr>
                <w:webHidden/>
              </w:rPr>
              <w:fldChar w:fldCharType="begin"/>
            </w:r>
            <w:r w:rsidRPr="00BB0A00">
              <w:rPr>
                <w:webHidden/>
              </w:rPr>
              <w:instrText xml:space="preserve"> PAGEREF _Toc228222289 \h </w:instrText>
            </w:r>
            <w:r w:rsidRPr="00BB0A00">
              <w:rPr>
                <w:webHidden/>
              </w:rPr>
            </w:r>
            <w:r w:rsidRPr="00BB0A00">
              <w:rPr>
                <w:webHidden/>
              </w:rPr>
              <w:fldChar w:fldCharType="separate"/>
            </w:r>
            <w:r w:rsidRPr="00BB0A00">
              <w:rPr>
                <w:webHidden/>
              </w:rPr>
              <w:t>10</w:t>
            </w:r>
            <w:r w:rsidRPr="00BB0A00">
              <w:rPr>
                <w:webHidden/>
              </w:rPr>
              <w:fldChar w:fldCharType="end"/>
            </w:r>
          </w:hyperlink>
        </w:p>
        <w:p w14:paraId="3DFDDB23" w14:textId="4C935E42" w:rsidR="006D524E" w:rsidRPr="00BB0A00" w:rsidRDefault="006D524E">
          <w:pPr>
            <w:pStyle w:val="TOC2"/>
            <w:tabs>
              <w:tab w:val="right" w:leader="dot" w:pos="9350"/>
            </w:tabs>
            <w:rPr>
              <w:rFonts w:asciiTheme="minorHAnsi" w:eastAsiaTheme="minorEastAsia" w:hAnsiTheme="minorHAnsi" w:cstheme="minorBidi"/>
              <w:kern w:val="2"/>
              <w:sz w:val="24"/>
              <w:szCs w:val="24"/>
              <w14:ligatures w14:val="standardContextual"/>
            </w:rPr>
          </w:pPr>
          <w:hyperlink w:anchor="_Toc228222290" w:history="1">
            <w:r w:rsidRPr="00BB0A00">
              <w:rPr>
                <w:rStyle w:val="Hyperlink"/>
              </w:rPr>
              <w:t>3.3 Data collection: Teachers</w:t>
            </w:r>
            <w:r w:rsidRPr="00BB0A00">
              <w:rPr>
                <w:webHidden/>
              </w:rPr>
              <w:tab/>
            </w:r>
            <w:r w:rsidRPr="00BB0A00">
              <w:rPr>
                <w:webHidden/>
              </w:rPr>
              <w:fldChar w:fldCharType="begin"/>
            </w:r>
            <w:r w:rsidRPr="00BB0A00">
              <w:rPr>
                <w:webHidden/>
              </w:rPr>
              <w:instrText xml:space="preserve"> PAGEREF _Toc228222290 \h </w:instrText>
            </w:r>
            <w:r w:rsidRPr="00BB0A00">
              <w:rPr>
                <w:webHidden/>
              </w:rPr>
            </w:r>
            <w:r w:rsidRPr="00BB0A00">
              <w:rPr>
                <w:webHidden/>
              </w:rPr>
              <w:fldChar w:fldCharType="separate"/>
            </w:r>
            <w:r w:rsidRPr="00BB0A00">
              <w:rPr>
                <w:webHidden/>
              </w:rPr>
              <w:t>11</w:t>
            </w:r>
            <w:r w:rsidRPr="00BB0A00">
              <w:rPr>
                <w:webHidden/>
              </w:rPr>
              <w:fldChar w:fldCharType="end"/>
            </w:r>
          </w:hyperlink>
        </w:p>
        <w:p w14:paraId="4ECC95B8" w14:textId="622FC83B" w:rsidR="006D524E" w:rsidRPr="00BB0A00" w:rsidRDefault="006D524E">
          <w:pPr>
            <w:pStyle w:val="TOC2"/>
            <w:tabs>
              <w:tab w:val="right" w:leader="dot" w:pos="9350"/>
            </w:tabs>
            <w:rPr>
              <w:rFonts w:asciiTheme="minorHAnsi" w:eastAsiaTheme="minorEastAsia" w:hAnsiTheme="minorHAnsi" w:cstheme="minorBidi"/>
              <w:kern w:val="2"/>
              <w:sz w:val="24"/>
              <w:szCs w:val="24"/>
              <w14:ligatures w14:val="standardContextual"/>
            </w:rPr>
          </w:pPr>
          <w:hyperlink w:anchor="_Toc228222291" w:history="1">
            <w:r w:rsidRPr="00BB0A00">
              <w:rPr>
                <w:rStyle w:val="Hyperlink"/>
              </w:rPr>
              <w:t>3.4 Ethical considerations</w:t>
            </w:r>
            <w:r w:rsidRPr="00BB0A00">
              <w:rPr>
                <w:webHidden/>
              </w:rPr>
              <w:tab/>
            </w:r>
            <w:r w:rsidRPr="00BB0A00">
              <w:rPr>
                <w:webHidden/>
              </w:rPr>
              <w:fldChar w:fldCharType="begin"/>
            </w:r>
            <w:r w:rsidRPr="00BB0A00">
              <w:rPr>
                <w:webHidden/>
              </w:rPr>
              <w:instrText xml:space="preserve"> PAGEREF _Toc228222291 \h </w:instrText>
            </w:r>
            <w:r w:rsidRPr="00BB0A00">
              <w:rPr>
                <w:webHidden/>
              </w:rPr>
            </w:r>
            <w:r w:rsidRPr="00BB0A00">
              <w:rPr>
                <w:webHidden/>
              </w:rPr>
              <w:fldChar w:fldCharType="separate"/>
            </w:r>
            <w:r w:rsidRPr="00BB0A00">
              <w:rPr>
                <w:webHidden/>
              </w:rPr>
              <w:t>12</w:t>
            </w:r>
            <w:r w:rsidRPr="00BB0A00">
              <w:rPr>
                <w:webHidden/>
              </w:rPr>
              <w:fldChar w:fldCharType="end"/>
            </w:r>
          </w:hyperlink>
        </w:p>
        <w:p w14:paraId="1998A30A" w14:textId="44A3737A" w:rsidR="006D524E" w:rsidRPr="00BB0A00" w:rsidRDefault="006D524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228222292" w:history="1">
            <w:r w:rsidRPr="00BB0A00">
              <w:rPr>
                <w:rStyle w:val="Hyperlink"/>
              </w:rPr>
              <w:t>4. Data Analysis</w:t>
            </w:r>
            <w:r w:rsidRPr="00BB0A00">
              <w:rPr>
                <w:webHidden/>
              </w:rPr>
              <w:tab/>
            </w:r>
            <w:r w:rsidRPr="00BB0A00">
              <w:rPr>
                <w:webHidden/>
              </w:rPr>
              <w:fldChar w:fldCharType="begin"/>
            </w:r>
            <w:r w:rsidRPr="00BB0A00">
              <w:rPr>
                <w:webHidden/>
              </w:rPr>
              <w:instrText xml:space="preserve"> PAGEREF _Toc228222292 \h </w:instrText>
            </w:r>
            <w:r w:rsidRPr="00BB0A00">
              <w:rPr>
                <w:webHidden/>
              </w:rPr>
            </w:r>
            <w:r w:rsidRPr="00BB0A00">
              <w:rPr>
                <w:webHidden/>
              </w:rPr>
              <w:fldChar w:fldCharType="separate"/>
            </w:r>
            <w:r w:rsidRPr="00BB0A00">
              <w:rPr>
                <w:webHidden/>
              </w:rPr>
              <w:t>13</w:t>
            </w:r>
            <w:r w:rsidRPr="00BB0A00">
              <w:rPr>
                <w:webHidden/>
              </w:rPr>
              <w:fldChar w:fldCharType="end"/>
            </w:r>
          </w:hyperlink>
        </w:p>
        <w:p w14:paraId="0FB37F64" w14:textId="6F5A7634" w:rsidR="006D524E" w:rsidRPr="00BB0A00" w:rsidRDefault="006D524E">
          <w:pPr>
            <w:pStyle w:val="TOC1"/>
            <w:tabs>
              <w:tab w:val="right" w:leader="dot" w:pos="9350"/>
            </w:tabs>
            <w:rPr>
              <w:rFonts w:asciiTheme="minorHAnsi" w:eastAsiaTheme="minorEastAsia" w:hAnsiTheme="minorHAnsi" w:cstheme="minorBidi"/>
              <w:kern w:val="2"/>
              <w:sz w:val="24"/>
              <w:szCs w:val="24"/>
              <w14:ligatures w14:val="standardContextual"/>
            </w:rPr>
          </w:pPr>
          <w:hyperlink w:anchor="_Toc228222293" w:history="1">
            <w:r w:rsidRPr="00BB0A00">
              <w:rPr>
                <w:rStyle w:val="Hyperlink"/>
              </w:rPr>
              <w:t>5. Conclusion</w:t>
            </w:r>
            <w:r w:rsidRPr="00BB0A00">
              <w:rPr>
                <w:webHidden/>
              </w:rPr>
              <w:tab/>
            </w:r>
            <w:r w:rsidRPr="00BB0A00">
              <w:rPr>
                <w:webHidden/>
              </w:rPr>
              <w:fldChar w:fldCharType="begin"/>
            </w:r>
            <w:r w:rsidRPr="00BB0A00">
              <w:rPr>
                <w:webHidden/>
              </w:rPr>
              <w:instrText xml:space="preserve"> PAGEREF _Toc228222293 \h </w:instrText>
            </w:r>
            <w:r w:rsidRPr="00BB0A00">
              <w:rPr>
                <w:webHidden/>
              </w:rPr>
            </w:r>
            <w:r w:rsidRPr="00BB0A00">
              <w:rPr>
                <w:webHidden/>
              </w:rPr>
              <w:fldChar w:fldCharType="separate"/>
            </w:r>
            <w:r w:rsidRPr="00BB0A00">
              <w:rPr>
                <w:webHidden/>
              </w:rPr>
              <w:t>15</w:t>
            </w:r>
            <w:r w:rsidRPr="00BB0A00">
              <w:rPr>
                <w:webHidden/>
              </w:rPr>
              <w:fldChar w:fldCharType="end"/>
            </w:r>
          </w:hyperlink>
        </w:p>
        <w:p w14:paraId="742AE11D" w14:textId="499147B5" w:rsidR="006D524E" w:rsidRPr="00BB0A00" w:rsidRDefault="006D524E">
          <w:pPr>
            <w:pStyle w:val="TOC2"/>
            <w:tabs>
              <w:tab w:val="right" w:leader="dot" w:pos="9350"/>
            </w:tabs>
            <w:rPr>
              <w:rFonts w:asciiTheme="minorHAnsi" w:eastAsiaTheme="minorEastAsia" w:hAnsiTheme="minorHAnsi" w:cstheme="minorBidi"/>
              <w:kern w:val="2"/>
              <w:sz w:val="24"/>
              <w:szCs w:val="24"/>
              <w14:ligatures w14:val="standardContextual"/>
            </w:rPr>
          </w:pPr>
          <w:hyperlink w:anchor="_Toc228222294" w:history="1">
            <w:r w:rsidRPr="00BB0A00">
              <w:rPr>
                <w:rStyle w:val="Hyperlink"/>
              </w:rPr>
              <w:t>References:</w:t>
            </w:r>
            <w:r w:rsidRPr="00BB0A00">
              <w:rPr>
                <w:webHidden/>
              </w:rPr>
              <w:tab/>
            </w:r>
            <w:r w:rsidRPr="00BB0A00">
              <w:rPr>
                <w:webHidden/>
              </w:rPr>
              <w:fldChar w:fldCharType="begin"/>
            </w:r>
            <w:r w:rsidRPr="00BB0A00">
              <w:rPr>
                <w:webHidden/>
              </w:rPr>
              <w:instrText xml:space="preserve"> PAGEREF _Toc228222294 \h </w:instrText>
            </w:r>
            <w:r w:rsidRPr="00BB0A00">
              <w:rPr>
                <w:webHidden/>
              </w:rPr>
            </w:r>
            <w:r w:rsidRPr="00BB0A00">
              <w:rPr>
                <w:webHidden/>
              </w:rPr>
              <w:fldChar w:fldCharType="separate"/>
            </w:r>
            <w:r w:rsidRPr="00BB0A00">
              <w:rPr>
                <w:webHidden/>
              </w:rPr>
              <w:t>16</w:t>
            </w:r>
            <w:r w:rsidRPr="00BB0A00">
              <w:rPr>
                <w:webHidden/>
              </w:rPr>
              <w:fldChar w:fldCharType="end"/>
            </w:r>
          </w:hyperlink>
        </w:p>
        <w:p w14:paraId="5826FB59" w14:textId="2C0B01CF" w:rsidR="006D524E" w:rsidRPr="00BB0A00" w:rsidRDefault="006D524E">
          <w:r w:rsidRPr="00BB0A00">
            <w:rPr>
              <w:b/>
              <w:bCs/>
            </w:rPr>
            <w:fldChar w:fldCharType="end"/>
          </w:r>
        </w:p>
      </w:sdtContent>
    </w:sdt>
    <w:p w14:paraId="4E26923A" w14:textId="3BB46EAB" w:rsidR="00C46B50" w:rsidRPr="00BB0A00" w:rsidRDefault="00233DF4">
      <w:pPr>
        <w:pStyle w:val="Heading1"/>
        <w:widowControl w:val="0"/>
        <w:spacing w:line="480" w:lineRule="auto"/>
        <w:rPr>
          <w:sz w:val="24"/>
          <w:szCs w:val="24"/>
          <w:u w:val="single"/>
        </w:rPr>
      </w:pPr>
      <w:bookmarkStart w:id="1" w:name="_Toc228222281"/>
      <w:r w:rsidRPr="00BB0A00">
        <w:rPr>
          <w:sz w:val="24"/>
          <w:szCs w:val="24"/>
          <w:u w:val="single"/>
        </w:rPr>
        <w:t>1. Research context and questions</w:t>
      </w:r>
      <w:bookmarkEnd w:id="1"/>
    </w:p>
    <w:p w14:paraId="4E26923B" w14:textId="749536C8" w:rsidR="00C46B50" w:rsidRPr="00BB0A00" w:rsidRDefault="00233DF4">
      <w:pPr>
        <w:keepNext/>
        <w:widowControl w:val="0"/>
        <w:spacing w:line="480" w:lineRule="auto"/>
        <w:rPr>
          <w:sz w:val="24"/>
          <w:szCs w:val="24"/>
        </w:rPr>
      </w:pPr>
      <w:r w:rsidRPr="00BB0A00">
        <w:rPr>
          <w:sz w:val="24"/>
          <w:szCs w:val="24"/>
        </w:rPr>
        <w:t xml:space="preserve">Since the implementation of the Curriculum for Wales (CfW), there is limited empirical understanding of </w:t>
      </w:r>
      <w:r w:rsidR="001616ED">
        <w:rPr>
          <w:sz w:val="24"/>
          <w:szCs w:val="24"/>
        </w:rPr>
        <w:t xml:space="preserve">how pupils </w:t>
      </w:r>
      <w:r w:rsidR="0040344E">
        <w:rPr>
          <w:sz w:val="24"/>
          <w:szCs w:val="24"/>
        </w:rPr>
        <w:t>experience curriculum reform in practice</w:t>
      </w:r>
      <w:r w:rsidRPr="00BB0A00">
        <w:rPr>
          <w:sz w:val="24"/>
          <w:szCs w:val="24"/>
        </w:rPr>
        <w:t xml:space="preserve">. This is </w:t>
      </w:r>
      <w:r w:rsidR="0040344E">
        <w:rPr>
          <w:sz w:val="24"/>
          <w:szCs w:val="24"/>
        </w:rPr>
        <w:t>particularly significant given</w:t>
      </w:r>
      <w:r w:rsidRPr="00BB0A00">
        <w:rPr>
          <w:sz w:val="24"/>
          <w:szCs w:val="24"/>
        </w:rPr>
        <w:t xml:space="preserve"> the curriculum’s focus on the centrality of the pupil (Welsh Government, 2020). </w:t>
      </w:r>
    </w:p>
    <w:p w14:paraId="4E26923C" w14:textId="77777777" w:rsidR="00C46B50" w:rsidRPr="00BB0A00" w:rsidRDefault="00233DF4">
      <w:pPr>
        <w:keepNext/>
        <w:widowControl w:val="0"/>
        <w:spacing w:line="480" w:lineRule="auto"/>
        <w:rPr>
          <w:sz w:val="24"/>
          <w:szCs w:val="24"/>
        </w:rPr>
      </w:pPr>
      <w:r w:rsidRPr="00BB0A00">
        <w:rPr>
          <w:sz w:val="24"/>
          <w:szCs w:val="24"/>
        </w:rPr>
        <w:t xml:space="preserve">Existing discourse largely surrounds policy (Evans, 2023), teacher perceptions (Durden-Myers </w:t>
      </w:r>
      <w:r w:rsidRPr="00BB0A00">
        <w:rPr>
          <w:i/>
          <w:iCs/>
          <w:sz w:val="24"/>
          <w:szCs w:val="24"/>
        </w:rPr>
        <w:t xml:space="preserve">et al., </w:t>
      </w:r>
      <w:r w:rsidRPr="00BB0A00">
        <w:rPr>
          <w:sz w:val="24"/>
          <w:szCs w:val="24"/>
        </w:rPr>
        <w:t xml:space="preserve">2025; Chapman </w:t>
      </w:r>
      <w:r w:rsidRPr="00BB0A00">
        <w:rPr>
          <w:i/>
          <w:iCs/>
          <w:sz w:val="24"/>
          <w:szCs w:val="24"/>
        </w:rPr>
        <w:t xml:space="preserve">et al., </w:t>
      </w:r>
      <w:r w:rsidRPr="00BB0A00">
        <w:rPr>
          <w:sz w:val="24"/>
          <w:szCs w:val="24"/>
        </w:rPr>
        <w:t xml:space="preserve">2025) or system-wide analyses (Thomas </w:t>
      </w:r>
      <w:r w:rsidRPr="00BB0A00">
        <w:rPr>
          <w:i/>
          <w:iCs/>
          <w:sz w:val="24"/>
          <w:szCs w:val="24"/>
        </w:rPr>
        <w:t xml:space="preserve">et al., </w:t>
      </w:r>
      <w:r w:rsidRPr="00BB0A00">
        <w:rPr>
          <w:sz w:val="24"/>
          <w:szCs w:val="24"/>
        </w:rPr>
        <w:t xml:space="preserve">2023; Estyn, 2025b) and there exists a gap around pupils’ lived experience of curriculum reform. </w:t>
      </w:r>
    </w:p>
    <w:p w14:paraId="4E26923D" w14:textId="375902F4" w:rsidR="00C46B50" w:rsidRPr="00BB0A00" w:rsidRDefault="00233DF4">
      <w:pPr>
        <w:keepNext/>
        <w:widowControl w:val="0"/>
        <w:spacing w:line="480" w:lineRule="auto"/>
        <w:rPr>
          <w:sz w:val="24"/>
          <w:szCs w:val="24"/>
        </w:rPr>
      </w:pPr>
      <w:r w:rsidRPr="00BB0A00">
        <w:rPr>
          <w:sz w:val="24"/>
          <w:szCs w:val="24"/>
        </w:rPr>
        <w:t>This research seeks to investigate the implementation of the CfW in secondary schools, through the lens of the pupil. By identifying how</w:t>
      </w:r>
      <w:r w:rsidR="002635D7">
        <w:rPr>
          <w:sz w:val="24"/>
          <w:szCs w:val="24"/>
        </w:rPr>
        <w:t>, and to what extent</w:t>
      </w:r>
      <w:r w:rsidRPr="00BB0A00">
        <w:rPr>
          <w:sz w:val="24"/>
          <w:szCs w:val="24"/>
        </w:rPr>
        <w:t xml:space="preserve"> departments have </w:t>
      </w:r>
      <w:r w:rsidRPr="00BB0A00">
        <w:rPr>
          <w:sz w:val="24"/>
          <w:szCs w:val="24"/>
        </w:rPr>
        <w:lastRenderedPageBreak/>
        <w:t xml:space="preserve">changed to implement the CfW, then examining how pupils perceive and experience these </w:t>
      </w:r>
      <w:r w:rsidRPr="00BB0A00">
        <w:rPr>
          <w:sz w:val="24"/>
          <w:szCs w:val="24"/>
        </w:rPr>
        <w:t>changes, I aim to gain a more nuanced understanding of the relationship between curriculum reform and pupil experience.</w:t>
      </w:r>
    </w:p>
    <w:p w14:paraId="4E26923E" w14:textId="77777777" w:rsidR="00C46B50" w:rsidRDefault="00C46B50">
      <w:pPr>
        <w:keepNext/>
        <w:widowControl w:val="0"/>
        <w:spacing w:line="480" w:lineRule="auto"/>
        <w:rPr>
          <w:sz w:val="24"/>
          <w:szCs w:val="24"/>
        </w:rPr>
      </w:pPr>
    </w:p>
    <w:p w14:paraId="50B70107" w14:textId="1900688A" w:rsidR="00B92928" w:rsidRDefault="00B92928">
      <w:pPr>
        <w:keepNext/>
        <w:widowControl w:val="0"/>
        <w:spacing w:line="480" w:lineRule="auto"/>
        <w:rPr>
          <w:sz w:val="24"/>
          <w:szCs w:val="24"/>
        </w:rPr>
      </w:pPr>
      <w:r w:rsidRPr="00B92928">
        <w:rPr>
          <w:sz w:val="24"/>
          <w:szCs w:val="24"/>
        </w:rPr>
        <w:t xml:space="preserve">This study focuses specifically on secondary mathematics education in North Wales. It examines Year </w:t>
      </w:r>
      <w:r>
        <w:rPr>
          <w:sz w:val="24"/>
          <w:szCs w:val="24"/>
        </w:rPr>
        <w:t>Nine</w:t>
      </w:r>
      <w:r w:rsidRPr="00B92928">
        <w:rPr>
          <w:sz w:val="24"/>
          <w:szCs w:val="24"/>
        </w:rPr>
        <w:t xml:space="preserve"> pupils’ experiences of learning mathematics following the introduction of the </w:t>
      </w:r>
      <w:r>
        <w:rPr>
          <w:sz w:val="24"/>
          <w:szCs w:val="24"/>
        </w:rPr>
        <w:t>CfW</w:t>
      </w:r>
      <w:r w:rsidRPr="00B92928">
        <w:rPr>
          <w:sz w:val="24"/>
          <w:szCs w:val="24"/>
        </w:rPr>
        <w:t>, while also exploring how secondary mathematics departments have interpreted and responded to the reform within their own school contexts. The research questions therefore connect pupil experience with departmental curriculum response.</w:t>
      </w:r>
    </w:p>
    <w:p w14:paraId="62BD89A9" w14:textId="77777777" w:rsidR="00B92928" w:rsidRPr="00BB0A00" w:rsidRDefault="00B92928">
      <w:pPr>
        <w:keepNext/>
        <w:widowControl w:val="0"/>
        <w:spacing w:line="480" w:lineRule="auto"/>
        <w:rPr>
          <w:sz w:val="24"/>
          <w:szCs w:val="24"/>
        </w:rPr>
      </w:pPr>
    </w:p>
    <w:p w14:paraId="4E26923F" w14:textId="77777777" w:rsidR="00C46B50" w:rsidRPr="00BB0A00" w:rsidRDefault="00233DF4">
      <w:pPr>
        <w:keepNext/>
        <w:widowControl w:val="0"/>
        <w:spacing w:line="480" w:lineRule="auto"/>
        <w:rPr>
          <w:sz w:val="24"/>
          <w:szCs w:val="24"/>
        </w:rPr>
      </w:pPr>
      <w:r w:rsidRPr="00BB0A00">
        <w:rPr>
          <w:sz w:val="24"/>
          <w:szCs w:val="24"/>
        </w:rPr>
        <w:t>The study will be guided by the following research questions:</w:t>
      </w:r>
    </w:p>
    <w:p w14:paraId="4E269240" w14:textId="77777777" w:rsidR="00C46B50" w:rsidRPr="00BB0A00" w:rsidRDefault="00233DF4">
      <w:pPr>
        <w:keepNext/>
        <w:widowControl w:val="0"/>
        <w:spacing w:line="480" w:lineRule="auto"/>
        <w:rPr>
          <w:sz w:val="24"/>
          <w:szCs w:val="24"/>
        </w:rPr>
      </w:pPr>
      <w:r w:rsidRPr="00BB0A00">
        <w:rPr>
          <w:sz w:val="24"/>
          <w:szCs w:val="24"/>
        </w:rPr>
        <w:t>Research Question 1 (RQ1): How do Year 9 pupils in secondary schools in North Wales perceive their experiences of learning mathematics following the introduction of the Curriculum for Wales?</w:t>
      </w:r>
    </w:p>
    <w:p w14:paraId="4E269242" w14:textId="270313F7" w:rsidR="00C46B50" w:rsidRPr="00BB0A00" w:rsidRDefault="00233DF4">
      <w:pPr>
        <w:keepNext/>
        <w:widowControl w:val="0"/>
        <w:spacing w:line="480" w:lineRule="auto"/>
        <w:rPr>
          <w:sz w:val="24"/>
          <w:szCs w:val="24"/>
        </w:rPr>
      </w:pPr>
      <w:r w:rsidRPr="00BB0A00">
        <w:rPr>
          <w:sz w:val="24"/>
          <w:szCs w:val="24"/>
        </w:rPr>
        <w:t>Research Question 2 (RQ2): How have secondary mathematics departments responded to the requirements of the Curriculum for Wales?</w:t>
      </w:r>
    </w:p>
    <w:p w14:paraId="4E269243" w14:textId="77777777" w:rsidR="00C46B50" w:rsidRPr="00BB0A00" w:rsidRDefault="00233DF4" w:rsidP="006D524E">
      <w:pPr>
        <w:pStyle w:val="Heading1"/>
        <w:rPr>
          <w:sz w:val="24"/>
          <w:szCs w:val="24"/>
          <w:u w:val="single"/>
        </w:rPr>
      </w:pPr>
      <w:bookmarkStart w:id="2" w:name="_Toc228222282"/>
      <w:r w:rsidRPr="00BB0A00">
        <w:rPr>
          <w:sz w:val="24"/>
          <w:szCs w:val="24"/>
          <w:u w:val="single"/>
        </w:rPr>
        <w:t>2. Research Design and Methodology</w:t>
      </w:r>
      <w:bookmarkEnd w:id="2"/>
    </w:p>
    <w:p w14:paraId="4E269244" w14:textId="7419622D" w:rsidR="00C46B50" w:rsidRPr="00BB0A00" w:rsidRDefault="00233DF4" w:rsidP="006D524E">
      <w:pPr>
        <w:widowControl w:val="0"/>
        <w:spacing w:before="240" w:after="240" w:line="480" w:lineRule="auto"/>
        <w:rPr>
          <w:sz w:val="24"/>
          <w:szCs w:val="24"/>
        </w:rPr>
      </w:pPr>
      <w:r w:rsidRPr="00BB0A00">
        <w:rPr>
          <w:sz w:val="24"/>
          <w:szCs w:val="24"/>
        </w:rPr>
        <w:t xml:space="preserve">In this section I define key terminology and concepts which underpin research </w:t>
      </w:r>
      <w:r w:rsidR="00495F7B" w:rsidRPr="00BB0A00">
        <w:rPr>
          <w:sz w:val="24"/>
          <w:szCs w:val="24"/>
        </w:rPr>
        <w:t>design and</w:t>
      </w:r>
      <w:r w:rsidRPr="00BB0A00">
        <w:rPr>
          <w:sz w:val="24"/>
          <w:szCs w:val="24"/>
        </w:rPr>
        <w:t xml:space="preserve"> explain my position in the research design framework. Then, I </w:t>
      </w:r>
      <w:r w:rsidR="00120181" w:rsidRPr="00BB0A00">
        <w:rPr>
          <w:sz w:val="24"/>
          <w:szCs w:val="24"/>
        </w:rPr>
        <w:t xml:space="preserve">will </w:t>
      </w:r>
      <w:r w:rsidRPr="00BB0A00">
        <w:rPr>
          <w:sz w:val="24"/>
          <w:szCs w:val="24"/>
        </w:rPr>
        <w:t>explain the methodology and strategy for my research.</w:t>
      </w:r>
    </w:p>
    <w:p w14:paraId="4E269245" w14:textId="77777777" w:rsidR="00C46B50" w:rsidRPr="00BB0A00" w:rsidRDefault="00233DF4">
      <w:pPr>
        <w:pStyle w:val="Heading2"/>
        <w:widowControl w:val="0"/>
        <w:spacing w:before="240" w:after="240" w:line="480" w:lineRule="auto"/>
        <w:rPr>
          <w:u w:val="single"/>
        </w:rPr>
      </w:pPr>
      <w:bookmarkStart w:id="3" w:name="_aqur9oqhgpsj" w:colFirst="0" w:colLast="0"/>
      <w:bookmarkStart w:id="4" w:name="_Toc228222283"/>
      <w:bookmarkEnd w:id="3"/>
      <w:r w:rsidRPr="00BB0A00">
        <w:rPr>
          <w:u w:val="single"/>
        </w:rPr>
        <w:lastRenderedPageBreak/>
        <w:t>2.1 Philosophical Worldview</w:t>
      </w:r>
      <w:bookmarkEnd w:id="4"/>
    </w:p>
    <w:p w14:paraId="4E269246" w14:textId="54C97C01" w:rsidR="00C46B50" w:rsidRPr="00BB0A00" w:rsidRDefault="00233DF4">
      <w:pPr>
        <w:keepNext/>
        <w:widowControl w:val="0"/>
        <w:spacing w:line="480" w:lineRule="auto"/>
        <w:rPr>
          <w:sz w:val="24"/>
          <w:szCs w:val="24"/>
        </w:rPr>
      </w:pPr>
      <w:r w:rsidRPr="00BB0A00">
        <w:rPr>
          <w:sz w:val="24"/>
          <w:szCs w:val="24"/>
        </w:rPr>
        <w:t xml:space="preserve">Terminology surrounding worldview </w:t>
      </w:r>
      <w:r w:rsidR="007942C1" w:rsidRPr="00BB0A00">
        <w:rPr>
          <w:sz w:val="24"/>
          <w:szCs w:val="24"/>
        </w:rPr>
        <w:t xml:space="preserve">in educational and social research </w:t>
      </w:r>
      <w:r w:rsidRPr="00BB0A00">
        <w:rPr>
          <w:sz w:val="24"/>
          <w:szCs w:val="24"/>
        </w:rPr>
        <w:t xml:space="preserve">is often </w:t>
      </w:r>
      <w:r w:rsidR="007942C1" w:rsidRPr="00BB0A00">
        <w:rPr>
          <w:sz w:val="24"/>
          <w:szCs w:val="24"/>
        </w:rPr>
        <w:t xml:space="preserve">used </w:t>
      </w:r>
      <w:r w:rsidRPr="00BB0A00">
        <w:rPr>
          <w:sz w:val="24"/>
          <w:szCs w:val="24"/>
        </w:rPr>
        <w:t>inconsistent</w:t>
      </w:r>
      <w:r w:rsidR="007942C1" w:rsidRPr="00BB0A00">
        <w:rPr>
          <w:sz w:val="24"/>
          <w:szCs w:val="24"/>
        </w:rPr>
        <w:t>ly</w:t>
      </w:r>
      <w:r w:rsidRPr="00BB0A00">
        <w:rPr>
          <w:sz w:val="24"/>
          <w:szCs w:val="24"/>
        </w:rPr>
        <w:t xml:space="preserve"> and </w:t>
      </w:r>
      <w:r w:rsidR="00866ED0" w:rsidRPr="00BB0A00">
        <w:rPr>
          <w:sz w:val="24"/>
          <w:szCs w:val="24"/>
        </w:rPr>
        <w:t xml:space="preserve">is </w:t>
      </w:r>
      <w:r w:rsidRPr="00BB0A00">
        <w:rPr>
          <w:sz w:val="24"/>
          <w:szCs w:val="24"/>
        </w:rPr>
        <w:t xml:space="preserve">sometimes contrary (Gray, 2018). In this section, I will use worldview to mean paradigm or research philosophy, which is how the researcher’s stance, experiences and beliefs shape how they conduct research (Bryman, 2016; Crotty, 1998). </w:t>
      </w:r>
    </w:p>
    <w:p w14:paraId="4E269247" w14:textId="29D560BA" w:rsidR="00C46B50" w:rsidRPr="00BB0A00" w:rsidRDefault="00233DF4">
      <w:pPr>
        <w:spacing w:line="480" w:lineRule="auto"/>
        <w:rPr>
          <w:sz w:val="24"/>
          <w:szCs w:val="24"/>
        </w:rPr>
      </w:pPr>
      <w:r w:rsidRPr="00BB0A00">
        <w:rPr>
          <w:sz w:val="24"/>
          <w:szCs w:val="24"/>
        </w:rPr>
        <w:t xml:space="preserve">Ontology is defined as the nature of reality (Waring, 2021; Flick, 2023; Punch and Oancea, 2014). Because of the issue of inconsistent </w:t>
      </w:r>
      <w:r w:rsidR="002C6A8F" w:rsidRPr="00BB0A00">
        <w:rPr>
          <w:sz w:val="24"/>
          <w:szCs w:val="24"/>
        </w:rPr>
        <w:t>labelling and terminology</w:t>
      </w:r>
      <w:r w:rsidRPr="00BB0A00">
        <w:rPr>
          <w:sz w:val="24"/>
          <w:szCs w:val="24"/>
        </w:rPr>
        <w:t xml:space="preserve"> (Gray, 2018) I chose the most common</w:t>
      </w:r>
      <w:r w:rsidR="002C6A8F" w:rsidRPr="00BB0A00">
        <w:rPr>
          <w:sz w:val="24"/>
          <w:szCs w:val="24"/>
        </w:rPr>
        <w:t>ly used</w:t>
      </w:r>
      <w:r w:rsidRPr="00BB0A00">
        <w:rPr>
          <w:sz w:val="24"/>
          <w:szCs w:val="24"/>
        </w:rPr>
        <w:t xml:space="preserve"> interpretations presented in </w:t>
      </w:r>
      <w:r w:rsidR="00495F7B" w:rsidRPr="00BB0A00">
        <w:rPr>
          <w:sz w:val="24"/>
          <w:szCs w:val="24"/>
        </w:rPr>
        <w:t>literature</w:t>
      </w:r>
      <w:r w:rsidRPr="00BB0A00">
        <w:rPr>
          <w:sz w:val="24"/>
          <w:szCs w:val="24"/>
        </w:rPr>
        <w:t>, as</w:t>
      </w:r>
      <w:r w:rsidR="002C6A8F" w:rsidRPr="00BB0A00">
        <w:rPr>
          <w:sz w:val="24"/>
          <w:szCs w:val="24"/>
        </w:rPr>
        <w:t xml:space="preserve"> underlying concepts</w:t>
      </w:r>
      <w:r w:rsidRPr="00BB0A00">
        <w:rPr>
          <w:sz w:val="24"/>
          <w:szCs w:val="24"/>
        </w:rPr>
        <w:t xml:space="preserve"> tend to be </w:t>
      </w:r>
      <w:r w:rsidR="002C6A8F" w:rsidRPr="00BB0A00">
        <w:rPr>
          <w:sz w:val="24"/>
          <w:szCs w:val="24"/>
        </w:rPr>
        <w:t>used in similar ways</w:t>
      </w:r>
      <w:r w:rsidRPr="00BB0A00">
        <w:rPr>
          <w:sz w:val="24"/>
          <w:szCs w:val="24"/>
        </w:rPr>
        <w:t xml:space="preserve">. Realism is the ontological perspective of a singular, measurable reality, regardless of individual perspective (Crotty, 1998; Waring, 2021), whereas relativism considers reality to differ between individuals and highlights how social actions affect reality (Bryman, 2016; Scaife, 2019). </w:t>
      </w:r>
    </w:p>
    <w:p w14:paraId="4E269248" w14:textId="77777777" w:rsidR="00C46B50" w:rsidRPr="00BB0A00" w:rsidRDefault="00C46B50">
      <w:pPr>
        <w:spacing w:line="480" w:lineRule="auto"/>
        <w:rPr>
          <w:sz w:val="24"/>
          <w:szCs w:val="24"/>
        </w:rPr>
      </w:pPr>
    </w:p>
    <w:p w14:paraId="4E269249" w14:textId="45A3D4E2" w:rsidR="00C46B50" w:rsidRPr="00BB0A00" w:rsidRDefault="00233DF4">
      <w:pPr>
        <w:spacing w:line="480" w:lineRule="auto"/>
        <w:rPr>
          <w:sz w:val="24"/>
          <w:szCs w:val="24"/>
        </w:rPr>
      </w:pPr>
      <w:r w:rsidRPr="00BB0A00">
        <w:rPr>
          <w:sz w:val="24"/>
          <w:szCs w:val="24"/>
        </w:rPr>
        <w:t xml:space="preserve">Epistemology </w:t>
      </w:r>
      <w:r w:rsidR="008D549B" w:rsidRPr="00BB0A00">
        <w:rPr>
          <w:sz w:val="24"/>
          <w:szCs w:val="24"/>
        </w:rPr>
        <w:t>theori</w:t>
      </w:r>
      <w:r w:rsidR="005C6E27" w:rsidRPr="00BB0A00">
        <w:rPr>
          <w:sz w:val="24"/>
          <w:szCs w:val="24"/>
        </w:rPr>
        <w:t>s</w:t>
      </w:r>
      <w:r w:rsidR="008D549B" w:rsidRPr="00BB0A00">
        <w:rPr>
          <w:sz w:val="24"/>
          <w:szCs w:val="24"/>
        </w:rPr>
        <w:t>es</w:t>
      </w:r>
      <w:r w:rsidRPr="00BB0A00">
        <w:rPr>
          <w:sz w:val="24"/>
          <w:szCs w:val="24"/>
        </w:rPr>
        <w:t xml:space="preserve"> how </w:t>
      </w:r>
      <w:r w:rsidR="00163597">
        <w:rPr>
          <w:sz w:val="24"/>
          <w:szCs w:val="24"/>
        </w:rPr>
        <w:t>knowledge</w:t>
      </w:r>
      <w:r w:rsidRPr="00BB0A00">
        <w:rPr>
          <w:sz w:val="24"/>
          <w:szCs w:val="24"/>
        </w:rPr>
        <w:t xml:space="preserve"> can be </w:t>
      </w:r>
      <w:r w:rsidR="00163597">
        <w:rPr>
          <w:sz w:val="24"/>
          <w:szCs w:val="24"/>
        </w:rPr>
        <w:t>understood</w:t>
      </w:r>
      <w:r w:rsidRPr="00BB0A00">
        <w:rPr>
          <w:sz w:val="24"/>
          <w:szCs w:val="24"/>
        </w:rPr>
        <w:t xml:space="preserve"> or discovered (Crotty, 1998; Cohen </w:t>
      </w:r>
      <w:r w:rsidRPr="00BB0A00">
        <w:rPr>
          <w:i/>
          <w:iCs/>
          <w:sz w:val="24"/>
          <w:szCs w:val="24"/>
        </w:rPr>
        <w:t>et al.</w:t>
      </w:r>
      <w:r w:rsidRPr="00BB0A00">
        <w:rPr>
          <w:sz w:val="24"/>
          <w:szCs w:val="24"/>
        </w:rPr>
        <w:t xml:space="preserve">, 2011). </w:t>
      </w:r>
      <w:r w:rsidR="005B40C3">
        <w:rPr>
          <w:sz w:val="24"/>
          <w:szCs w:val="24"/>
        </w:rPr>
        <w:t xml:space="preserve">This is significant in my study </w:t>
      </w:r>
      <w:r w:rsidR="00803A41">
        <w:rPr>
          <w:sz w:val="24"/>
          <w:szCs w:val="24"/>
        </w:rPr>
        <w:t xml:space="preserve">because my research is concerned with how pupils and teachers interpret their experience of mathematics and curricular reform, rather than measuring a single, objective reality. </w:t>
      </w:r>
      <w:r w:rsidRPr="00BB0A00">
        <w:rPr>
          <w:sz w:val="24"/>
          <w:szCs w:val="24"/>
        </w:rPr>
        <w:t xml:space="preserve">Positivism </w:t>
      </w:r>
      <w:r w:rsidR="00F2062F">
        <w:rPr>
          <w:sz w:val="24"/>
          <w:szCs w:val="24"/>
        </w:rPr>
        <w:t>suggests</w:t>
      </w:r>
      <w:r w:rsidRPr="00BB0A00">
        <w:rPr>
          <w:sz w:val="24"/>
          <w:szCs w:val="24"/>
        </w:rPr>
        <w:t xml:space="preserve"> knowledge can be discovered through </w:t>
      </w:r>
      <w:r w:rsidR="00AE042A">
        <w:rPr>
          <w:sz w:val="24"/>
          <w:szCs w:val="24"/>
        </w:rPr>
        <w:t>objective enquiry and measurable evidence</w:t>
      </w:r>
      <w:r w:rsidRPr="00BB0A00">
        <w:rPr>
          <w:sz w:val="24"/>
          <w:szCs w:val="24"/>
        </w:rPr>
        <w:t xml:space="preserve"> (Flick, 2023; Gray, 2018; Scaife, 2019).</w:t>
      </w:r>
      <w:r w:rsidR="00AE042A">
        <w:rPr>
          <w:sz w:val="24"/>
          <w:szCs w:val="24"/>
        </w:rPr>
        <w:t xml:space="preserve"> </w:t>
      </w:r>
      <w:r w:rsidR="007B34B1" w:rsidRPr="007B34B1">
        <w:rPr>
          <w:sz w:val="24"/>
          <w:szCs w:val="24"/>
        </w:rPr>
        <w:t xml:space="preserve">However, this is less appropriate for a study focused on perceptions, interpretations and the meanings participants attach to curriculum change. Interpretivism is more closely aligned with this study because it recognises that knowledge is shaped through individuals’ interpretations of their experiences and </w:t>
      </w:r>
      <w:r w:rsidR="007B34B1" w:rsidRPr="007B34B1">
        <w:rPr>
          <w:sz w:val="24"/>
          <w:szCs w:val="24"/>
        </w:rPr>
        <w:lastRenderedPageBreak/>
        <w:t xml:space="preserve">contexts (Thomas, 2013; Gray, 2018). </w:t>
      </w:r>
      <w:r w:rsidRPr="00BB0A00">
        <w:rPr>
          <w:sz w:val="24"/>
          <w:szCs w:val="24"/>
        </w:rPr>
        <w:t xml:space="preserve">Pragmatism is an epistemological position </w:t>
      </w:r>
      <w:r w:rsidR="008D549B" w:rsidRPr="00BB0A00">
        <w:rPr>
          <w:sz w:val="24"/>
          <w:szCs w:val="24"/>
        </w:rPr>
        <w:t>focused</w:t>
      </w:r>
      <w:r w:rsidRPr="00BB0A00">
        <w:rPr>
          <w:sz w:val="24"/>
          <w:szCs w:val="24"/>
        </w:rPr>
        <w:t xml:space="preserve"> on gaining knowledge through the most effective means to achieve research purposes (Crotty, 1998; Gray, 2018)</w:t>
      </w:r>
      <w:r w:rsidR="005B446F">
        <w:rPr>
          <w:sz w:val="24"/>
          <w:szCs w:val="24"/>
        </w:rPr>
        <w:t xml:space="preserve"> which </w:t>
      </w:r>
      <w:r w:rsidR="00900101">
        <w:rPr>
          <w:sz w:val="24"/>
          <w:szCs w:val="24"/>
        </w:rPr>
        <w:t>would allow the study to draw on the methods most suited to answering the research questions</w:t>
      </w:r>
      <w:r w:rsidRPr="00BB0A00">
        <w:rPr>
          <w:sz w:val="24"/>
          <w:szCs w:val="24"/>
        </w:rPr>
        <w:t>.</w:t>
      </w:r>
    </w:p>
    <w:p w14:paraId="4E26924A" w14:textId="77777777" w:rsidR="00C46B50" w:rsidRPr="00BB0A00" w:rsidRDefault="00C46B50">
      <w:pPr>
        <w:spacing w:line="480" w:lineRule="auto"/>
        <w:rPr>
          <w:sz w:val="24"/>
          <w:szCs w:val="24"/>
        </w:rPr>
      </w:pPr>
    </w:p>
    <w:p w14:paraId="4E26924B" w14:textId="6B39ECA2" w:rsidR="00C46B50" w:rsidRPr="00BB0A00" w:rsidRDefault="00233DF4">
      <w:pPr>
        <w:spacing w:line="480" w:lineRule="auto"/>
        <w:rPr>
          <w:sz w:val="24"/>
          <w:szCs w:val="24"/>
        </w:rPr>
      </w:pPr>
      <w:r w:rsidRPr="00BB0A00">
        <w:rPr>
          <w:sz w:val="24"/>
          <w:szCs w:val="24"/>
        </w:rPr>
        <w:t xml:space="preserve">My worldview in this research is mostly interpretivist (Crotty, 1998) </w:t>
      </w:r>
      <w:r w:rsidR="00646122" w:rsidRPr="00646122">
        <w:rPr>
          <w:sz w:val="24"/>
          <w:szCs w:val="24"/>
        </w:rPr>
        <w:t xml:space="preserve">because the study seeks to understand how pupils and teachers make sense of mathematics learning and curriculum reform within their own contexts. </w:t>
      </w:r>
      <w:r w:rsidR="00BE5F75">
        <w:rPr>
          <w:sz w:val="24"/>
          <w:szCs w:val="24"/>
        </w:rPr>
        <w:t xml:space="preserve">This means that participants interpretations are central to the research </w:t>
      </w:r>
      <w:r w:rsidRPr="00BB0A00">
        <w:rPr>
          <w:sz w:val="24"/>
          <w:szCs w:val="24"/>
        </w:rPr>
        <w:t xml:space="preserve">(Gray, 2018). </w:t>
      </w:r>
      <w:r w:rsidR="00D12605">
        <w:rPr>
          <w:sz w:val="24"/>
          <w:szCs w:val="24"/>
        </w:rPr>
        <w:t xml:space="preserve">As I am not measuring a single, objective reality or testing a hypothesis, positivism alone </w:t>
      </w:r>
      <w:r w:rsidR="00EA0129">
        <w:rPr>
          <w:sz w:val="24"/>
          <w:szCs w:val="24"/>
        </w:rPr>
        <w:t xml:space="preserve">would be inappropriate. However, using questionnaires to </w:t>
      </w:r>
      <w:r w:rsidR="006A143E">
        <w:rPr>
          <w:sz w:val="24"/>
          <w:szCs w:val="24"/>
        </w:rPr>
        <w:t>identify broader patterns implies that a</w:t>
      </w:r>
      <w:r w:rsidR="00EA1BE4">
        <w:rPr>
          <w:sz w:val="24"/>
          <w:szCs w:val="24"/>
        </w:rPr>
        <w:t xml:space="preserve"> wholly </w:t>
      </w:r>
      <w:r w:rsidR="006A143E">
        <w:rPr>
          <w:sz w:val="24"/>
          <w:szCs w:val="24"/>
        </w:rPr>
        <w:t xml:space="preserve">interpretivist position would </w:t>
      </w:r>
      <w:r w:rsidR="00EA1BE4">
        <w:rPr>
          <w:sz w:val="24"/>
          <w:szCs w:val="24"/>
        </w:rPr>
        <w:t xml:space="preserve">not be applicable either (Waring, 2021). </w:t>
      </w:r>
      <w:r w:rsidRPr="00BB0A00">
        <w:rPr>
          <w:sz w:val="24"/>
          <w:szCs w:val="24"/>
        </w:rPr>
        <w:t xml:space="preserve">Therefore, my theoretical perspective is pragmatic, using the methods and approach that best suit my research question (Punch and Oancea, 2014) and choosing what is most effective (Crotty, 1998). The study's focus on departmental </w:t>
      </w:r>
      <w:r w:rsidR="0065172E">
        <w:rPr>
          <w:sz w:val="24"/>
          <w:szCs w:val="24"/>
        </w:rPr>
        <w:t>response to CfW</w:t>
      </w:r>
      <w:r w:rsidRPr="00BB0A00">
        <w:rPr>
          <w:sz w:val="24"/>
          <w:szCs w:val="24"/>
        </w:rPr>
        <w:t xml:space="preserve">, and </w:t>
      </w:r>
      <w:r w:rsidR="00393AAB">
        <w:rPr>
          <w:sz w:val="24"/>
          <w:szCs w:val="24"/>
        </w:rPr>
        <w:t xml:space="preserve">how teachers’ and </w:t>
      </w:r>
      <w:r w:rsidRPr="00BB0A00">
        <w:rPr>
          <w:sz w:val="24"/>
          <w:szCs w:val="24"/>
        </w:rPr>
        <w:t>pupils' experience</w:t>
      </w:r>
      <w:r w:rsidR="00393AAB">
        <w:rPr>
          <w:sz w:val="24"/>
          <w:szCs w:val="24"/>
        </w:rPr>
        <w:t xml:space="preserve"> are crucial factors in </w:t>
      </w:r>
      <w:r w:rsidR="00FE4E1F">
        <w:rPr>
          <w:sz w:val="24"/>
          <w:szCs w:val="24"/>
        </w:rPr>
        <w:t xml:space="preserve">deciphering meaning in the research </w:t>
      </w:r>
      <w:r w:rsidRPr="00BB0A00">
        <w:rPr>
          <w:sz w:val="24"/>
          <w:szCs w:val="24"/>
        </w:rPr>
        <w:t xml:space="preserve">keeps the main approach interpretivist and constructionist. </w:t>
      </w:r>
    </w:p>
    <w:p w14:paraId="4E26924C" w14:textId="77777777" w:rsidR="00C46B50" w:rsidRPr="00BB0A00" w:rsidRDefault="00C46B50">
      <w:pPr>
        <w:pStyle w:val="Heading2"/>
        <w:keepNext w:val="0"/>
        <w:spacing w:line="480" w:lineRule="auto"/>
        <w:rPr>
          <w:u w:val="single"/>
        </w:rPr>
      </w:pPr>
      <w:bookmarkStart w:id="5" w:name="_yqvetc7ccsk6" w:colFirst="0" w:colLast="0"/>
      <w:bookmarkEnd w:id="5"/>
    </w:p>
    <w:p w14:paraId="4E26924D" w14:textId="77777777" w:rsidR="00C46B50" w:rsidRPr="00BB0A00" w:rsidRDefault="00233DF4">
      <w:pPr>
        <w:pStyle w:val="Heading2"/>
        <w:keepNext w:val="0"/>
        <w:spacing w:line="480" w:lineRule="auto"/>
        <w:rPr>
          <w:u w:val="single"/>
        </w:rPr>
      </w:pPr>
      <w:bookmarkStart w:id="6" w:name="_osahk952weps" w:colFirst="0" w:colLast="0"/>
      <w:bookmarkStart w:id="7" w:name="_Toc228222284"/>
      <w:bookmarkEnd w:id="6"/>
      <w:r w:rsidRPr="00BB0A00">
        <w:rPr>
          <w:u w:val="single"/>
        </w:rPr>
        <w:t>2.2 Research Approach and Methodology</w:t>
      </w:r>
      <w:bookmarkEnd w:id="7"/>
    </w:p>
    <w:p w14:paraId="4E26924F" w14:textId="2F8131C3" w:rsidR="00C46B50" w:rsidRDefault="00233DF4">
      <w:pPr>
        <w:widowControl w:val="0"/>
        <w:spacing w:line="480" w:lineRule="auto"/>
        <w:rPr>
          <w:sz w:val="24"/>
          <w:szCs w:val="24"/>
        </w:rPr>
      </w:pPr>
      <w:r w:rsidRPr="00BB0A00">
        <w:rPr>
          <w:sz w:val="24"/>
          <w:szCs w:val="24"/>
        </w:rPr>
        <w:t xml:space="preserve">The research approach is the reasoning that leads to knowledge (Thomas, 2013) and is generally classified as inductive, deductive or abductive (Bryman, 2016; Creswell, 2018). Inductive reasoning starts </w:t>
      </w:r>
      <w:r w:rsidR="008D549B" w:rsidRPr="00BB0A00">
        <w:rPr>
          <w:sz w:val="24"/>
          <w:szCs w:val="24"/>
        </w:rPr>
        <w:t>with</w:t>
      </w:r>
      <w:r w:rsidRPr="00BB0A00">
        <w:rPr>
          <w:sz w:val="24"/>
          <w:szCs w:val="24"/>
        </w:rPr>
        <w:t xml:space="preserve"> observation and leads to theory (Bryman, 2016), where the theory can be derived from literature or experience, and we look for patterns </w:t>
      </w:r>
      <w:r w:rsidRPr="00BB0A00">
        <w:rPr>
          <w:sz w:val="24"/>
          <w:szCs w:val="24"/>
        </w:rPr>
        <w:lastRenderedPageBreak/>
        <w:t xml:space="preserve">and themes (Creswell, 2018) linking to relativism. The deductive approach starts at </w:t>
      </w:r>
      <w:r w:rsidR="008D549B" w:rsidRPr="00BB0A00">
        <w:rPr>
          <w:sz w:val="24"/>
          <w:szCs w:val="24"/>
        </w:rPr>
        <w:t>theory,</w:t>
      </w:r>
      <w:r w:rsidRPr="00BB0A00">
        <w:rPr>
          <w:sz w:val="24"/>
          <w:szCs w:val="24"/>
        </w:rPr>
        <w:t xml:space="preserve"> and we test or verify that theory through the scientific method (Bryman, 2016; Creswell, 2018). </w:t>
      </w:r>
      <w:r w:rsidR="00105607" w:rsidRPr="00105607">
        <w:rPr>
          <w:sz w:val="24"/>
          <w:szCs w:val="24"/>
        </w:rPr>
        <w:t>Abductive reasoning moves between data and theory, using emerging findings to develop the most plausible explanation for what is being observed</w:t>
      </w:r>
      <w:r w:rsidR="00105607">
        <w:rPr>
          <w:sz w:val="24"/>
          <w:szCs w:val="24"/>
        </w:rPr>
        <w:t xml:space="preserve"> </w:t>
      </w:r>
      <w:r w:rsidR="00E048E7">
        <w:rPr>
          <w:sz w:val="24"/>
          <w:szCs w:val="24"/>
        </w:rPr>
        <w:t xml:space="preserve">(Bryman, 2016). </w:t>
      </w:r>
    </w:p>
    <w:p w14:paraId="716DADC6" w14:textId="77777777" w:rsidR="00FE0785" w:rsidRPr="00BB0A00" w:rsidRDefault="00FE0785">
      <w:pPr>
        <w:widowControl w:val="0"/>
        <w:spacing w:line="480" w:lineRule="auto"/>
        <w:rPr>
          <w:sz w:val="24"/>
          <w:szCs w:val="24"/>
        </w:rPr>
      </w:pPr>
    </w:p>
    <w:p w14:paraId="4E269250" w14:textId="0618C3B1" w:rsidR="00C46B50" w:rsidRPr="00BB0A00" w:rsidRDefault="00233DF4">
      <w:pPr>
        <w:widowControl w:val="0"/>
        <w:spacing w:line="480" w:lineRule="auto"/>
        <w:rPr>
          <w:sz w:val="24"/>
          <w:szCs w:val="24"/>
        </w:rPr>
      </w:pPr>
      <w:r w:rsidRPr="00BB0A00">
        <w:rPr>
          <w:sz w:val="24"/>
          <w:szCs w:val="24"/>
        </w:rPr>
        <w:t xml:space="preserve">My study would adopt an inductive approach to look for patterns in data, </w:t>
      </w:r>
      <w:r w:rsidR="008D549B" w:rsidRPr="00BB0A00">
        <w:rPr>
          <w:sz w:val="24"/>
          <w:szCs w:val="24"/>
        </w:rPr>
        <w:t>analyse</w:t>
      </w:r>
      <w:r w:rsidRPr="00BB0A00">
        <w:rPr>
          <w:sz w:val="24"/>
          <w:szCs w:val="24"/>
        </w:rPr>
        <w:t xml:space="preserve"> themes and gather information from participants (Creswell, 2018). </w:t>
      </w:r>
      <w:r w:rsidR="000F53D5">
        <w:rPr>
          <w:sz w:val="24"/>
          <w:szCs w:val="24"/>
        </w:rPr>
        <w:t xml:space="preserve">As my research </w:t>
      </w:r>
      <w:r w:rsidR="00B55432">
        <w:rPr>
          <w:sz w:val="24"/>
          <w:szCs w:val="24"/>
        </w:rPr>
        <w:t xml:space="preserve">investigates the experiences of pupils and teachers, the inductive approach </w:t>
      </w:r>
      <w:r w:rsidR="00B95F64">
        <w:rPr>
          <w:sz w:val="24"/>
          <w:szCs w:val="24"/>
        </w:rPr>
        <w:t>allows participant perspectives to shape</w:t>
      </w:r>
      <w:r w:rsidRPr="00BB0A00">
        <w:rPr>
          <w:sz w:val="24"/>
          <w:szCs w:val="24"/>
        </w:rPr>
        <w:t xml:space="preserve"> </w:t>
      </w:r>
      <w:r w:rsidR="001449DD">
        <w:rPr>
          <w:sz w:val="24"/>
          <w:szCs w:val="24"/>
        </w:rPr>
        <w:t xml:space="preserve">the direction of the research </w:t>
      </w:r>
      <w:r w:rsidRPr="00BB0A00">
        <w:rPr>
          <w:sz w:val="24"/>
          <w:szCs w:val="24"/>
        </w:rPr>
        <w:t xml:space="preserve">then look for trends </w:t>
      </w:r>
      <w:r w:rsidR="00B95F64">
        <w:rPr>
          <w:sz w:val="24"/>
          <w:szCs w:val="24"/>
        </w:rPr>
        <w:t xml:space="preserve">rather than </w:t>
      </w:r>
      <w:r w:rsidR="00EB38F1">
        <w:rPr>
          <w:sz w:val="24"/>
          <w:szCs w:val="24"/>
        </w:rPr>
        <w:t xml:space="preserve">imposing fixed categories of departmental change or pupil experience </w:t>
      </w:r>
      <w:r w:rsidRPr="00BB0A00">
        <w:rPr>
          <w:sz w:val="24"/>
          <w:szCs w:val="24"/>
        </w:rPr>
        <w:t>(Gray, 2018)</w:t>
      </w:r>
      <w:r w:rsidR="00EB38F1">
        <w:rPr>
          <w:sz w:val="24"/>
          <w:szCs w:val="24"/>
        </w:rPr>
        <w:t xml:space="preserve">. </w:t>
      </w:r>
      <w:r w:rsidRPr="00BB0A00">
        <w:rPr>
          <w:sz w:val="24"/>
          <w:szCs w:val="24"/>
        </w:rPr>
        <w:t xml:space="preserve">Thomas (2013) warns that knowledge gathered from induction cannot be </w:t>
      </w:r>
      <w:r w:rsidR="008D549B" w:rsidRPr="00BB0A00">
        <w:rPr>
          <w:sz w:val="24"/>
          <w:szCs w:val="24"/>
        </w:rPr>
        <w:t>generali</w:t>
      </w:r>
      <w:r w:rsidR="00CA2B57" w:rsidRPr="00BB0A00">
        <w:rPr>
          <w:sz w:val="24"/>
          <w:szCs w:val="24"/>
        </w:rPr>
        <w:t>s</w:t>
      </w:r>
      <w:r w:rsidR="008D549B" w:rsidRPr="00BB0A00">
        <w:rPr>
          <w:sz w:val="24"/>
          <w:szCs w:val="24"/>
        </w:rPr>
        <w:t>ed</w:t>
      </w:r>
      <w:r w:rsidRPr="00BB0A00">
        <w:rPr>
          <w:sz w:val="24"/>
          <w:szCs w:val="24"/>
        </w:rPr>
        <w:t xml:space="preserve"> well</w:t>
      </w:r>
      <w:r w:rsidR="00EB38F1">
        <w:rPr>
          <w:sz w:val="24"/>
          <w:szCs w:val="24"/>
        </w:rPr>
        <w:t>, so the finding</w:t>
      </w:r>
      <w:r w:rsidR="001449DD">
        <w:rPr>
          <w:sz w:val="24"/>
          <w:szCs w:val="24"/>
        </w:rPr>
        <w:t>s</w:t>
      </w:r>
      <w:r w:rsidR="00EB38F1">
        <w:rPr>
          <w:sz w:val="24"/>
          <w:szCs w:val="24"/>
        </w:rPr>
        <w:t xml:space="preserve"> will be specific to my contexts and not </w:t>
      </w:r>
      <w:r w:rsidR="00FB089F">
        <w:rPr>
          <w:sz w:val="24"/>
          <w:szCs w:val="24"/>
        </w:rPr>
        <w:t>representative</w:t>
      </w:r>
      <w:r w:rsidR="00EB38F1">
        <w:rPr>
          <w:sz w:val="24"/>
          <w:szCs w:val="24"/>
        </w:rPr>
        <w:t xml:space="preserve"> of a broader </w:t>
      </w:r>
      <w:r w:rsidR="00FB089F">
        <w:rPr>
          <w:sz w:val="24"/>
          <w:szCs w:val="24"/>
        </w:rPr>
        <w:t>population such as the rest of Wales</w:t>
      </w:r>
      <w:r w:rsidRPr="00BB0A00">
        <w:rPr>
          <w:sz w:val="24"/>
          <w:szCs w:val="24"/>
        </w:rPr>
        <w:t>.</w:t>
      </w:r>
    </w:p>
    <w:p w14:paraId="4E269251" w14:textId="77777777" w:rsidR="00C46B50" w:rsidRPr="00BB0A00" w:rsidRDefault="00C46B50">
      <w:pPr>
        <w:widowControl w:val="0"/>
        <w:spacing w:line="480" w:lineRule="auto"/>
        <w:rPr>
          <w:sz w:val="24"/>
          <w:szCs w:val="24"/>
        </w:rPr>
      </w:pPr>
    </w:p>
    <w:p w14:paraId="4E269252" w14:textId="7295BE41" w:rsidR="00C46B50" w:rsidRPr="00BB0A00" w:rsidRDefault="00233DF4">
      <w:pPr>
        <w:spacing w:line="480" w:lineRule="auto"/>
        <w:rPr>
          <w:sz w:val="24"/>
          <w:szCs w:val="24"/>
        </w:rPr>
      </w:pPr>
      <w:r w:rsidRPr="00BB0A00">
        <w:rPr>
          <w:sz w:val="24"/>
          <w:szCs w:val="24"/>
        </w:rPr>
        <w:t xml:space="preserve">Methodology is defined as the logic or overarching plan </w:t>
      </w:r>
      <w:r w:rsidR="003A441F">
        <w:rPr>
          <w:sz w:val="24"/>
          <w:szCs w:val="24"/>
        </w:rPr>
        <w:t xml:space="preserve">connecting </w:t>
      </w:r>
      <w:r w:rsidR="00F54393">
        <w:rPr>
          <w:sz w:val="24"/>
          <w:szCs w:val="24"/>
        </w:rPr>
        <w:t xml:space="preserve">and justifying </w:t>
      </w:r>
      <w:r w:rsidR="003A441F">
        <w:rPr>
          <w:sz w:val="24"/>
          <w:szCs w:val="24"/>
        </w:rPr>
        <w:t xml:space="preserve">the research questions, philosophical position and choice of methods </w:t>
      </w:r>
      <w:r w:rsidRPr="00BB0A00">
        <w:rPr>
          <w:sz w:val="24"/>
          <w:szCs w:val="24"/>
        </w:rPr>
        <w:t>(</w:t>
      </w:r>
      <w:r w:rsidR="00E00BA8" w:rsidRPr="00BB0A00">
        <w:rPr>
          <w:sz w:val="24"/>
          <w:szCs w:val="24"/>
        </w:rPr>
        <w:t>Waring, 2021</w:t>
      </w:r>
      <w:r w:rsidR="00E00BA8">
        <w:rPr>
          <w:sz w:val="24"/>
          <w:szCs w:val="24"/>
        </w:rPr>
        <w:t xml:space="preserve">; </w:t>
      </w:r>
      <w:r w:rsidRPr="00BB0A00">
        <w:rPr>
          <w:sz w:val="24"/>
          <w:szCs w:val="24"/>
        </w:rPr>
        <w:t xml:space="preserve">Gray, 2018). Researchers use their positionality, context, and beliefs to </w:t>
      </w:r>
      <w:r w:rsidR="008D549B" w:rsidRPr="00BB0A00">
        <w:rPr>
          <w:sz w:val="24"/>
          <w:szCs w:val="24"/>
        </w:rPr>
        <w:t>rationali</w:t>
      </w:r>
      <w:r w:rsidR="00CA2B57" w:rsidRPr="00BB0A00">
        <w:rPr>
          <w:sz w:val="24"/>
          <w:szCs w:val="24"/>
        </w:rPr>
        <w:t>s</w:t>
      </w:r>
      <w:r w:rsidR="008D549B" w:rsidRPr="00BB0A00">
        <w:rPr>
          <w:sz w:val="24"/>
          <w:szCs w:val="24"/>
        </w:rPr>
        <w:t>e</w:t>
      </w:r>
      <w:r w:rsidRPr="00BB0A00">
        <w:rPr>
          <w:sz w:val="24"/>
          <w:szCs w:val="24"/>
        </w:rPr>
        <w:t xml:space="preserve"> their approach and establish the practicalities and logic of the research design (Cohen </w:t>
      </w:r>
      <w:r w:rsidRPr="00BB0A00">
        <w:rPr>
          <w:i/>
          <w:iCs/>
          <w:sz w:val="24"/>
          <w:szCs w:val="24"/>
        </w:rPr>
        <w:t>et al.,</w:t>
      </w:r>
      <w:r w:rsidRPr="00BB0A00">
        <w:rPr>
          <w:sz w:val="24"/>
          <w:szCs w:val="24"/>
        </w:rPr>
        <w:t xml:space="preserve"> 2011; Waring, 2021). Studies are usually labelled as quantitative - dealing with numbers and measurements, or qualitative - in-depth exploratory studies, or a combination of both - mixed methods (Biggam, 2021; Kumar, 2019). </w:t>
      </w:r>
      <w:r w:rsidR="00F54393">
        <w:rPr>
          <w:sz w:val="24"/>
          <w:szCs w:val="24"/>
        </w:rPr>
        <w:t xml:space="preserve">Methodology, in the context of my </w:t>
      </w:r>
      <w:r w:rsidR="00F54393">
        <w:rPr>
          <w:sz w:val="24"/>
          <w:szCs w:val="24"/>
        </w:rPr>
        <w:lastRenderedPageBreak/>
        <w:t xml:space="preserve">study, </w:t>
      </w:r>
      <w:r w:rsidR="00C125DF">
        <w:rPr>
          <w:sz w:val="24"/>
          <w:szCs w:val="24"/>
        </w:rPr>
        <w:t>must allow</w:t>
      </w:r>
      <w:r w:rsidR="00DA25B0">
        <w:rPr>
          <w:sz w:val="24"/>
          <w:szCs w:val="24"/>
        </w:rPr>
        <w:t xml:space="preserve"> for identifying patterns across pupil and teacher experiences </w:t>
      </w:r>
      <w:r w:rsidR="00F705E4">
        <w:rPr>
          <w:sz w:val="24"/>
          <w:szCs w:val="24"/>
        </w:rPr>
        <w:t xml:space="preserve">and explore the meaning behind these experiences. </w:t>
      </w:r>
    </w:p>
    <w:p w14:paraId="4E269253" w14:textId="77777777" w:rsidR="00C46B50" w:rsidRPr="00BB0A00" w:rsidRDefault="00C46B50">
      <w:pPr>
        <w:spacing w:line="480" w:lineRule="auto"/>
        <w:rPr>
          <w:sz w:val="24"/>
          <w:szCs w:val="24"/>
        </w:rPr>
      </w:pPr>
    </w:p>
    <w:p w14:paraId="4E269254" w14:textId="2870CCAB" w:rsidR="00C46B50" w:rsidRPr="00BB0A00" w:rsidRDefault="00233DF4">
      <w:pPr>
        <w:spacing w:line="480" w:lineRule="auto"/>
        <w:rPr>
          <w:sz w:val="24"/>
          <w:szCs w:val="24"/>
        </w:rPr>
      </w:pPr>
      <w:r w:rsidRPr="00BB0A00">
        <w:rPr>
          <w:sz w:val="24"/>
          <w:szCs w:val="24"/>
        </w:rPr>
        <w:t xml:space="preserve">My study would </w:t>
      </w:r>
      <w:r w:rsidR="008D549B" w:rsidRPr="00BB0A00">
        <w:rPr>
          <w:sz w:val="24"/>
          <w:szCs w:val="24"/>
        </w:rPr>
        <w:t>utili</w:t>
      </w:r>
      <w:r w:rsidR="00CA2B57" w:rsidRPr="00BB0A00">
        <w:rPr>
          <w:sz w:val="24"/>
          <w:szCs w:val="24"/>
        </w:rPr>
        <w:t>s</w:t>
      </w:r>
      <w:r w:rsidR="008D549B" w:rsidRPr="00BB0A00">
        <w:rPr>
          <w:sz w:val="24"/>
          <w:szCs w:val="24"/>
        </w:rPr>
        <w:t>e</w:t>
      </w:r>
      <w:r w:rsidRPr="00BB0A00">
        <w:rPr>
          <w:sz w:val="24"/>
          <w:szCs w:val="24"/>
        </w:rPr>
        <w:t xml:space="preserve"> a mixed methods methodology to best achieve the objective of the research (Kumar, 2019). Using a mixed methods approach means I can work beyond a quantitative or qualitative approach (Cohen et al., 2011) and use both methodologies to confirm, complement or contradict findings (Flick, 2023). As my study will explore life experiences of teachers and pupils, qualitative data collection will be most often used (Punch and Oancea, 2014; Biggam, 2021) but surveys may be used to collect data from a larger sample </w:t>
      </w:r>
      <w:r w:rsidR="00311049">
        <w:rPr>
          <w:sz w:val="24"/>
          <w:szCs w:val="24"/>
        </w:rPr>
        <w:t xml:space="preserve">to identify broader </w:t>
      </w:r>
      <w:r w:rsidR="003D57DF">
        <w:rPr>
          <w:sz w:val="24"/>
          <w:szCs w:val="24"/>
        </w:rPr>
        <w:t xml:space="preserve">patterns in pupil and teacher perceptions, which can then inform the focus and direction for later interviews </w:t>
      </w:r>
      <w:r w:rsidRPr="00BB0A00">
        <w:rPr>
          <w:sz w:val="24"/>
          <w:szCs w:val="24"/>
        </w:rPr>
        <w:t xml:space="preserve">(Cohen </w:t>
      </w:r>
      <w:r w:rsidRPr="00BB0A00">
        <w:rPr>
          <w:i/>
          <w:iCs/>
          <w:sz w:val="24"/>
          <w:szCs w:val="24"/>
        </w:rPr>
        <w:t xml:space="preserve">et al., </w:t>
      </w:r>
      <w:r w:rsidRPr="00BB0A00">
        <w:rPr>
          <w:sz w:val="24"/>
          <w:szCs w:val="24"/>
        </w:rPr>
        <w:t xml:space="preserve">2011). </w:t>
      </w:r>
    </w:p>
    <w:p w14:paraId="4E269255" w14:textId="77777777" w:rsidR="00C46B50" w:rsidRPr="00BB0A00" w:rsidRDefault="00C46B50">
      <w:pPr>
        <w:spacing w:line="480" w:lineRule="auto"/>
        <w:rPr>
          <w:sz w:val="24"/>
          <w:szCs w:val="24"/>
        </w:rPr>
      </w:pPr>
    </w:p>
    <w:p w14:paraId="4E269256" w14:textId="77777777" w:rsidR="00C46B50" w:rsidRPr="00BB0A00" w:rsidRDefault="00233DF4">
      <w:pPr>
        <w:pStyle w:val="Heading2"/>
        <w:keepNext w:val="0"/>
        <w:widowControl w:val="0"/>
        <w:spacing w:before="240" w:after="240" w:line="480" w:lineRule="auto"/>
        <w:rPr>
          <w:highlight w:val="white"/>
        </w:rPr>
      </w:pPr>
      <w:bookmarkStart w:id="8" w:name="_uuepjg32txy9" w:colFirst="0" w:colLast="0"/>
      <w:bookmarkStart w:id="9" w:name="_Toc228222285"/>
      <w:bookmarkEnd w:id="8"/>
      <w:r w:rsidRPr="00BB0A00">
        <w:rPr>
          <w:u w:val="single"/>
        </w:rPr>
        <w:t>2.3 Research Strategy</w:t>
      </w:r>
      <w:bookmarkEnd w:id="9"/>
    </w:p>
    <w:p w14:paraId="4E269257" w14:textId="77777777" w:rsidR="00C46B50" w:rsidRPr="00BB0A00" w:rsidRDefault="00233DF4">
      <w:pPr>
        <w:widowControl w:val="0"/>
        <w:spacing w:line="480" w:lineRule="auto"/>
        <w:rPr>
          <w:sz w:val="24"/>
          <w:szCs w:val="24"/>
        </w:rPr>
      </w:pPr>
      <w:r w:rsidRPr="00BB0A00">
        <w:rPr>
          <w:sz w:val="24"/>
          <w:szCs w:val="24"/>
        </w:rPr>
        <w:t>Research strategy refers to the kind of research you are undertaking (Biggam, 2008) and can take the form of action research, grounded theory, or case study amongst others (Biggam, 2008; Gray, 2018) or a combination of different strategies (Scott, 2012).</w:t>
      </w:r>
    </w:p>
    <w:p w14:paraId="4E269258" w14:textId="77777777" w:rsidR="00C46B50" w:rsidRPr="00BB0A00" w:rsidRDefault="00C46B50">
      <w:pPr>
        <w:widowControl w:val="0"/>
        <w:spacing w:line="480" w:lineRule="auto"/>
        <w:rPr>
          <w:sz w:val="24"/>
          <w:szCs w:val="24"/>
        </w:rPr>
      </w:pPr>
    </w:p>
    <w:p w14:paraId="4E269259" w14:textId="77777777" w:rsidR="00C46B50" w:rsidRPr="00BB0A00" w:rsidRDefault="00233DF4">
      <w:pPr>
        <w:widowControl w:val="0"/>
        <w:spacing w:line="480" w:lineRule="auto"/>
        <w:rPr>
          <w:sz w:val="24"/>
          <w:szCs w:val="24"/>
        </w:rPr>
      </w:pPr>
      <w:r w:rsidRPr="00BB0A00">
        <w:rPr>
          <w:sz w:val="24"/>
          <w:szCs w:val="24"/>
        </w:rPr>
        <w:t xml:space="preserve">A case study allows the researcher to take people, or institutions as the subjects of analysis (Flick, 2023) and each case can be investigated in detail (Hammersley, 2014). Opie (2019) highlights how, within schools, pupils, teachers, or departments could be considered cases. Case studies are particularly useful to answer ‘how’ and ‘why’ questions, in research that focus on contemporary phenomena and over which the </w:t>
      </w:r>
      <w:r w:rsidRPr="00BB0A00">
        <w:rPr>
          <w:sz w:val="24"/>
          <w:szCs w:val="24"/>
        </w:rPr>
        <w:lastRenderedPageBreak/>
        <w:t xml:space="preserve">research has no control (Day Ashley, 2021). A case study can be an in-depth study of a system at work (Opie, 2019) and gives a lot of detail of that particular case, but can be difficult, if not impossible, to generalise (Kumar, 2019). </w:t>
      </w:r>
    </w:p>
    <w:p w14:paraId="4E26925A" w14:textId="77777777" w:rsidR="00C46B50" w:rsidRPr="00BB0A00" w:rsidRDefault="00C46B50">
      <w:pPr>
        <w:widowControl w:val="0"/>
        <w:spacing w:line="480" w:lineRule="auto"/>
        <w:rPr>
          <w:sz w:val="24"/>
          <w:szCs w:val="24"/>
        </w:rPr>
      </w:pPr>
    </w:p>
    <w:p w14:paraId="4E26925B" w14:textId="3EB71A07" w:rsidR="00C46B50" w:rsidRPr="00BB0A00" w:rsidRDefault="004604BD">
      <w:pPr>
        <w:widowControl w:val="0"/>
        <w:spacing w:line="480" w:lineRule="auto"/>
        <w:rPr>
          <w:sz w:val="24"/>
          <w:szCs w:val="24"/>
        </w:rPr>
      </w:pPr>
      <w:r w:rsidRPr="004604BD">
        <w:rPr>
          <w:sz w:val="24"/>
          <w:szCs w:val="24"/>
        </w:rPr>
        <w:t xml:space="preserve">In this study, each participating mathematics department </w:t>
      </w:r>
      <w:r>
        <w:rPr>
          <w:sz w:val="24"/>
          <w:szCs w:val="24"/>
        </w:rPr>
        <w:t xml:space="preserve">from North Wales </w:t>
      </w:r>
      <w:r w:rsidRPr="004604BD">
        <w:rPr>
          <w:sz w:val="24"/>
          <w:szCs w:val="24"/>
        </w:rPr>
        <w:t xml:space="preserve">would be treated as a separate case, with data gathered from teachers and a sample of Year </w:t>
      </w:r>
      <w:r>
        <w:rPr>
          <w:sz w:val="24"/>
          <w:szCs w:val="24"/>
        </w:rPr>
        <w:t>Nine</w:t>
      </w:r>
      <w:r w:rsidRPr="004604BD">
        <w:rPr>
          <w:sz w:val="24"/>
          <w:szCs w:val="24"/>
        </w:rPr>
        <w:t xml:space="preserve"> pupils within the same school context</w:t>
      </w:r>
      <w:r>
        <w:rPr>
          <w:sz w:val="24"/>
          <w:szCs w:val="24"/>
        </w:rPr>
        <w:t xml:space="preserve"> </w:t>
      </w:r>
      <w:r w:rsidRPr="00BB0A00">
        <w:rPr>
          <w:sz w:val="24"/>
          <w:szCs w:val="24"/>
        </w:rPr>
        <w:t>(Opie, 2019). Both of my research questions ask how something happens, in the contemporary phenomenon of the CfW, and so fit the criteria that Day Ashley (2021) sets out</w:t>
      </w:r>
      <w:r w:rsidR="00021106">
        <w:rPr>
          <w:sz w:val="24"/>
          <w:szCs w:val="24"/>
        </w:rPr>
        <w:t xml:space="preserve"> for a case study</w:t>
      </w:r>
      <w:r w:rsidRPr="00BB0A00">
        <w:rPr>
          <w:sz w:val="24"/>
          <w:szCs w:val="24"/>
        </w:rPr>
        <w:t xml:space="preserve">. </w:t>
      </w:r>
    </w:p>
    <w:p w14:paraId="4E26925C" w14:textId="77777777" w:rsidR="00C46B50" w:rsidRPr="00BB0A00" w:rsidRDefault="00233DF4">
      <w:pPr>
        <w:pStyle w:val="Heading2"/>
        <w:keepNext w:val="0"/>
        <w:widowControl w:val="0"/>
        <w:spacing w:before="240" w:after="240" w:line="480" w:lineRule="auto"/>
        <w:rPr>
          <w:u w:val="single"/>
        </w:rPr>
      </w:pPr>
      <w:bookmarkStart w:id="10" w:name="_2te3poe5pj3k" w:colFirst="0" w:colLast="0"/>
      <w:bookmarkStart w:id="11" w:name="_Toc228222286"/>
      <w:bookmarkEnd w:id="10"/>
      <w:r w:rsidRPr="00BB0A00">
        <w:rPr>
          <w:u w:val="single"/>
        </w:rPr>
        <w:t>2.4 Positionality</w:t>
      </w:r>
      <w:bookmarkEnd w:id="11"/>
    </w:p>
    <w:p w14:paraId="4E26925D" w14:textId="77777777" w:rsidR="00C46B50" w:rsidRPr="00BB0A00" w:rsidRDefault="00233DF4">
      <w:pPr>
        <w:spacing w:line="480" w:lineRule="auto"/>
        <w:rPr>
          <w:sz w:val="24"/>
          <w:szCs w:val="24"/>
        </w:rPr>
      </w:pPr>
      <w:r w:rsidRPr="00BB0A00">
        <w:rPr>
          <w:sz w:val="24"/>
          <w:szCs w:val="24"/>
        </w:rPr>
        <w:t xml:space="preserve">Positionality has been described as the researcher’s contextual stance in research; shaped by experiences, ontology and epistemology and how these factors impact their research. (Darwin Holmes, 2020; Field </w:t>
      </w:r>
      <w:r w:rsidRPr="00BB0A00">
        <w:rPr>
          <w:i/>
          <w:iCs/>
          <w:sz w:val="24"/>
          <w:szCs w:val="24"/>
        </w:rPr>
        <w:t xml:space="preserve">et al., </w:t>
      </w:r>
      <w:r w:rsidRPr="00BB0A00">
        <w:rPr>
          <w:sz w:val="24"/>
          <w:szCs w:val="24"/>
        </w:rPr>
        <w:t xml:space="preserve">2024). Clough and Nutbrown (2012) and Denscombe (2002) state how researchers must explicitly outline their position to reflect on how positionality affects the research design, processes and ethics.  </w:t>
      </w:r>
    </w:p>
    <w:p w14:paraId="4E26925E" w14:textId="77777777" w:rsidR="00C46B50" w:rsidRPr="00BB0A00" w:rsidRDefault="00C46B50">
      <w:pPr>
        <w:spacing w:line="480" w:lineRule="auto"/>
        <w:rPr>
          <w:sz w:val="24"/>
          <w:szCs w:val="24"/>
        </w:rPr>
      </w:pPr>
    </w:p>
    <w:p w14:paraId="4E26925F" w14:textId="6B15E059" w:rsidR="00C46B50" w:rsidRPr="00BB0A00" w:rsidRDefault="00233DF4">
      <w:pPr>
        <w:spacing w:line="480" w:lineRule="auto"/>
        <w:rPr>
          <w:sz w:val="24"/>
          <w:szCs w:val="24"/>
        </w:rPr>
      </w:pPr>
      <w:r w:rsidRPr="00BB0A00">
        <w:rPr>
          <w:sz w:val="24"/>
          <w:szCs w:val="24"/>
        </w:rPr>
        <w:t>I am a mathematics teacher working within the CfW</w:t>
      </w:r>
      <w:r w:rsidRPr="00BB0A00">
        <w:rPr>
          <w:sz w:val="24"/>
          <w:szCs w:val="24"/>
        </w:rPr>
        <w:t xml:space="preserve">. This insider perspective provides a greater understanding of the changes and their impact, but a reduced objectivity (Punch and Oancea, 2014). Being a teacher in North Wales gives me meaningful context and access, but I could be perceived to be in a position of power over participants and must carefully navigate the ethical considerations (Carmichael </w:t>
      </w:r>
      <w:r w:rsidRPr="00BB0A00">
        <w:rPr>
          <w:i/>
          <w:iCs/>
          <w:sz w:val="24"/>
          <w:szCs w:val="24"/>
        </w:rPr>
        <w:t>et al.</w:t>
      </w:r>
      <w:r w:rsidRPr="00BB0A00">
        <w:rPr>
          <w:sz w:val="24"/>
          <w:szCs w:val="24"/>
        </w:rPr>
        <w:t>, 2011; Northouse, 2010).</w:t>
      </w:r>
      <w:r w:rsidR="008C61C7">
        <w:rPr>
          <w:sz w:val="24"/>
          <w:szCs w:val="24"/>
        </w:rPr>
        <w:t xml:space="preserve"> </w:t>
      </w:r>
      <w:r w:rsidR="008B47B2" w:rsidRPr="008B47B2">
        <w:rPr>
          <w:sz w:val="24"/>
          <w:szCs w:val="24"/>
        </w:rPr>
        <w:t>I will need to minimise potential power imbalances by making participation clearly voluntary, ensuring that p</w:t>
      </w:r>
      <w:r w:rsidR="008B47B2">
        <w:rPr>
          <w:sz w:val="24"/>
          <w:szCs w:val="24"/>
        </w:rPr>
        <w:t>articipants</w:t>
      </w:r>
      <w:r w:rsidR="008B47B2" w:rsidRPr="008B47B2">
        <w:rPr>
          <w:sz w:val="24"/>
          <w:szCs w:val="24"/>
        </w:rPr>
        <w:t xml:space="preserve"> understand </w:t>
      </w:r>
      <w:r w:rsidR="008B47B2">
        <w:rPr>
          <w:sz w:val="24"/>
          <w:szCs w:val="24"/>
        </w:rPr>
        <w:t xml:space="preserve">all of their rights </w:t>
      </w:r>
      <w:r w:rsidR="00FF7508">
        <w:rPr>
          <w:sz w:val="24"/>
          <w:szCs w:val="24"/>
        </w:rPr>
        <w:t xml:space="preserve">such as the right to </w:t>
      </w:r>
      <w:r w:rsidR="00FF7508">
        <w:rPr>
          <w:sz w:val="24"/>
          <w:szCs w:val="24"/>
        </w:rPr>
        <w:lastRenderedPageBreak/>
        <w:t>withdraw</w:t>
      </w:r>
      <w:r w:rsidR="008B47B2" w:rsidRPr="008B47B2">
        <w:rPr>
          <w:sz w:val="24"/>
          <w:szCs w:val="24"/>
        </w:rPr>
        <w:t>, using age-appropriate information and consent processes, and remaining reflexive about how my role may influence data collection and interpretation</w:t>
      </w:r>
      <w:r w:rsidR="007D682A">
        <w:rPr>
          <w:sz w:val="24"/>
          <w:szCs w:val="24"/>
        </w:rPr>
        <w:t xml:space="preserve"> </w:t>
      </w:r>
      <w:r w:rsidR="007D682A" w:rsidRPr="00BB0A00">
        <w:rPr>
          <w:sz w:val="24"/>
          <w:szCs w:val="24"/>
        </w:rPr>
        <w:t>(Alderson, 2014)</w:t>
      </w:r>
      <w:r w:rsidR="00FF7508">
        <w:rPr>
          <w:sz w:val="24"/>
          <w:szCs w:val="24"/>
        </w:rPr>
        <w:t xml:space="preserve"> – all factors I will consider in greater detail in the ethics section below. </w:t>
      </w:r>
    </w:p>
    <w:p w14:paraId="4E269260" w14:textId="77777777" w:rsidR="00C46B50" w:rsidRPr="00BB0A00" w:rsidRDefault="00C46B50">
      <w:pPr>
        <w:spacing w:line="480" w:lineRule="auto"/>
        <w:rPr>
          <w:sz w:val="24"/>
          <w:szCs w:val="24"/>
          <w:shd w:val="clear" w:color="auto" w:fill="FFF2CC"/>
        </w:rPr>
      </w:pPr>
    </w:p>
    <w:p w14:paraId="4E269261" w14:textId="77777777" w:rsidR="00C46B50" w:rsidRPr="00BB0A00" w:rsidRDefault="00233DF4">
      <w:pPr>
        <w:pStyle w:val="Heading1"/>
        <w:keepNext w:val="0"/>
        <w:widowControl w:val="0"/>
        <w:spacing w:after="80" w:line="480" w:lineRule="auto"/>
        <w:rPr>
          <w:sz w:val="24"/>
          <w:szCs w:val="24"/>
          <w:u w:val="single"/>
        </w:rPr>
      </w:pPr>
      <w:bookmarkStart w:id="12" w:name="_70xroq5vb4bp" w:colFirst="0" w:colLast="0"/>
      <w:bookmarkStart w:id="13" w:name="_Toc228222287"/>
      <w:bookmarkEnd w:id="12"/>
      <w:r w:rsidRPr="00BB0A00">
        <w:rPr>
          <w:sz w:val="24"/>
          <w:szCs w:val="24"/>
          <w:u w:val="single"/>
        </w:rPr>
        <w:t>3. Research Methods and Tools</w:t>
      </w:r>
      <w:bookmarkEnd w:id="13"/>
      <w:r w:rsidRPr="00BB0A00">
        <w:rPr>
          <w:sz w:val="24"/>
          <w:szCs w:val="24"/>
          <w:u w:val="single"/>
        </w:rPr>
        <w:t xml:space="preserve"> </w:t>
      </w:r>
    </w:p>
    <w:p w14:paraId="4E269262" w14:textId="22184FCD" w:rsidR="00C46B50" w:rsidRPr="00BB0A00" w:rsidRDefault="00233DF4">
      <w:pPr>
        <w:spacing w:line="480" w:lineRule="auto"/>
        <w:rPr>
          <w:sz w:val="24"/>
          <w:szCs w:val="24"/>
        </w:rPr>
      </w:pPr>
      <w:r w:rsidRPr="00BB0A00">
        <w:rPr>
          <w:sz w:val="24"/>
          <w:szCs w:val="24"/>
        </w:rPr>
        <w:t>In this section, I discuss</w:t>
      </w:r>
      <w:r w:rsidR="00DB288B">
        <w:rPr>
          <w:sz w:val="24"/>
          <w:szCs w:val="24"/>
        </w:rPr>
        <w:t xml:space="preserve"> </w:t>
      </w:r>
      <w:r w:rsidRPr="00BB0A00">
        <w:rPr>
          <w:sz w:val="24"/>
          <w:szCs w:val="24"/>
        </w:rPr>
        <w:t xml:space="preserve">how I </w:t>
      </w:r>
      <w:r w:rsidR="00DB288B">
        <w:rPr>
          <w:sz w:val="24"/>
          <w:szCs w:val="24"/>
        </w:rPr>
        <w:t xml:space="preserve">will </w:t>
      </w:r>
      <w:r w:rsidRPr="00BB0A00">
        <w:rPr>
          <w:sz w:val="24"/>
          <w:szCs w:val="24"/>
        </w:rPr>
        <w:t>decide on the sample size for my study, and which methods I will use to gather data and why. Finally</w:t>
      </w:r>
      <w:r w:rsidR="00DB288B">
        <w:rPr>
          <w:sz w:val="24"/>
          <w:szCs w:val="24"/>
        </w:rPr>
        <w:t>,</w:t>
      </w:r>
      <w:r w:rsidRPr="00BB0A00">
        <w:rPr>
          <w:sz w:val="24"/>
          <w:szCs w:val="24"/>
        </w:rPr>
        <w:t xml:space="preserve"> I examine the ethical considerations of my research. </w:t>
      </w:r>
    </w:p>
    <w:p w14:paraId="4E269263" w14:textId="77777777" w:rsidR="00C46B50" w:rsidRPr="00BB0A00" w:rsidRDefault="00C46B50">
      <w:pPr>
        <w:spacing w:line="480" w:lineRule="auto"/>
        <w:rPr>
          <w:sz w:val="24"/>
          <w:szCs w:val="24"/>
        </w:rPr>
      </w:pPr>
    </w:p>
    <w:p w14:paraId="4E269264" w14:textId="77777777" w:rsidR="00C46B50" w:rsidRPr="00BB0A00" w:rsidRDefault="00233DF4">
      <w:pPr>
        <w:pStyle w:val="Heading2"/>
        <w:keepNext w:val="0"/>
        <w:widowControl w:val="0"/>
        <w:spacing w:line="480" w:lineRule="auto"/>
        <w:rPr>
          <w:u w:val="single"/>
        </w:rPr>
      </w:pPr>
      <w:bookmarkStart w:id="14" w:name="_5nhj64uwdsmu" w:colFirst="0" w:colLast="0"/>
      <w:bookmarkStart w:id="15" w:name="_Toc228222288"/>
      <w:bookmarkEnd w:id="14"/>
      <w:r w:rsidRPr="00BB0A00">
        <w:rPr>
          <w:u w:val="single"/>
        </w:rPr>
        <w:t>3.1 Sample and context</w:t>
      </w:r>
      <w:bookmarkEnd w:id="15"/>
    </w:p>
    <w:p w14:paraId="4E269265" w14:textId="40503EC6" w:rsidR="00C46B50" w:rsidRPr="00BB0A00" w:rsidRDefault="0085587C">
      <w:pPr>
        <w:widowControl w:val="0"/>
        <w:spacing w:line="480" w:lineRule="auto"/>
        <w:rPr>
          <w:sz w:val="24"/>
          <w:szCs w:val="24"/>
        </w:rPr>
      </w:pPr>
      <w:r w:rsidRPr="0085587C">
        <w:rPr>
          <w:sz w:val="24"/>
          <w:szCs w:val="24"/>
        </w:rPr>
        <w:t xml:space="preserve">The research will take place in </w:t>
      </w:r>
      <w:r w:rsidR="000A75FE">
        <w:rPr>
          <w:sz w:val="24"/>
          <w:szCs w:val="24"/>
        </w:rPr>
        <w:t>four</w:t>
      </w:r>
      <w:r w:rsidRPr="0085587C">
        <w:rPr>
          <w:sz w:val="24"/>
          <w:szCs w:val="24"/>
        </w:rPr>
        <w:t xml:space="preserve"> mathematics departments in North Wales, as this is the regional context in which the study is situated and where I have professional understanding of secondary mathematics under the Curriculum for Wales.</w:t>
      </w:r>
      <w:r w:rsidRPr="00BB0A00">
        <w:rPr>
          <w:sz w:val="24"/>
          <w:szCs w:val="24"/>
        </w:rPr>
        <w:t xml:space="preserve"> </w:t>
      </w:r>
      <w:r w:rsidR="000A75FE">
        <w:rPr>
          <w:sz w:val="24"/>
          <w:szCs w:val="24"/>
        </w:rPr>
        <w:t>Four</w:t>
      </w:r>
      <w:r w:rsidR="007F5FC9">
        <w:rPr>
          <w:sz w:val="24"/>
          <w:szCs w:val="24"/>
        </w:rPr>
        <w:t xml:space="preserve"> </w:t>
      </w:r>
      <w:r w:rsidR="007F5FC9" w:rsidRPr="007F5FC9">
        <w:rPr>
          <w:sz w:val="24"/>
          <w:szCs w:val="24"/>
        </w:rPr>
        <w:t>departments will be included to allow comparison across different school contexts, rather than relying on the experience of one department alone.</w:t>
      </w:r>
      <w:r w:rsidR="007F5FC9">
        <w:rPr>
          <w:sz w:val="24"/>
          <w:szCs w:val="24"/>
        </w:rPr>
        <w:t xml:space="preserve"> </w:t>
      </w:r>
      <w:r w:rsidR="00D83A48" w:rsidRPr="00D83A48">
        <w:rPr>
          <w:sz w:val="24"/>
          <w:szCs w:val="24"/>
        </w:rPr>
        <w:t xml:space="preserve">Mathematics teachers will be invited because they are directly involved in planning and teaching mathematics within the Curriculum for Wales, while heads of department will be included because they are likely to have oversight of departmental decisions, curriculum planning and implementation. Participating pupils will be in Year </w:t>
      </w:r>
      <w:r w:rsidR="00D83A48">
        <w:rPr>
          <w:sz w:val="24"/>
          <w:szCs w:val="24"/>
        </w:rPr>
        <w:t>Nine</w:t>
      </w:r>
      <w:r w:rsidR="00D83A48" w:rsidRPr="00D83A48">
        <w:rPr>
          <w:sz w:val="24"/>
          <w:szCs w:val="24"/>
        </w:rPr>
        <w:t>, aged 13 to 14, because they will have had sustained experience of secondary mathematics and are able to reflect on their learning in more detail than younger pupils. Focusing on one year group will also make comparisons between pupils more coherent, as participants will be at a broadly similar stage of schooling and curriculum experience.</w:t>
      </w:r>
    </w:p>
    <w:p w14:paraId="4E269266" w14:textId="77777777" w:rsidR="00C46B50" w:rsidRPr="00BB0A00" w:rsidRDefault="00C46B50">
      <w:pPr>
        <w:widowControl w:val="0"/>
        <w:spacing w:line="480" w:lineRule="auto"/>
        <w:rPr>
          <w:sz w:val="24"/>
          <w:szCs w:val="24"/>
        </w:rPr>
      </w:pPr>
    </w:p>
    <w:p w14:paraId="4E269267" w14:textId="35831C1A" w:rsidR="00C46B50" w:rsidRPr="00BB0A00" w:rsidRDefault="00233DF4">
      <w:pPr>
        <w:spacing w:line="480" w:lineRule="auto"/>
        <w:rPr>
          <w:sz w:val="24"/>
          <w:szCs w:val="24"/>
        </w:rPr>
      </w:pPr>
      <w:r w:rsidRPr="00BB0A00">
        <w:rPr>
          <w:sz w:val="24"/>
          <w:szCs w:val="24"/>
        </w:rPr>
        <w:t>Modes of sampling are generally split into two categories: probabilistic, where the sample is randomly chosen from a population, and purposive, where the respondents are chosen based on a selection criteria (Bryman, 2016; Creswell and Plano Clark, 2018). Random, systematic, and random stratified are probabilistic sampling methods, linking them to quantitative data collection (Bryman, 2016). Qualitative data sampling is usually by purposive means such as convenience, snowball, maximum variation, or typicalit</w:t>
      </w:r>
      <w:r w:rsidRPr="00BB0A00">
        <w:rPr>
          <w:sz w:val="24"/>
          <w:szCs w:val="24"/>
        </w:rPr>
        <w:t xml:space="preserve">y sampling focusing on depth and contextual understanding (Bryman, 2016; </w:t>
      </w:r>
      <w:r w:rsidRPr="00BB0A00">
        <w:rPr>
          <w:sz w:val="24"/>
          <w:szCs w:val="24"/>
        </w:rPr>
        <w:t xml:space="preserve">Coe, 2019; Flick, 2023). </w:t>
      </w:r>
      <w:r w:rsidR="00274C55" w:rsidRPr="00274C55">
        <w:rPr>
          <w:sz w:val="24"/>
          <w:szCs w:val="24"/>
        </w:rPr>
        <w:t>This distinction is important for my study because the questionnaire requires a wider sample of pupils and teachers to identify broad patterns in experiences of mathematics and responses to the C</w:t>
      </w:r>
      <w:r w:rsidR="00274C55">
        <w:rPr>
          <w:sz w:val="24"/>
          <w:szCs w:val="24"/>
        </w:rPr>
        <w:t>fW</w:t>
      </w:r>
      <w:r w:rsidR="00274C55" w:rsidRPr="00274C55">
        <w:rPr>
          <w:sz w:val="24"/>
          <w:szCs w:val="24"/>
        </w:rPr>
        <w:t xml:space="preserve">, </w:t>
      </w:r>
      <w:r w:rsidR="00C307AF">
        <w:rPr>
          <w:sz w:val="24"/>
          <w:szCs w:val="24"/>
        </w:rPr>
        <w:t>but I</w:t>
      </w:r>
      <w:r w:rsidR="00274C55" w:rsidRPr="00274C55">
        <w:rPr>
          <w:sz w:val="24"/>
          <w:szCs w:val="24"/>
        </w:rPr>
        <w:t xml:space="preserve"> require a smaller, purposive sample</w:t>
      </w:r>
      <w:r w:rsidR="00C307AF">
        <w:rPr>
          <w:sz w:val="24"/>
          <w:szCs w:val="24"/>
        </w:rPr>
        <w:t xml:space="preserve"> for the interviews</w:t>
      </w:r>
      <w:r w:rsidR="00274C55" w:rsidRPr="00274C55">
        <w:rPr>
          <w:sz w:val="24"/>
          <w:szCs w:val="24"/>
        </w:rPr>
        <w:t xml:space="preserve"> to explore participants’ </w:t>
      </w:r>
      <w:r w:rsidR="00C307AF">
        <w:rPr>
          <w:sz w:val="24"/>
          <w:szCs w:val="24"/>
        </w:rPr>
        <w:t xml:space="preserve">individual </w:t>
      </w:r>
      <w:r w:rsidR="00274C55" w:rsidRPr="00274C55">
        <w:rPr>
          <w:sz w:val="24"/>
          <w:szCs w:val="24"/>
        </w:rPr>
        <w:t>interpretations in greater depth.</w:t>
      </w:r>
    </w:p>
    <w:p w14:paraId="4E269268" w14:textId="77777777" w:rsidR="00C46B50" w:rsidRPr="00BB0A00" w:rsidRDefault="00C46B50">
      <w:pPr>
        <w:spacing w:line="480" w:lineRule="auto"/>
        <w:rPr>
          <w:sz w:val="24"/>
          <w:szCs w:val="24"/>
        </w:rPr>
      </w:pPr>
    </w:p>
    <w:p w14:paraId="4E269269" w14:textId="20E1D8A8" w:rsidR="00C46B50" w:rsidRPr="00BB0A00" w:rsidRDefault="00233DF4">
      <w:pPr>
        <w:spacing w:line="480" w:lineRule="auto"/>
        <w:rPr>
          <w:sz w:val="24"/>
          <w:szCs w:val="24"/>
        </w:rPr>
      </w:pPr>
      <w:r w:rsidRPr="00BB0A00">
        <w:rPr>
          <w:sz w:val="24"/>
          <w:szCs w:val="24"/>
        </w:rPr>
        <w:t>Sample size must be sufficient to answer the research questions (Bryman, 2016; Kumar, 2019) and Creswell and Plano Clark (2018) argued that for mixed methods, the size of the quantitative and qualitative sample can be different as it should not compromise the ability to synthesise data. Oversampling is recommended to build in a redundancy due to non-respondents (Dawson, 2019</w:t>
      </w:r>
      <w:r w:rsidR="00C307AF" w:rsidRPr="00BB0A00">
        <w:rPr>
          <w:sz w:val="24"/>
          <w:szCs w:val="24"/>
        </w:rPr>
        <w:t>) and</w:t>
      </w:r>
      <w:r w:rsidRPr="00BB0A00">
        <w:rPr>
          <w:sz w:val="24"/>
          <w:szCs w:val="24"/>
        </w:rPr>
        <w:t xml:space="preserve"> a pilot study is a powerful tool to gauge the standard of questions and level of non-response (Bell and Wates, 2018).</w:t>
      </w:r>
    </w:p>
    <w:p w14:paraId="4E26926A" w14:textId="77777777" w:rsidR="00C46B50" w:rsidRPr="00BB0A00" w:rsidRDefault="00C46B50">
      <w:pPr>
        <w:spacing w:line="480" w:lineRule="auto"/>
        <w:rPr>
          <w:sz w:val="24"/>
          <w:szCs w:val="24"/>
        </w:rPr>
      </w:pPr>
    </w:p>
    <w:p w14:paraId="4E26926C" w14:textId="74CD4998" w:rsidR="00C46B50" w:rsidRPr="00BB0A00" w:rsidRDefault="001B367C">
      <w:pPr>
        <w:widowControl w:val="0"/>
        <w:spacing w:line="480" w:lineRule="auto"/>
        <w:rPr>
          <w:sz w:val="24"/>
          <w:szCs w:val="24"/>
        </w:rPr>
      </w:pPr>
      <w:r w:rsidRPr="001B367C">
        <w:rPr>
          <w:sz w:val="24"/>
          <w:szCs w:val="24"/>
        </w:rPr>
        <w:t xml:space="preserve">The teacher population for this study would be mathematics teachers working in Anglesey, Conwy and Gwynedd. These counties have been selected because they form </w:t>
      </w:r>
      <w:r w:rsidRPr="001B367C">
        <w:rPr>
          <w:sz w:val="24"/>
          <w:szCs w:val="24"/>
        </w:rPr>
        <w:lastRenderedPageBreak/>
        <w:t xml:space="preserve">a manageable </w:t>
      </w:r>
      <w:r w:rsidR="00CA64B0">
        <w:rPr>
          <w:sz w:val="24"/>
          <w:szCs w:val="24"/>
        </w:rPr>
        <w:t>area</w:t>
      </w:r>
      <w:r w:rsidRPr="001B367C">
        <w:rPr>
          <w:sz w:val="24"/>
          <w:szCs w:val="24"/>
        </w:rPr>
        <w:t xml:space="preserve"> within North Wales where I could reasonably approach schools for participation. In 2023/2024, there were 180 mathematics teachers across 26 mathematics departments in these counties (StatsWales, 2024a; StatsWales, 2024b). For the teacher questionnaire, I would aim to recruit approximately 80 teachers, </w:t>
      </w:r>
      <w:r w:rsidR="003A7566">
        <w:rPr>
          <w:sz w:val="24"/>
          <w:szCs w:val="24"/>
        </w:rPr>
        <w:t>seeking</w:t>
      </w:r>
      <w:r w:rsidRPr="001B367C">
        <w:rPr>
          <w:sz w:val="24"/>
          <w:szCs w:val="24"/>
        </w:rPr>
        <w:t xml:space="preserve"> responses across the three counties to compa</w:t>
      </w:r>
      <w:r w:rsidR="00CC77C5">
        <w:rPr>
          <w:sz w:val="24"/>
          <w:szCs w:val="24"/>
        </w:rPr>
        <w:t>re</w:t>
      </w:r>
      <w:r w:rsidRPr="001B367C">
        <w:rPr>
          <w:sz w:val="24"/>
          <w:szCs w:val="24"/>
        </w:rPr>
        <w:t xml:space="preserve"> local authority contexts. This would provide a</w:t>
      </w:r>
      <w:r w:rsidR="00CC77C5">
        <w:rPr>
          <w:sz w:val="24"/>
          <w:szCs w:val="24"/>
        </w:rPr>
        <w:t>n i</w:t>
      </w:r>
      <w:r w:rsidRPr="001B367C">
        <w:rPr>
          <w:sz w:val="24"/>
          <w:szCs w:val="24"/>
        </w:rPr>
        <w:t xml:space="preserve">nitial </w:t>
      </w:r>
      <w:r w:rsidR="00CC77C5">
        <w:rPr>
          <w:sz w:val="24"/>
          <w:szCs w:val="24"/>
        </w:rPr>
        <w:t>idea</w:t>
      </w:r>
      <w:r w:rsidRPr="001B367C">
        <w:rPr>
          <w:sz w:val="24"/>
          <w:szCs w:val="24"/>
        </w:rPr>
        <w:t xml:space="preserve"> of teachers’ responses to the </w:t>
      </w:r>
      <w:r w:rsidR="00CC77C5">
        <w:rPr>
          <w:sz w:val="24"/>
          <w:szCs w:val="24"/>
        </w:rPr>
        <w:t>CfW</w:t>
      </w:r>
      <w:r w:rsidRPr="001B367C">
        <w:rPr>
          <w:sz w:val="24"/>
          <w:szCs w:val="24"/>
        </w:rPr>
        <w:t xml:space="preserve">, recognising that participation would depend on school access and voluntary consent. The qualitative teacher sample would then be purposive, consisting of eight teachers from four schools, selected to include variation in school size, location and departmental context. This smaller sample would be manageable within the scope of the study while still allowing for detailed exploration of different departmental experiences (Flick, 2023). For pupils, I would aim to gather questionnaire responses from approximately 200 Year </w:t>
      </w:r>
      <w:r w:rsidR="00471746">
        <w:rPr>
          <w:sz w:val="24"/>
          <w:szCs w:val="24"/>
        </w:rPr>
        <w:t>Nine</w:t>
      </w:r>
      <w:r w:rsidRPr="001B367C">
        <w:rPr>
          <w:sz w:val="24"/>
          <w:szCs w:val="24"/>
        </w:rPr>
        <w:t xml:space="preserve"> pupils across the four participating schools. This larger pupil sample is appropriate because pupil experiences are likely to vary within and between schools</w:t>
      </w:r>
      <w:r w:rsidR="000A75FE">
        <w:rPr>
          <w:sz w:val="24"/>
          <w:szCs w:val="24"/>
        </w:rPr>
        <w:t>.</w:t>
      </w:r>
      <w:r w:rsidRPr="001B367C">
        <w:rPr>
          <w:sz w:val="24"/>
          <w:szCs w:val="24"/>
        </w:rPr>
        <w:t xml:space="preserve"> From this, around 20 pupils would be selected for qualitative data collection, allowing the interviews to explore </w:t>
      </w:r>
      <w:r w:rsidR="000A75FE">
        <w:rPr>
          <w:sz w:val="24"/>
          <w:szCs w:val="24"/>
        </w:rPr>
        <w:t>p</w:t>
      </w:r>
      <w:r w:rsidR="009F1427">
        <w:rPr>
          <w:sz w:val="24"/>
          <w:szCs w:val="24"/>
        </w:rPr>
        <w:t>upil perceptions</w:t>
      </w:r>
      <w:r w:rsidRPr="001B367C">
        <w:rPr>
          <w:sz w:val="24"/>
          <w:szCs w:val="24"/>
        </w:rPr>
        <w:t xml:space="preserve"> in more depth while keeping the scale</w:t>
      </w:r>
      <w:r w:rsidR="009F1427">
        <w:rPr>
          <w:sz w:val="24"/>
          <w:szCs w:val="24"/>
        </w:rPr>
        <w:t xml:space="preserve"> </w:t>
      </w:r>
      <w:r w:rsidRPr="001B367C">
        <w:rPr>
          <w:sz w:val="24"/>
          <w:szCs w:val="24"/>
        </w:rPr>
        <w:t>manageable and ethically appropriate.</w:t>
      </w:r>
    </w:p>
    <w:p w14:paraId="4E26926D" w14:textId="77777777" w:rsidR="00C46B50" w:rsidRPr="00BB0A00" w:rsidRDefault="00233DF4">
      <w:pPr>
        <w:pStyle w:val="Heading2"/>
        <w:keepNext w:val="0"/>
        <w:widowControl w:val="0"/>
        <w:spacing w:before="240" w:after="240" w:line="480" w:lineRule="auto"/>
        <w:rPr>
          <w:u w:val="single"/>
        </w:rPr>
      </w:pPr>
      <w:bookmarkStart w:id="16" w:name="_klde7km2qncy" w:colFirst="0" w:colLast="0"/>
      <w:bookmarkStart w:id="17" w:name="_Toc228222289"/>
      <w:bookmarkEnd w:id="16"/>
      <w:r w:rsidRPr="00BB0A00">
        <w:rPr>
          <w:u w:val="single"/>
        </w:rPr>
        <w:t>3.2 Data collection: Pupils</w:t>
      </w:r>
      <w:bookmarkEnd w:id="17"/>
    </w:p>
    <w:p w14:paraId="4E26926F" w14:textId="758250A1" w:rsidR="00C46B50" w:rsidRPr="00BB0A00" w:rsidRDefault="006B0001">
      <w:pPr>
        <w:widowControl w:val="0"/>
        <w:spacing w:before="240" w:after="240" w:line="480" w:lineRule="auto"/>
        <w:rPr>
          <w:sz w:val="24"/>
          <w:szCs w:val="24"/>
        </w:rPr>
      </w:pPr>
      <w:r w:rsidRPr="006B0001">
        <w:rPr>
          <w:sz w:val="24"/>
          <w:szCs w:val="24"/>
        </w:rPr>
        <w:t xml:space="preserve">Pupil data collection is designed to explore how Year </w:t>
      </w:r>
      <w:r>
        <w:rPr>
          <w:sz w:val="24"/>
          <w:szCs w:val="24"/>
        </w:rPr>
        <w:t xml:space="preserve">Nine </w:t>
      </w:r>
      <w:r w:rsidRPr="006B0001">
        <w:rPr>
          <w:sz w:val="24"/>
          <w:szCs w:val="24"/>
        </w:rPr>
        <w:t xml:space="preserve">pupils perceive and experience mathematics learning following the introduction of the </w:t>
      </w:r>
      <w:r>
        <w:rPr>
          <w:sz w:val="24"/>
          <w:szCs w:val="24"/>
        </w:rPr>
        <w:t>CfW</w:t>
      </w:r>
      <w:r w:rsidRPr="006B0001">
        <w:rPr>
          <w:sz w:val="24"/>
          <w:szCs w:val="24"/>
        </w:rPr>
        <w:t>.</w:t>
      </w:r>
      <w:r>
        <w:rPr>
          <w:sz w:val="24"/>
          <w:szCs w:val="24"/>
        </w:rPr>
        <w:t xml:space="preserve"> </w:t>
      </w:r>
      <w:r w:rsidRPr="00BB0A00">
        <w:rPr>
          <w:sz w:val="24"/>
          <w:szCs w:val="24"/>
        </w:rPr>
        <w:t xml:space="preserve">Case studies as a research strategy allows for data collection in a variety of ways including interviews, surveys, observations and focus groups (Day Ashley, 2021). Focus groups and group interviews are similar, yet distinct techniques. Where focus groups explore attitudes and </w:t>
      </w:r>
      <w:r w:rsidRPr="00BB0A00">
        <w:rPr>
          <w:sz w:val="24"/>
          <w:szCs w:val="24"/>
        </w:rPr>
        <w:lastRenderedPageBreak/>
        <w:t>perceptions towards a product or issue through open discussion; group interviews are facilitated group discussions where a researcher asks questions that stimulate discussion (Kumar, 2019). Contexts in which participants outnumber the researcher is one method of addressing the power imbalance, especially with pupil participants (Flewitt, 2014). Although Flewitt (2014) describes an instance where curriculum enactment is discussed by pupils through a focus group, I think semi-structured group interviews would be more appropriate to ensure that the discussion builds on themes that may have been made apparent</w:t>
      </w:r>
      <w:r w:rsidR="00946EE9">
        <w:rPr>
          <w:sz w:val="24"/>
          <w:szCs w:val="24"/>
        </w:rPr>
        <w:t xml:space="preserve"> and allowing interviewees to elaborate fully on their points (Denscombe, 2010). </w:t>
      </w:r>
    </w:p>
    <w:p w14:paraId="4E269270" w14:textId="77777777" w:rsidR="00C46B50" w:rsidRPr="00BB0A00" w:rsidRDefault="00233DF4">
      <w:pPr>
        <w:widowControl w:val="0"/>
        <w:spacing w:before="240" w:after="240" w:line="480" w:lineRule="auto"/>
        <w:rPr>
          <w:sz w:val="24"/>
          <w:szCs w:val="24"/>
        </w:rPr>
      </w:pPr>
      <w:r w:rsidRPr="00BB0A00">
        <w:rPr>
          <w:sz w:val="24"/>
          <w:szCs w:val="24"/>
        </w:rPr>
        <w:t xml:space="preserve">To discover the broader themes, prior to interview, using questionnaires or surveys are suggested by literature to be an efficient way of collecting a large amount of data with little intervention (Clough and Nutbrown, 2012). A mixture of open and closed questions can be asked, to generate data that can be easily analysed, and those which prompt more in-depth explanations (Dawson, 2019; Bryman, 2016; Tymms, 2021). </w:t>
      </w:r>
    </w:p>
    <w:p w14:paraId="4E269271" w14:textId="77777777" w:rsidR="00C46B50" w:rsidRPr="00BB0A00" w:rsidRDefault="00233DF4">
      <w:pPr>
        <w:pStyle w:val="Heading2"/>
        <w:keepNext w:val="0"/>
        <w:widowControl w:val="0"/>
        <w:spacing w:before="240" w:after="240" w:line="480" w:lineRule="auto"/>
        <w:rPr>
          <w:u w:val="single"/>
        </w:rPr>
      </w:pPr>
      <w:bookmarkStart w:id="18" w:name="_juvz10utguj9" w:colFirst="0" w:colLast="0"/>
      <w:bookmarkStart w:id="19" w:name="_Toc228222290"/>
      <w:bookmarkEnd w:id="18"/>
      <w:r w:rsidRPr="00BB0A00">
        <w:rPr>
          <w:u w:val="single"/>
        </w:rPr>
        <w:t>3.3 Data collection: Teachers</w:t>
      </w:r>
      <w:bookmarkEnd w:id="19"/>
    </w:p>
    <w:p w14:paraId="4E269272" w14:textId="36366FFC" w:rsidR="00C46B50" w:rsidRPr="00BB0A00" w:rsidRDefault="00031028">
      <w:pPr>
        <w:widowControl w:val="0"/>
        <w:spacing w:line="480" w:lineRule="auto"/>
        <w:rPr>
          <w:sz w:val="24"/>
          <w:szCs w:val="24"/>
        </w:rPr>
      </w:pPr>
      <w:r w:rsidRPr="00031028">
        <w:rPr>
          <w:sz w:val="24"/>
          <w:szCs w:val="24"/>
        </w:rPr>
        <w:t xml:space="preserve">While pupil questionnaires and interviews are intended to explore pupils’ experiences of learning mathematics, teacher questionnaires and interviews are intended to examine how mathematics departments have interpreted and responded to the </w:t>
      </w:r>
      <w:r>
        <w:rPr>
          <w:sz w:val="24"/>
          <w:szCs w:val="24"/>
        </w:rPr>
        <w:t>CfW</w:t>
      </w:r>
      <w:r w:rsidRPr="00031028">
        <w:rPr>
          <w:sz w:val="24"/>
          <w:szCs w:val="24"/>
        </w:rPr>
        <w:t>.</w:t>
      </w:r>
      <w:r>
        <w:rPr>
          <w:sz w:val="24"/>
          <w:szCs w:val="24"/>
        </w:rPr>
        <w:t xml:space="preserve"> </w:t>
      </w:r>
      <w:r w:rsidRPr="00BB0A00">
        <w:rPr>
          <w:sz w:val="24"/>
          <w:szCs w:val="24"/>
        </w:rPr>
        <w:t>Starting with a questionnaire allows for a larger sample to be studied initially,</w:t>
      </w:r>
      <w:r w:rsidR="00D249D4">
        <w:rPr>
          <w:sz w:val="24"/>
          <w:szCs w:val="24"/>
        </w:rPr>
        <w:t xml:space="preserve"> to </w:t>
      </w:r>
      <w:r w:rsidR="00D12DB0">
        <w:rPr>
          <w:sz w:val="24"/>
          <w:szCs w:val="24"/>
        </w:rPr>
        <w:t xml:space="preserve">attain an overview of departmental approaches, and perceived strengths and challenges, before narrowing </w:t>
      </w:r>
      <w:r w:rsidRPr="00BB0A00">
        <w:rPr>
          <w:sz w:val="24"/>
          <w:szCs w:val="24"/>
        </w:rPr>
        <w:t xml:space="preserve">focus to key themes (Denscombe, 2010). For teachers, I would conduct individual semi-structured interviews, giving me the flexibility to probe into the themes </w:t>
      </w:r>
      <w:r w:rsidRPr="00BB0A00">
        <w:rPr>
          <w:sz w:val="24"/>
          <w:szCs w:val="24"/>
        </w:rPr>
        <w:lastRenderedPageBreak/>
        <w:t xml:space="preserve">that come out of the questionnaires </w:t>
      </w:r>
      <w:r w:rsidR="00472427" w:rsidRPr="00BB0A00">
        <w:rPr>
          <w:sz w:val="24"/>
          <w:szCs w:val="24"/>
        </w:rPr>
        <w:t>and</w:t>
      </w:r>
      <w:r w:rsidRPr="00BB0A00">
        <w:rPr>
          <w:sz w:val="24"/>
          <w:szCs w:val="24"/>
        </w:rPr>
        <w:t xml:space="preserve"> follow lines of inquiry from the interviewee (Gray, 2018; Opie, 2019). I believe that individual interviews may be more useful for teachers to avoid strong characters dominating discussions, especially as difference between settings is a factor that I intend to examine (Opie, 2019). </w:t>
      </w:r>
    </w:p>
    <w:p w14:paraId="4E269273" w14:textId="77777777" w:rsidR="00C46B50" w:rsidRPr="00BB0A00" w:rsidRDefault="00C46B50">
      <w:pPr>
        <w:pStyle w:val="Heading2"/>
        <w:keepNext w:val="0"/>
        <w:widowControl w:val="0"/>
        <w:spacing w:line="480" w:lineRule="auto"/>
        <w:rPr>
          <w:u w:val="single"/>
        </w:rPr>
      </w:pPr>
      <w:bookmarkStart w:id="20" w:name="_u7071oe20f60" w:colFirst="0" w:colLast="0"/>
      <w:bookmarkEnd w:id="20"/>
    </w:p>
    <w:p w14:paraId="4E269274" w14:textId="77777777" w:rsidR="00C46B50" w:rsidRPr="00BB0A00" w:rsidRDefault="00233DF4">
      <w:pPr>
        <w:pStyle w:val="Heading2"/>
        <w:keepNext w:val="0"/>
        <w:widowControl w:val="0"/>
        <w:spacing w:line="480" w:lineRule="auto"/>
        <w:rPr>
          <w:u w:val="single"/>
        </w:rPr>
      </w:pPr>
      <w:bookmarkStart w:id="21" w:name="_7saggt7hqk6a" w:colFirst="0" w:colLast="0"/>
      <w:bookmarkStart w:id="22" w:name="_Toc228222291"/>
      <w:bookmarkEnd w:id="21"/>
      <w:r w:rsidRPr="00BB0A00">
        <w:rPr>
          <w:u w:val="single"/>
        </w:rPr>
        <w:t>3.4 Ethical considerations</w:t>
      </w:r>
      <w:bookmarkEnd w:id="22"/>
    </w:p>
    <w:p w14:paraId="4E269275" w14:textId="267228F9" w:rsidR="00C46B50" w:rsidRPr="00BB0A00" w:rsidRDefault="00233DF4">
      <w:pPr>
        <w:spacing w:line="480" w:lineRule="auto"/>
        <w:rPr>
          <w:sz w:val="24"/>
          <w:szCs w:val="24"/>
        </w:rPr>
      </w:pPr>
      <w:r w:rsidRPr="00BB0A00">
        <w:rPr>
          <w:sz w:val="24"/>
          <w:szCs w:val="24"/>
        </w:rPr>
        <w:t xml:space="preserve">Ethics is an essential consideration in education </w:t>
      </w:r>
      <w:r w:rsidR="00472427" w:rsidRPr="00BB0A00">
        <w:rPr>
          <w:sz w:val="24"/>
          <w:szCs w:val="24"/>
        </w:rPr>
        <w:t>research,</w:t>
      </w:r>
      <w:r w:rsidRPr="00BB0A00">
        <w:rPr>
          <w:sz w:val="24"/>
          <w:szCs w:val="24"/>
        </w:rPr>
        <w:t xml:space="preserve"> and each researcher must </w:t>
      </w:r>
      <w:r w:rsidR="003A5236">
        <w:rPr>
          <w:sz w:val="24"/>
          <w:szCs w:val="24"/>
        </w:rPr>
        <w:t xml:space="preserve">follow </w:t>
      </w:r>
      <w:r w:rsidRPr="00BB0A00">
        <w:rPr>
          <w:sz w:val="24"/>
          <w:szCs w:val="24"/>
        </w:rPr>
        <w:t xml:space="preserve">the guidelines set out by the British Educational Research Association (BERA) and their academic institution (BERA, 2024; UWTSD, 2022a). </w:t>
      </w:r>
    </w:p>
    <w:p w14:paraId="4E269276" w14:textId="77777777" w:rsidR="00C46B50" w:rsidRPr="00BB0A00" w:rsidRDefault="00C46B50">
      <w:pPr>
        <w:spacing w:line="480" w:lineRule="auto"/>
        <w:rPr>
          <w:sz w:val="24"/>
          <w:szCs w:val="24"/>
        </w:rPr>
      </w:pPr>
    </w:p>
    <w:p w14:paraId="4E269277" w14:textId="01CF217F" w:rsidR="00C46B50" w:rsidRPr="00BB0A00" w:rsidRDefault="00233DF4">
      <w:pPr>
        <w:spacing w:line="480" w:lineRule="auto"/>
        <w:rPr>
          <w:sz w:val="24"/>
          <w:szCs w:val="24"/>
        </w:rPr>
      </w:pPr>
      <w:r w:rsidRPr="00BB0A00">
        <w:rPr>
          <w:sz w:val="24"/>
          <w:szCs w:val="24"/>
        </w:rPr>
        <w:t xml:space="preserve">To give their informed consent, participants must </w:t>
      </w:r>
      <w:r w:rsidR="003A5236">
        <w:rPr>
          <w:sz w:val="24"/>
          <w:szCs w:val="24"/>
        </w:rPr>
        <w:t xml:space="preserve">fully </w:t>
      </w:r>
      <w:r w:rsidRPr="00BB0A00">
        <w:rPr>
          <w:sz w:val="24"/>
          <w:szCs w:val="24"/>
        </w:rPr>
        <w:t xml:space="preserve">understand: the purpose, context, procedure and how research will be disseminated; risks or benefits of participation; their right to withdraw or refuse to participate; their right to privacy and anonymity; and opportunities to feed back (Cohen </w:t>
      </w:r>
      <w:r w:rsidRPr="00BB0A00">
        <w:rPr>
          <w:i/>
          <w:iCs/>
          <w:sz w:val="24"/>
          <w:szCs w:val="24"/>
        </w:rPr>
        <w:t xml:space="preserve">et al., </w:t>
      </w:r>
      <w:r w:rsidRPr="00BB0A00">
        <w:rPr>
          <w:sz w:val="24"/>
          <w:szCs w:val="24"/>
        </w:rPr>
        <w:t>2011). To ensure participant understanding information sheets and consent forms should be created and shared.  Brown (2019) added that this consent must be obtained at an institutional and individual level</w:t>
      </w:r>
      <w:r w:rsidR="006B5A3C">
        <w:rPr>
          <w:sz w:val="24"/>
          <w:szCs w:val="24"/>
        </w:rPr>
        <w:t xml:space="preserve">. </w:t>
      </w:r>
      <w:r w:rsidR="006B5A3C" w:rsidRPr="006B5A3C">
        <w:rPr>
          <w:sz w:val="24"/>
          <w:szCs w:val="24"/>
        </w:rPr>
        <w:t xml:space="preserve">In this study, this would mean first approaching the headteacher of each participating school, as gatekeeper, to request permission to conduct the research within the school. Once institutional permission had been granted, I would then approach the head of mathematics to discuss access to teachers and Year </w:t>
      </w:r>
      <w:r w:rsidR="006B5A3C">
        <w:rPr>
          <w:sz w:val="24"/>
          <w:szCs w:val="24"/>
        </w:rPr>
        <w:t>Nine</w:t>
      </w:r>
      <w:r w:rsidR="006B5A3C" w:rsidRPr="006B5A3C">
        <w:rPr>
          <w:sz w:val="24"/>
          <w:szCs w:val="24"/>
        </w:rPr>
        <w:t xml:space="preserve"> pupils. Individual teachers would receive an information sheet and consent form before deciding whether to take part. For pupil participants, school-level permission would only grant access; it would not replace individual ethical consent. Therefore, parents or guardians would be asked </w:t>
      </w:r>
      <w:r w:rsidR="006B5A3C" w:rsidRPr="006B5A3C">
        <w:rPr>
          <w:sz w:val="24"/>
          <w:szCs w:val="24"/>
        </w:rPr>
        <w:lastRenderedPageBreak/>
        <w:t>to provide consent, and pupils would also be asked to give assent before completing questionnaires or taking part in group interviews (Alderson, 2014)</w:t>
      </w:r>
      <w:r w:rsidRPr="00BB0A00">
        <w:rPr>
          <w:sz w:val="24"/>
          <w:szCs w:val="24"/>
        </w:rPr>
        <w:t>. Information must be shared and disseminated in an age-appropriate and accessible manner (Alderson, 2014).</w:t>
      </w:r>
    </w:p>
    <w:p w14:paraId="4E269278" w14:textId="223467A9" w:rsidR="00C46B50" w:rsidRPr="00BB0A00" w:rsidRDefault="00233DF4">
      <w:pPr>
        <w:spacing w:line="480" w:lineRule="auto"/>
        <w:rPr>
          <w:sz w:val="24"/>
          <w:szCs w:val="24"/>
        </w:rPr>
      </w:pPr>
      <w:r w:rsidRPr="00BB0A00">
        <w:rPr>
          <w:sz w:val="24"/>
          <w:szCs w:val="24"/>
        </w:rPr>
        <w:t xml:space="preserve">All participants, parents, and gatekeepers must be made aware of the voluntary nature </w:t>
      </w:r>
      <w:r w:rsidR="006B5A3C" w:rsidRPr="00BB0A00">
        <w:rPr>
          <w:sz w:val="24"/>
          <w:szCs w:val="24"/>
        </w:rPr>
        <w:t>participation and</w:t>
      </w:r>
      <w:r w:rsidRPr="00BB0A00">
        <w:rPr>
          <w:sz w:val="24"/>
          <w:szCs w:val="24"/>
        </w:rPr>
        <w:t xml:space="preserve"> understand their right to refuse or withdraw as well as their right to privacy (Bryman, 2016). As a teacher in North Wales, I may be known to gatekeepers and participants, and could be perceived to be in a position of power (Carmichael </w:t>
      </w:r>
      <w:r w:rsidRPr="00BB0A00">
        <w:rPr>
          <w:i/>
          <w:iCs/>
          <w:sz w:val="24"/>
          <w:szCs w:val="24"/>
        </w:rPr>
        <w:t>et al.</w:t>
      </w:r>
      <w:r w:rsidRPr="00BB0A00">
        <w:rPr>
          <w:sz w:val="24"/>
          <w:szCs w:val="24"/>
        </w:rPr>
        <w:t xml:space="preserve">, 2011; Northouse, 2010). To minimise power imbalances, building trust, highlighting voluntariness and reminding of the right to withdraw is essential, particularly with pupils where care must be taken to ensure participation is </w:t>
      </w:r>
      <w:r w:rsidR="00686D8F" w:rsidRPr="00BB0A00">
        <w:rPr>
          <w:sz w:val="24"/>
          <w:szCs w:val="24"/>
        </w:rPr>
        <w:t>interpreted as mandatory</w:t>
      </w:r>
      <w:r w:rsidRPr="00BB0A00">
        <w:rPr>
          <w:sz w:val="24"/>
          <w:szCs w:val="24"/>
        </w:rPr>
        <w:t xml:space="preserve"> (Brooks </w:t>
      </w:r>
      <w:r w:rsidRPr="00BB0A00">
        <w:rPr>
          <w:i/>
          <w:iCs/>
          <w:sz w:val="24"/>
          <w:szCs w:val="24"/>
        </w:rPr>
        <w:t>et al.</w:t>
      </w:r>
      <w:r w:rsidRPr="00BB0A00">
        <w:rPr>
          <w:sz w:val="24"/>
          <w:szCs w:val="24"/>
        </w:rPr>
        <w:t xml:space="preserve">, 2014). </w:t>
      </w:r>
    </w:p>
    <w:p w14:paraId="4E269279" w14:textId="77777777" w:rsidR="00C46B50" w:rsidRPr="00BB0A00" w:rsidRDefault="00C46B50">
      <w:pPr>
        <w:spacing w:line="480" w:lineRule="auto"/>
        <w:rPr>
          <w:sz w:val="24"/>
          <w:szCs w:val="24"/>
        </w:rPr>
      </w:pPr>
    </w:p>
    <w:p w14:paraId="4E26927A" w14:textId="77777777" w:rsidR="00C46B50" w:rsidRPr="00BB0A00" w:rsidRDefault="00233DF4">
      <w:pPr>
        <w:spacing w:line="480" w:lineRule="auto"/>
        <w:rPr>
          <w:sz w:val="24"/>
          <w:szCs w:val="24"/>
        </w:rPr>
      </w:pPr>
      <w:r w:rsidRPr="00BB0A00">
        <w:rPr>
          <w:sz w:val="24"/>
          <w:szCs w:val="24"/>
        </w:rPr>
        <w:t>Data protection is a major concern in research and researchers must be aware of how to follow the General Data Protection Regulation (GDPR) as well as institutional data protection guidelines (UWTSD, 2022b; Flick, 2023). Participants’ identities should be pseudonymised so that they cannot be identified by speech patterns (Hammersley, 2021). Data stored must be stored in a university managed environment, and only stored for as long as they are of value to the researcher. These processes must be made clear to</w:t>
      </w:r>
      <w:r w:rsidRPr="00BB0A00">
        <w:rPr>
          <w:sz w:val="24"/>
          <w:szCs w:val="24"/>
        </w:rPr>
        <w:t xml:space="preserve"> participants (UWTSD, 2022b). </w:t>
      </w:r>
    </w:p>
    <w:p w14:paraId="4E26927B" w14:textId="77777777" w:rsidR="00C46B50" w:rsidRPr="00BB0A00" w:rsidRDefault="00233DF4">
      <w:pPr>
        <w:spacing w:line="480" w:lineRule="auto"/>
        <w:rPr>
          <w:sz w:val="24"/>
          <w:szCs w:val="24"/>
        </w:rPr>
      </w:pPr>
      <w:r w:rsidRPr="00BB0A00">
        <w:rPr>
          <w:sz w:val="24"/>
          <w:szCs w:val="24"/>
        </w:rPr>
        <w:t xml:space="preserve">The research is unlikely to cause physical harm to participants, voicing opinions may pose reputational or emotional risk (Hammersley, 2021).To mitigate this risk, participants should be given opportunities to confirm that the researcher’s interpretation </w:t>
      </w:r>
      <w:r w:rsidRPr="00BB0A00">
        <w:rPr>
          <w:sz w:val="24"/>
          <w:szCs w:val="24"/>
        </w:rPr>
        <w:lastRenderedPageBreak/>
        <w:t xml:space="preserve">of their contribution is correct, especially when quoted (Denscombe, 2002). Care will be taken to avoid causing stress and discomfort, and support resources should be signposted (Denscombe, 2002). </w:t>
      </w:r>
    </w:p>
    <w:p w14:paraId="4E26927C" w14:textId="77777777" w:rsidR="00C46B50" w:rsidRPr="00BB0A00" w:rsidRDefault="00233DF4">
      <w:pPr>
        <w:pStyle w:val="Heading1"/>
        <w:keepNext w:val="0"/>
        <w:widowControl w:val="0"/>
        <w:spacing w:after="80" w:line="480" w:lineRule="auto"/>
        <w:rPr>
          <w:sz w:val="24"/>
          <w:szCs w:val="24"/>
          <w:u w:val="single"/>
        </w:rPr>
      </w:pPr>
      <w:bookmarkStart w:id="23" w:name="_nd862le17l3y" w:colFirst="0" w:colLast="0"/>
      <w:bookmarkStart w:id="24" w:name="_Toc228222292"/>
      <w:bookmarkEnd w:id="23"/>
      <w:r w:rsidRPr="00BB0A00">
        <w:rPr>
          <w:sz w:val="24"/>
          <w:szCs w:val="24"/>
          <w:u w:val="single"/>
        </w:rPr>
        <w:t>4. Data Analysis</w:t>
      </w:r>
      <w:bookmarkEnd w:id="24"/>
    </w:p>
    <w:p w14:paraId="22FD59EE" w14:textId="77777777" w:rsidR="00372C30" w:rsidRDefault="00233DF4">
      <w:pPr>
        <w:spacing w:line="480" w:lineRule="auto"/>
        <w:rPr>
          <w:sz w:val="24"/>
          <w:szCs w:val="24"/>
        </w:rPr>
      </w:pPr>
      <w:r w:rsidRPr="00BB0A00">
        <w:rPr>
          <w:sz w:val="24"/>
          <w:szCs w:val="24"/>
        </w:rPr>
        <w:t xml:space="preserve">For pupils and teachers, the questionnaires will inform the direction of the interviews, therefore data will be analysed sequentially to allow the methods to complement each other (Gray, 2018). Most of the quantitative data that I will gather will be ordinal, gathering data on the extent certain factors identified in literature affect pupils and teachers (Cohen </w:t>
      </w:r>
      <w:r w:rsidRPr="00BB0A00">
        <w:rPr>
          <w:i/>
          <w:iCs/>
          <w:sz w:val="24"/>
          <w:szCs w:val="24"/>
        </w:rPr>
        <w:t>et al.,</w:t>
      </w:r>
      <w:r w:rsidRPr="00BB0A00">
        <w:rPr>
          <w:sz w:val="24"/>
          <w:szCs w:val="24"/>
        </w:rPr>
        <w:t xml:space="preserve"> 2011). This data would undergo descriptive analysis, collecting mean and modal</w:t>
      </w:r>
      <w:r w:rsidRPr="00BB0A00">
        <w:rPr>
          <w:sz w:val="24"/>
          <w:szCs w:val="24"/>
        </w:rPr>
        <w:t xml:space="preserve"> values and would allow me to understand the distribution of variables in the data (Punch and Oancea, 2014).</w:t>
      </w:r>
      <w:r w:rsidR="00372C30" w:rsidRPr="00372C30">
        <w:t xml:space="preserve"> </w:t>
      </w:r>
      <w:r w:rsidR="00372C30" w:rsidRPr="00372C30">
        <w:rPr>
          <w:sz w:val="24"/>
          <w:szCs w:val="24"/>
        </w:rPr>
        <w:t>Descriptive analysis is appropriate because the questionnaire data is intended to summarise patterns in participants’ responses, rather than to test hypotheses or make statistical generalisations</w:t>
      </w:r>
      <w:r w:rsidR="00372C30">
        <w:rPr>
          <w:sz w:val="24"/>
          <w:szCs w:val="24"/>
        </w:rPr>
        <w:t xml:space="preserve"> </w:t>
      </w:r>
      <w:r w:rsidR="00372C30" w:rsidRPr="00BB0A00">
        <w:rPr>
          <w:sz w:val="24"/>
          <w:szCs w:val="24"/>
        </w:rPr>
        <w:t>(Punch and Oancea, 2014)</w:t>
      </w:r>
      <w:r w:rsidR="00372C30" w:rsidRPr="00372C30">
        <w:rPr>
          <w:sz w:val="24"/>
          <w:szCs w:val="24"/>
        </w:rPr>
        <w:t xml:space="preserve">. </w:t>
      </w:r>
      <w:r w:rsidRPr="00BB0A00">
        <w:rPr>
          <w:sz w:val="24"/>
          <w:szCs w:val="24"/>
        </w:rPr>
        <w:t xml:space="preserve"> </w:t>
      </w:r>
    </w:p>
    <w:p w14:paraId="18244557" w14:textId="77777777" w:rsidR="00372C30" w:rsidRDefault="00372C30">
      <w:pPr>
        <w:spacing w:line="480" w:lineRule="auto"/>
        <w:rPr>
          <w:sz w:val="24"/>
          <w:szCs w:val="24"/>
        </w:rPr>
      </w:pPr>
    </w:p>
    <w:p w14:paraId="4E26927D" w14:textId="07B82B9D" w:rsidR="00C46B50" w:rsidRPr="00BB0A00" w:rsidRDefault="00372C30">
      <w:pPr>
        <w:spacing w:line="480" w:lineRule="auto"/>
        <w:rPr>
          <w:sz w:val="24"/>
          <w:szCs w:val="24"/>
        </w:rPr>
      </w:pPr>
      <w:r>
        <w:rPr>
          <w:sz w:val="24"/>
          <w:szCs w:val="24"/>
        </w:rPr>
        <w:t>Audio recordings of my participants’</w:t>
      </w:r>
      <w:r w:rsidRPr="00BB0A00">
        <w:rPr>
          <w:sz w:val="24"/>
          <w:szCs w:val="24"/>
        </w:rPr>
        <w:t xml:space="preserve"> interviews would be transcribed manuall</w:t>
      </w:r>
      <w:r w:rsidR="00A75C5A">
        <w:rPr>
          <w:sz w:val="24"/>
          <w:szCs w:val="24"/>
        </w:rPr>
        <w:t xml:space="preserve">y, </w:t>
      </w:r>
      <w:r w:rsidR="009A27DF">
        <w:rPr>
          <w:sz w:val="24"/>
          <w:szCs w:val="24"/>
        </w:rPr>
        <w:t xml:space="preserve">allowing </w:t>
      </w:r>
      <w:r w:rsidR="009A27DF" w:rsidRPr="00BB0A00">
        <w:rPr>
          <w:sz w:val="24"/>
          <w:szCs w:val="24"/>
        </w:rPr>
        <w:t>participants</w:t>
      </w:r>
      <w:r w:rsidRPr="00BB0A00">
        <w:rPr>
          <w:sz w:val="24"/>
          <w:szCs w:val="24"/>
        </w:rPr>
        <w:t xml:space="preserve"> </w:t>
      </w:r>
      <w:r w:rsidR="00A75C5A">
        <w:rPr>
          <w:sz w:val="24"/>
          <w:szCs w:val="24"/>
        </w:rPr>
        <w:t>to contribute</w:t>
      </w:r>
      <w:r w:rsidRPr="00BB0A00">
        <w:rPr>
          <w:sz w:val="24"/>
          <w:szCs w:val="24"/>
        </w:rPr>
        <w:t xml:space="preserve"> in the language they feel most confident in, </w:t>
      </w:r>
      <w:r w:rsidR="00A75C5A">
        <w:rPr>
          <w:sz w:val="24"/>
          <w:szCs w:val="24"/>
        </w:rPr>
        <w:t>as</w:t>
      </w:r>
      <w:r w:rsidRPr="00BB0A00">
        <w:rPr>
          <w:sz w:val="24"/>
          <w:szCs w:val="24"/>
        </w:rPr>
        <w:t xml:space="preserve"> I </w:t>
      </w:r>
      <w:r w:rsidR="004714CA" w:rsidRPr="00BB0A00">
        <w:rPr>
          <w:sz w:val="24"/>
          <w:szCs w:val="24"/>
        </w:rPr>
        <w:t>can</w:t>
      </w:r>
      <w:r w:rsidRPr="00BB0A00">
        <w:rPr>
          <w:sz w:val="24"/>
          <w:szCs w:val="24"/>
        </w:rPr>
        <w:t xml:space="preserve"> transcribe bilingually being equally confident in Welsh and English. This will also mean I would be able to </w:t>
      </w:r>
      <w:r w:rsidR="004714CA" w:rsidRPr="00BB0A00">
        <w:rPr>
          <w:sz w:val="24"/>
          <w:szCs w:val="24"/>
        </w:rPr>
        <w:t>anonymi</w:t>
      </w:r>
      <w:r w:rsidR="00CA2B57" w:rsidRPr="00BB0A00">
        <w:rPr>
          <w:sz w:val="24"/>
          <w:szCs w:val="24"/>
        </w:rPr>
        <w:t>s</w:t>
      </w:r>
      <w:r w:rsidR="004714CA" w:rsidRPr="00BB0A00">
        <w:rPr>
          <w:sz w:val="24"/>
          <w:szCs w:val="24"/>
        </w:rPr>
        <w:t>e</w:t>
      </w:r>
      <w:r w:rsidRPr="00BB0A00">
        <w:rPr>
          <w:sz w:val="24"/>
          <w:szCs w:val="24"/>
        </w:rPr>
        <w:t xml:space="preserve"> participants while writing the transcription. </w:t>
      </w:r>
    </w:p>
    <w:p w14:paraId="4E26927E" w14:textId="77777777" w:rsidR="00C46B50" w:rsidRPr="00BB0A00" w:rsidRDefault="00C46B50">
      <w:pPr>
        <w:spacing w:line="480" w:lineRule="auto"/>
        <w:rPr>
          <w:sz w:val="24"/>
          <w:szCs w:val="24"/>
        </w:rPr>
      </w:pPr>
    </w:p>
    <w:p w14:paraId="4E26927F" w14:textId="70DF121B" w:rsidR="00C46B50" w:rsidRPr="00BB0A00" w:rsidRDefault="00233DF4">
      <w:pPr>
        <w:spacing w:line="480" w:lineRule="auto"/>
        <w:rPr>
          <w:sz w:val="24"/>
          <w:szCs w:val="24"/>
        </w:rPr>
      </w:pPr>
      <w:r w:rsidRPr="00BB0A00">
        <w:rPr>
          <w:sz w:val="24"/>
          <w:szCs w:val="24"/>
        </w:rPr>
        <w:t>The interviews, once transcribed, would be subject to a thematic analysis</w:t>
      </w:r>
      <w:r w:rsidR="00846C89">
        <w:rPr>
          <w:sz w:val="24"/>
          <w:szCs w:val="24"/>
        </w:rPr>
        <w:t>. Thematic analysis is appropriate for my study</w:t>
      </w:r>
      <w:r w:rsidR="009A6F6C">
        <w:rPr>
          <w:sz w:val="24"/>
          <w:szCs w:val="24"/>
        </w:rPr>
        <w:t xml:space="preserve">, due to seeking to identify meaning across individuals’ accounts of mathematics learning and departmental responses and the </w:t>
      </w:r>
      <w:r w:rsidR="009A6F6C">
        <w:rPr>
          <w:sz w:val="24"/>
          <w:szCs w:val="24"/>
        </w:rPr>
        <w:lastRenderedPageBreak/>
        <w:t xml:space="preserve">interview responses will </w:t>
      </w:r>
      <w:r w:rsidR="00723D0F">
        <w:rPr>
          <w:sz w:val="24"/>
          <w:szCs w:val="24"/>
        </w:rPr>
        <w:t>provide the largest body of evidence for answering the research questions</w:t>
      </w:r>
      <w:r w:rsidRPr="00BB0A00">
        <w:rPr>
          <w:sz w:val="24"/>
          <w:szCs w:val="24"/>
        </w:rPr>
        <w:t xml:space="preserve"> (Bryman, 2016; Flick, 2023).</w:t>
      </w:r>
    </w:p>
    <w:p w14:paraId="4E269280" w14:textId="77777777" w:rsidR="00C46B50" w:rsidRPr="00BB0A00" w:rsidRDefault="00C46B50">
      <w:pPr>
        <w:spacing w:line="480" w:lineRule="auto"/>
        <w:rPr>
          <w:sz w:val="24"/>
          <w:szCs w:val="24"/>
        </w:rPr>
      </w:pPr>
    </w:p>
    <w:p w14:paraId="4E269281" w14:textId="4C27909D" w:rsidR="00C46B50" w:rsidRPr="00BB0A00" w:rsidRDefault="00233DF4">
      <w:pPr>
        <w:spacing w:line="480" w:lineRule="auto"/>
        <w:rPr>
          <w:sz w:val="24"/>
          <w:szCs w:val="24"/>
        </w:rPr>
      </w:pPr>
      <w:r w:rsidRPr="00BB0A00">
        <w:rPr>
          <w:sz w:val="24"/>
          <w:szCs w:val="24"/>
        </w:rPr>
        <w:t>Thematic analysis constructs meaning through identifying, analysing and reporting themes and patterns in data and can be applied to quantitative and qualitative data (Brown and Scaife, 2019). Braun and Clarke (20</w:t>
      </w:r>
      <w:r w:rsidR="004C3EA9">
        <w:rPr>
          <w:sz w:val="24"/>
          <w:szCs w:val="24"/>
        </w:rPr>
        <w:t>22</w:t>
      </w:r>
      <w:r w:rsidRPr="00BB0A00">
        <w:rPr>
          <w:sz w:val="24"/>
          <w:szCs w:val="24"/>
        </w:rPr>
        <w:t xml:space="preserve">) describe a six-stage process of thematic analysis: </w:t>
      </w:r>
      <w:r w:rsidR="004714CA" w:rsidRPr="00BB0A00">
        <w:rPr>
          <w:sz w:val="24"/>
          <w:szCs w:val="24"/>
        </w:rPr>
        <w:t>familiari</w:t>
      </w:r>
      <w:r w:rsidR="00CA2B57" w:rsidRPr="00BB0A00">
        <w:rPr>
          <w:sz w:val="24"/>
          <w:szCs w:val="24"/>
        </w:rPr>
        <w:t>s</w:t>
      </w:r>
      <w:r w:rsidR="004714CA" w:rsidRPr="00BB0A00">
        <w:rPr>
          <w:sz w:val="24"/>
          <w:szCs w:val="24"/>
        </w:rPr>
        <w:t>ation</w:t>
      </w:r>
      <w:r w:rsidRPr="00BB0A00">
        <w:rPr>
          <w:sz w:val="24"/>
          <w:szCs w:val="24"/>
        </w:rPr>
        <w:t>, coding, searching for themes, reviewing themes, defining and naming themes, and writing up.</w:t>
      </w:r>
    </w:p>
    <w:p w14:paraId="4E269282" w14:textId="77777777" w:rsidR="00C46B50" w:rsidRPr="00BB0A00" w:rsidRDefault="00C46B50">
      <w:pPr>
        <w:spacing w:line="480" w:lineRule="auto"/>
        <w:rPr>
          <w:sz w:val="24"/>
          <w:szCs w:val="24"/>
        </w:rPr>
      </w:pPr>
    </w:p>
    <w:p w14:paraId="4E269283" w14:textId="7ACB2E71" w:rsidR="00C46B50" w:rsidRPr="00BB0A00" w:rsidRDefault="00233DF4">
      <w:pPr>
        <w:spacing w:line="480" w:lineRule="auto"/>
        <w:rPr>
          <w:sz w:val="24"/>
          <w:szCs w:val="24"/>
        </w:rPr>
      </w:pPr>
      <w:r w:rsidRPr="00BB0A00">
        <w:rPr>
          <w:sz w:val="24"/>
          <w:szCs w:val="24"/>
        </w:rPr>
        <w:t xml:space="preserve">Repeated reading of transcriptions of interviews will allow me to </w:t>
      </w:r>
      <w:r w:rsidR="004714CA" w:rsidRPr="00BB0A00">
        <w:rPr>
          <w:sz w:val="24"/>
          <w:szCs w:val="24"/>
        </w:rPr>
        <w:t>familiari</w:t>
      </w:r>
      <w:r w:rsidR="00CA2B57" w:rsidRPr="00BB0A00">
        <w:rPr>
          <w:sz w:val="24"/>
          <w:szCs w:val="24"/>
        </w:rPr>
        <w:t>s</w:t>
      </w:r>
      <w:r w:rsidR="004714CA" w:rsidRPr="00BB0A00">
        <w:rPr>
          <w:sz w:val="24"/>
          <w:szCs w:val="24"/>
        </w:rPr>
        <w:t>e</w:t>
      </w:r>
      <w:r w:rsidRPr="00BB0A00">
        <w:rPr>
          <w:sz w:val="24"/>
          <w:szCs w:val="24"/>
        </w:rPr>
        <w:t xml:space="preserve"> myself with the data </w:t>
      </w:r>
      <w:r w:rsidR="004714CA" w:rsidRPr="00BB0A00">
        <w:rPr>
          <w:sz w:val="24"/>
          <w:szCs w:val="24"/>
        </w:rPr>
        <w:t>where</w:t>
      </w:r>
      <w:r w:rsidRPr="00BB0A00">
        <w:rPr>
          <w:sz w:val="24"/>
          <w:szCs w:val="24"/>
        </w:rPr>
        <w:t xml:space="preserve"> I will code and cluster key issues and themes (Bell and Waters, 2018). The themes will then be reviewed and refined to ensure coherence, sorting codes into themes and subthemes and removing irrelevant </w:t>
      </w:r>
      <w:r w:rsidR="00117399" w:rsidRPr="00BB0A00">
        <w:rPr>
          <w:sz w:val="24"/>
          <w:szCs w:val="24"/>
        </w:rPr>
        <w:t>themes</w:t>
      </w:r>
      <w:r w:rsidRPr="00BB0A00">
        <w:rPr>
          <w:sz w:val="24"/>
          <w:szCs w:val="24"/>
        </w:rPr>
        <w:t xml:space="preserve"> (Flick, 2023). Finally, the themes will be interpreted and </w:t>
      </w:r>
      <w:r w:rsidR="004714CA" w:rsidRPr="00BB0A00">
        <w:rPr>
          <w:sz w:val="24"/>
          <w:szCs w:val="24"/>
        </w:rPr>
        <w:t>analy</w:t>
      </w:r>
      <w:r w:rsidR="00CA2B57" w:rsidRPr="00BB0A00">
        <w:rPr>
          <w:sz w:val="24"/>
          <w:szCs w:val="24"/>
        </w:rPr>
        <w:t>s</w:t>
      </w:r>
      <w:r w:rsidR="004714CA" w:rsidRPr="00BB0A00">
        <w:rPr>
          <w:sz w:val="24"/>
          <w:szCs w:val="24"/>
        </w:rPr>
        <w:t>ed</w:t>
      </w:r>
      <w:r w:rsidRPr="00BB0A00">
        <w:rPr>
          <w:sz w:val="24"/>
          <w:szCs w:val="24"/>
        </w:rPr>
        <w:t xml:space="preserve"> in relation to the research question, exploring the relationships between pupil experience and departments’ interpretations of the CfW. </w:t>
      </w:r>
    </w:p>
    <w:p w14:paraId="4E269284" w14:textId="77777777" w:rsidR="00C46B50" w:rsidRPr="00BB0A00" w:rsidRDefault="00C46B50">
      <w:pPr>
        <w:spacing w:line="480" w:lineRule="auto"/>
        <w:rPr>
          <w:sz w:val="24"/>
          <w:szCs w:val="24"/>
        </w:rPr>
      </w:pPr>
    </w:p>
    <w:p w14:paraId="4E269285" w14:textId="06FE34D4" w:rsidR="00C46B50" w:rsidRPr="00BB0A00" w:rsidRDefault="00BD3AF2">
      <w:pPr>
        <w:spacing w:line="480" w:lineRule="auto"/>
        <w:rPr>
          <w:sz w:val="24"/>
          <w:szCs w:val="24"/>
        </w:rPr>
      </w:pPr>
      <w:r>
        <w:rPr>
          <w:sz w:val="24"/>
          <w:szCs w:val="24"/>
        </w:rPr>
        <w:t>T</w:t>
      </w:r>
      <w:r w:rsidRPr="00BB0A00">
        <w:rPr>
          <w:sz w:val="24"/>
          <w:szCs w:val="24"/>
        </w:rPr>
        <w:t xml:space="preserve">riangulation will be beneficial in this research as data will be collected from different sources in different ways. Triangulation is defined as using different sources of data, methods and ontologies to enhance the validity of the data collected (Bryman, 2016; Creswell and Plano Clark, 2018). Using triangulation can confirm, contradict or converge results (Flick, 2023). In this study, triangulation will </w:t>
      </w:r>
      <w:r w:rsidR="004714CA" w:rsidRPr="00BB0A00">
        <w:rPr>
          <w:sz w:val="24"/>
          <w:szCs w:val="24"/>
        </w:rPr>
        <w:t>involve</w:t>
      </w:r>
      <w:r w:rsidRPr="00BB0A00">
        <w:rPr>
          <w:sz w:val="24"/>
          <w:szCs w:val="24"/>
        </w:rPr>
        <w:t xml:space="preserve"> comparing data from pupil questionnaires and group interviews with data from teacher interviews and questionnaires. This will enable comparison between pupils’ experience of mathematics </w:t>
      </w:r>
      <w:r w:rsidRPr="00BB0A00">
        <w:rPr>
          <w:sz w:val="24"/>
          <w:szCs w:val="24"/>
        </w:rPr>
        <w:lastRenderedPageBreak/>
        <w:t xml:space="preserve">and teachers’ interpretation and enactment of the curriculum - one of the objectives of the research, and by investigating areas of contrast and comparison from multiple data sources, the </w:t>
      </w:r>
      <w:r w:rsidR="00462E49">
        <w:rPr>
          <w:sz w:val="24"/>
          <w:szCs w:val="24"/>
        </w:rPr>
        <w:t xml:space="preserve">credibility </w:t>
      </w:r>
      <w:r w:rsidRPr="00BB0A00">
        <w:rPr>
          <w:sz w:val="24"/>
          <w:szCs w:val="24"/>
        </w:rPr>
        <w:t xml:space="preserve">of the study can be increased (Cohen </w:t>
      </w:r>
      <w:r w:rsidRPr="00BB0A00">
        <w:rPr>
          <w:i/>
          <w:iCs/>
          <w:sz w:val="24"/>
          <w:szCs w:val="24"/>
        </w:rPr>
        <w:t>et al.</w:t>
      </w:r>
      <w:r w:rsidRPr="00BB0A00">
        <w:rPr>
          <w:sz w:val="24"/>
          <w:szCs w:val="24"/>
        </w:rPr>
        <w:t xml:space="preserve">, 2011). </w:t>
      </w:r>
    </w:p>
    <w:p w14:paraId="4E269286" w14:textId="77777777" w:rsidR="00C46B50" w:rsidRPr="00BB0A00" w:rsidRDefault="00C46B50">
      <w:pPr>
        <w:spacing w:line="480" w:lineRule="auto"/>
        <w:rPr>
          <w:sz w:val="24"/>
          <w:szCs w:val="24"/>
        </w:rPr>
      </w:pPr>
    </w:p>
    <w:p w14:paraId="4E269287" w14:textId="77777777" w:rsidR="00C46B50" w:rsidRPr="00BB0A00" w:rsidRDefault="00233DF4">
      <w:pPr>
        <w:spacing w:line="480" w:lineRule="auto"/>
        <w:rPr>
          <w:sz w:val="24"/>
          <w:szCs w:val="24"/>
        </w:rPr>
      </w:pPr>
      <w:r w:rsidRPr="00BB0A00">
        <w:rPr>
          <w:sz w:val="24"/>
          <w:szCs w:val="24"/>
        </w:rPr>
        <w:t xml:space="preserve">The credibility and trustworthiness of findings in studies which rely heavily on qualitative data must be held to rigorous account especially as it is not easily replicable (Denscombe, 2010). Being aware of my own biases, beliefs and assumptions is key, and I must remain reflexive throughout the research process, to ensure my own positionality and the fact that I am a novice researcher do not negatively impact the study (Punch and Oancea, 2014). </w:t>
      </w:r>
    </w:p>
    <w:p w14:paraId="4E269288" w14:textId="77777777" w:rsidR="00C46B50" w:rsidRPr="00BB0A00" w:rsidRDefault="00C46B50">
      <w:pPr>
        <w:spacing w:line="480" w:lineRule="auto"/>
        <w:rPr>
          <w:sz w:val="24"/>
          <w:szCs w:val="24"/>
        </w:rPr>
      </w:pPr>
    </w:p>
    <w:p w14:paraId="4E269289" w14:textId="77777777" w:rsidR="00C46B50" w:rsidRPr="00BB0A00" w:rsidRDefault="00233DF4">
      <w:pPr>
        <w:pStyle w:val="Heading1"/>
        <w:keepNext w:val="0"/>
        <w:widowControl w:val="0"/>
        <w:spacing w:after="80" w:line="480" w:lineRule="auto"/>
        <w:rPr>
          <w:sz w:val="24"/>
          <w:szCs w:val="24"/>
          <w:u w:val="single"/>
        </w:rPr>
      </w:pPr>
      <w:bookmarkStart w:id="25" w:name="_t5rzggufj6i0" w:colFirst="0" w:colLast="0"/>
      <w:bookmarkStart w:id="26" w:name="_Toc228222293"/>
      <w:bookmarkEnd w:id="25"/>
      <w:r w:rsidRPr="00BB0A00">
        <w:rPr>
          <w:sz w:val="24"/>
          <w:szCs w:val="24"/>
          <w:u w:val="single"/>
        </w:rPr>
        <w:t>5. Conclusion</w:t>
      </w:r>
      <w:bookmarkEnd w:id="26"/>
    </w:p>
    <w:p w14:paraId="4E26928A" w14:textId="11ED34FC" w:rsidR="00C46B50" w:rsidRPr="00BB0A00" w:rsidRDefault="00233DF4">
      <w:pPr>
        <w:widowControl w:val="0"/>
        <w:spacing w:line="480" w:lineRule="auto"/>
        <w:rPr>
          <w:sz w:val="24"/>
          <w:szCs w:val="24"/>
        </w:rPr>
      </w:pPr>
      <w:r w:rsidRPr="00BB0A00">
        <w:rPr>
          <w:sz w:val="24"/>
          <w:szCs w:val="24"/>
        </w:rPr>
        <w:t>This assignment outlin</w:t>
      </w:r>
      <w:r w:rsidR="00462E49">
        <w:rPr>
          <w:sz w:val="24"/>
          <w:szCs w:val="24"/>
        </w:rPr>
        <w:t>es</w:t>
      </w:r>
      <w:r w:rsidRPr="00BB0A00">
        <w:rPr>
          <w:sz w:val="24"/>
          <w:szCs w:val="24"/>
        </w:rPr>
        <w:t xml:space="preserve"> the research design and methodology for my study into how Year 9 pupils in secondary schools in North Wales experience mathematics learning following the introduction of the Curriculum for Wales, in the context of departmental responses to curriculum reform. The study is underpinned by a primarily interpretivist worldview (Crotty, 1998; Gray, 2018) while drawing on a pragmatic approach to support the use of methods that are most suited to my study (Punch and Oancea, 2014). </w:t>
      </w:r>
    </w:p>
    <w:p w14:paraId="4E26928B" w14:textId="77777777" w:rsidR="00C46B50" w:rsidRPr="00BB0A00" w:rsidRDefault="00C46B50">
      <w:pPr>
        <w:widowControl w:val="0"/>
        <w:spacing w:line="480" w:lineRule="auto"/>
        <w:rPr>
          <w:sz w:val="24"/>
          <w:szCs w:val="24"/>
        </w:rPr>
      </w:pPr>
    </w:p>
    <w:p w14:paraId="4E26928C" w14:textId="56424D04" w:rsidR="00C46B50" w:rsidRPr="00BB0A00" w:rsidRDefault="00233DF4">
      <w:pPr>
        <w:widowControl w:val="0"/>
        <w:spacing w:line="480" w:lineRule="auto"/>
        <w:rPr>
          <w:sz w:val="24"/>
          <w:szCs w:val="24"/>
        </w:rPr>
      </w:pPr>
      <w:r w:rsidRPr="00BB0A00">
        <w:rPr>
          <w:sz w:val="24"/>
          <w:szCs w:val="24"/>
        </w:rPr>
        <w:t xml:space="preserve">An inductive approach, supported by a multiple case study strategy allows for an in-depth investigation into several mathematics departments and </w:t>
      </w:r>
      <w:r w:rsidR="00E707CF" w:rsidRPr="00E707CF">
        <w:rPr>
          <w:sz w:val="24"/>
          <w:szCs w:val="24"/>
        </w:rPr>
        <w:t>how pupils experience mathematics within departments that have interpreted and responded to the CfW in different ways</w:t>
      </w:r>
      <w:r w:rsidRPr="00BB0A00">
        <w:rPr>
          <w:sz w:val="24"/>
          <w:szCs w:val="24"/>
        </w:rPr>
        <w:t xml:space="preserve">. Data collection methods are designed to sequentially capture and </w:t>
      </w:r>
      <w:r w:rsidRPr="00BB0A00">
        <w:rPr>
          <w:sz w:val="24"/>
          <w:szCs w:val="24"/>
        </w:rPr>
        <w:lastRenderedPageBreak/>
        <w:t xml:space="preserve">examine pupil and teacher input, with group interviews, individual interviews and questionnaires identified as combining the strengths, and mitigating the downfalls of several methods (Bell and Waters, 2018; Kumar, 2019). </w:t>
      </w:r>
    </w:p>
    <w:p w14:paraId="4E26928D" w14:textId="77777777" w:rsidR="00C46B50" w:rsidRPr="00BB0A00" w:rsidRDefault="00C46B50">
      <w:pPr>
        <w:widowControl w:val="0"/>
        <w:spacing w:line="480" w:lineRule="auto"/>
        <w:rPr>
          <w:sz w:val="24"/>
          <w:szCs w:val="24"/>
        </w:rPr>
      </w:pPr>
    </w:p>
    <w:p w14:paraId="4E26928E" w14:textId="77777777" w:rsidR="00C46B50" w:rsidRPr="00BB0A00" w:rsidRDefault="00233DF4">
      <w:pPr>
        <w:widowControl w:val="0"/>
        <w:spacing w:line="480" w:lineRule="auto"/>
        <w:rPr>
          <w:sz w:val="24"/>
          <w:szCs w:val="24"/>
        </w:rPr>
      </w:pPr>
      <w:r w:rsidRPr="00BB0A00">
        <w:rPr>
          <w:sz w:val="24"/>
          <w:szCs w:val="24"/>
        </w:rPr>
        <w:t>Data will be analysed through a thematic approach using Braun and Clarke’s (2006) steps to identify patterns and themes. Using triangulation will strengthen the study by allowing for comparison of various data sources (Creswell and Plano Clark, 2018). Ethics and positionality have been considered carefully, due to their significant bearing on the research as an insider, novice researcher.</w:t>
      </w:r>
    </w:p>
    <w:p w14:paraId="4E26928F" w14:textId="77777777" w:rsidR="00C46B50" w:rsidRPr="00BB0A00" w:rsidRDefault="00C46B50">
      <w:pPr>
        <w:widowControl w:val="0"/>
        <w:spacing w:line="480" w:lineRule="auto"/>
        <w:rPr>
          <w:sz w:val="24"/>
          <w:szCs w:val="24"/>
        </w:rPr>
      </w:pPr>
    </w:p>
    <w:p w14:paraId="4E269290" w14:textId="77777777" w:rsidR="00C46B50" w:rsidRPr="00BB0A00" w:rsidRDefault="00233DF4">
      <w:pPr>
        <w:pStyle w:val="Heading2"/>
        <w:widowControl w:val="0"/>
        <w:spacing w:line="480" w:lineRule="auto"/>
      </w:pPr>
      <w:bookmarkStart w:id="27" w:name="_uku91jpu53qq" w:colFirst="0" w:colLast="0"/>
      <w:bookmarkStart w:id="28" w:name="_Toc228222294"/>
      <w:bookmarkEnd w:id="27"/>
      <w:r w:rsidRPr="00BB0A00">
        <w:rPr>
          <w:u w:val="single"/>
        </w:rPr>
        <w:t>References:</w:t>
      </w:r>
      <w:bookmarkEnd w:id="28"/>
    </w:p>
    <w:p w14:paraId="4E269291" w14:textId="77777777" w:rsidR="00C46B50" w:rsidRPr="00BB0A00" w:rsidRDefault="00233DF4">
      <w:pPr>
        <w:tabs>
          <w:tab w:val="right" w:pos="9016"/>
        </w:tabs>
        <w:spacing w:after="100" w:line="480" w:lineRule="auto"/>
        <w:rPr>
          <w:sz w:val="24"/>
          <w:szCs w:val="24"/>
        </w:rPr>
      </w:pPr>
      <w:r w:rsidRPr="00BB0A00">
        <w:rPr>
          <w:sz w:val="24"/>
          <w:szCs w:val="24"/>
        </w:rPr>
        <w:t>Alderson, P. (2014), ‘Ethics’ in Clark, A., Flewitt, R., Hammersley, M., and Robb, M. (eds.), Understanding Research with Children and Young People. London: Sage Publications Ltd. . pp. 85 – 102.</w:t>
      </w:r>
    </w:p>
    <w:p w14:paraId="4E269292" w14:textId="77777777" w:rsidR="00C46B50" w:rsidRPr="00BB0A00" w:rsidRDefault="00233DF4">
      <w:pPr>
        <w:spacing w:line="480" w:lineRule="auto"/>
        <w:rPr>
          <w:sz w:val="24"/>
          <w:szCs w:val="24"/>
        </w:rPr>
      </w:pPr>
      <w:r w:rsidRPr="00BB0A00">
        <w:rPr>
          <w:sz w:val="24"/>
          <w:szCs w:val="24"/>
        </w:rPr>
        <w:t xml:space="preserve">Bell, J. and Waters, S. (2018) </w:t>
      </w:r>
      <w:r w:rsidRPr="00BB0A00">
        <w:rPr>
          <w:i/>
          <w:iCs/>
          <w:sz w:val="24"/>
          <w:szCs w:val="24"/>
        </w:rPr>
        <w:t>Doing your research project</w:t>
      </w:r>
      <w:r w:rsidRPr="00BB0A00">
        <w:rPr>
          <w:sz w:val="24"/>
          <w:szCs w:val="24"/>
        </w:rPr>
        <w:t>. 7th edn. London: McGraw Hill Education.</w:t>
      </w:r>
    </w:p>
    <w:p w14:paraId="4E269293" w14:textId="77777777" w:rsidR="00C46B50" w:rsidRPr="00BB0A00" w:rsidRDefault="00233DF4">
      <w:pPr>
        <w:spacing w:line="480" w:lineRule="auto"/>
        <w:rPr>
          <w:sz w:val="24"/>
          <w:szCs w:val="24"/>
        </w:rPr>
      </w:pPr>
      <w:r w:rsidRPr="00BB0A00">
        <w:rPr>
          <w:sz w:val="24"/>
          <w:szCs w:val="24"/>
        </w:rPr>
        <w:t xml:space="preserve">Biggam, J. (2008) </w:t>
      </w:r>
      <w:r w:rsidRPr="00BB0A00">
        <w:rPr>
          <w:i/>
          <w:iCs/>
          <w:sz w:val="24"/>
          <w:szCs w:val="24"/>
        </w:rPr>
        <w:t xml:space="preserve">Succeeding with your Masters Dissertation: A Practical Step by Step Handbook. </w:t>
      </w:r>
      <w:r w:rsidRPr="00BB0A00">
        <w:rPr>
          <w:sz w:val="24"/>
          <w:szCs w:val="24"/>
        </w:rPr>
        <w:t>Buckingham, England: McGraw-Hill Education.</w:t>
      </w:r>
    </w:p>
    <w:p w14:paraId="4E269295" w14:textId="707A4CC3" w:rsidR="00C46B50" w:rsidRPr="00BB0A00" w:rsidRDefault="004C3EA9">
      <w:pPr>
        <w:tabs>
          <w:tab w:val="right" w:pos="9016"/>
        </w:tabs>
        <w:spacing w:after="100" w:line="480" w:lineRule="auto"/>
        <w:rPr>
          <w:sz w:val="24"/>
          <w:szCs w:val="24"/>
        </w:rPr>
      </w:pPr>
      <w:r w:rsidRPr="004C3EA9">
        <w:rPr>
          <w:sz w:val="24"/>
          <w:szCs w:val="24"/>
        </w:rPr>
        <w:t xml:space="preserve">Braun, V. and Clarke, V. (2022) </w:t>
      </w:r>
      <w:r w:rsidRPr="004C3EA9">
        <w:rPr>
          <w:i/>
          <w:iCs/>
          <w:sz w:val="24"/>
          <w:szCs w:val="24"/>
        </w:rPr>
        <w:t>Thematic Analysis: A Practical Guide</w:t>
      </w:r>
      <w:r w:rsidRPr="004C3EA9">
        <w:rPr>
          <w:sz w:val="24"/>
          <w:szCs w:val="24"/>
        </w:rPr>
        <w:t xml:space="preserve">. London: SAGE. </w:t>
      </w:r>
      <w:r w:rsidRPr="00BB0A00">
        <w:rPr>
          <w:sz w:val="24"/>
          <w:szCs w:val="24"/>
        </w:rPr>
        <w:t xml:space="preserve">Brooks, R., te Riele, K. and Maguire, M. (2014) </w:t>
      </w:r>
      <w:r w:rsidRPr="00BB0A00">
        <w:rPr>
          <w:i/>
          <w:iCs/>
          <w:sz w:val="24"/>
          <w:szCs w:val="24"/>
        </w:rPr>
        <w:t xml:space="preserve">Ethics and Education Research. </w:t>
      </w:r>
      <w:r w:rsidRPr="00BB0A00">
        <w:rPr>
          <w:sz w:val="24"/>
          <w:szCs w:val="24"/>
        </w:rPr>
        <w:t>London: Sage Publications Ltd.</w:t>
      </w:r>
    </w:p>
    <w:p w14:paraId="4E269296" w14:textId="77777777" w:rsidR="00C46B50" w:rsidRPr="00BB0A00" w:rsidRDefault="00233DF4">
      <w:pPr>
        <w:spacing w:line="480" w:lineRule="auto"/>
        <w:rPr>
          <w:sz w:val="24"/>
          <w:szCs w:val="24"/>
        </w:rPr>
      </w:pPr>
      <w:r w:rsidRPr="00BB0A00">
        <w:rPr>
          <w:sz w:val="24"/>
          <w:szCs w:val="24"/>
        </w:rPr>
        <w:lastRenderedPageBreak/>
        <w:t xml:space="preserve">Brown, D. and Scaife, H. (2019) ‘Understanding and Applying Qualitative Data Analysis’, in Opie, C. and Brown. D. (eds) </w:t>
      </w:r>
      <w:r w:rsidRPr="00BB0A00">
        <w:rPr>
          <w:i/>
          <w:iCs/>
          <w:sz w:val="24"/>
          <w:szCs w:val="24"/>
        </w:rPr>
        <w:t>Getting Started in Your Educational Research</w:t>
      </w:r>
      <w:r w:rsidRPr="00BB0A00">
        <w:rPr>
          <w:sz w:val="24"/>
          <w:szCs w:val="24"/>
        </w:rPr>
        <w:t>. London, England: SAGE Publications, pp. 137–158.</w:t>
      </w:r>
    </w:p>
    <w:p w14:paraId="4E269297" w14:textId="77777777" w:rsidR="00C46B50" w:rsidRPr="00BB0A00" w:rsidRDefault="00233DF4">
      <w:pPr>
        <w:spacing w:line="480" w:lineRule="auto"/>
        <w:rPr>
          <w:sz w:val="24"/>
          <w:szCs w:val="24"/>
        </w:rPr>
      </w:pPr>
      <w:r w:rsidRPr="00BB0A00">
        <w:rPr>
          <w:sz w:val="24"/>
          <w:szCs w:val="24"/>
        </w:rPr>
        <w:t xml:space="preserve">Bryman, A. (2016) </w:t>
      </w:r>
      <w:r w:rsidRPr="00BB0A00">
        <w:rPr>
          <w:i/>
          <w:iCs/>
          <w:sz w:val="24"/>
          <w:szCs w:val="24"/>
        </w:rPr>
        <w:t>Social Research Methods</w:t>
      </w:r>
      <w:r w:rsidRPr="00BB0A00">
        <w:rPr>
          <w:sz w:val="24"/>
          <w:szCs w:val="24"/>
        </w:rPr>
        <w:t>. 5th edn. Oxford, United Kingdom: Oxford University Press.</w:t>
      </w:r>
    </w:p>
    <w:p w14:paraId="4E269298" w14:textId="77777777" w:rsidR="00C46B50" w:rsidRPr="00BB0A00" w:rsidRDefault="00233DF4">
      <w:pPr>
        <w:spacing w:line="480" w:lineRule="auto"/>
        <w:rPr>
          <w:sz w:val="24"/>
          <w:szCs w:val="24"/>
        </w:rPr>
      </w:pPr>
      <w:r w:rsidRPr="00BB0A00">
        <w:rPr>
          <w:sz w:val="24"/>
          <w:szCs w:val="24"/>
        </w:rPr>
        <w:t xml:space="preserve">Chapman, S., Beauchamp, G. and Griffiths, M. (2025) ‘Secondary school teachers' perceptions of the shared creative processes and the potential role of technology in the expressive arts’, </w:t>
      </w:r>
      <w:r w:rsidRPr="00BB0A00">
        <w:rPr>
          <w:i/>
          <w:iCs/>
          <w:sz w:val="24"/>
          <w:szCs w:val="24"/>
        </w:rPr>
        <w:t>The Curriculum Journal</w:t>
      </w:r>
      <w:r w:rsidRPr="00BB0A00">
        <w:rPr>
          <w:sz w:val="24"/>
          <w:szCs w:val="24"/>
        </w:rPr>
        <w:t xml:space="preserve">, 36(1), pp. 52–65. Available at: </w:t>
      </w:r>
      <w:hyperlink r:id="rId6">
        <w:r w:rsidR="00C46B50" w:rsidRPr="00BB0A00">
          <w:rPr>
            <w:color w:val="1155CC"/>
            <w:sz w:val="24"/>
            <w:szCs w:val="24"/>
            <w:u w:val="single"/>
          </w:rPr>
          <w:t>https://bera-journals.onlinelibrary.wiley.com/doi/full/10.1002/curj.259</w:t>
        </w:r>
      </w:hyperlink>
      <w:r w:rsidRPr="00BB0A00">
        <w:rPr>
          <w:sz w:val="24"/>
          <w:szCs w:val="24"/>
        </w:rPr>
        <w:t xml:space="preserve"> </w:t>
      </w:r>
    </w:p>
    <w:p w14:paraId="4E269299" w14:textId="77777777" w:rsidR="00C46B50" w:rsidRPr="00BB0A00" w:rsidRDefault="00233DF4">
      <w:pPr>
        <w:widowControl w:val="0"/>
        <w:spacing w:after="100" w:line="480" w:lineRule="auto"/>
        <w:rPr>
          <w:sz w:val="24"/>
          <w:szCs w:val="24"/>
        </w:rPr>
      </w:pPr>
      <w:r w:rsidRPr="00BB0A00">
        <w:rPr>
          <w:sz w:val="24"/>
          <w:szCs w:val="24"/>
        </w:rPr>
        <w:t xml:space="preserve">Coe, R. (2021) ‘Inference and interpretation in research’ in Coe, R., Waring, M., Hedges, L.,  and Day Ashley, L. (eds.), </w:t>
      </w:r>
      <w:r w:rsidRPr="00BB0A00">
        <w:rPr>
          <w:i/>
          <w:iCs/>
          <w:sz w:val="24"/>
          <w:szCs w:val="24"/>
        </w:rPr>
        <w:t xml:space="preserve">Research Methods and Methodologies in Education. </w:t>
      </w:r>
      <w:r w:rsidRPr="00BB0A00">
        <w:rPr>
          <w:sz w:val="24"/>
          <w:szCs w:val="24"/>
        </w:rPr>
        <w:t>3rd edn. London: Sage Publications Ltd. pp. 43-55.</w:t>
      </w:r>
    </w:p>
    <w:p w14:paraId="4E26929A" w14:textId="77777777" w:rsidR="00C46B50" w:rsidRPr="00BB0A00" w:rsidRDefault="00233DF4">
      <w:pPr>
        <w:spacing w:line="480" w:lineRule="auto"/>
        <w:rPr>
          <w:sz w:val="24"/>
          <w:szCs w:val="24"/>
        </w:rPr>
      </w:pPr>
      <w:r w:rsidRPr="00BB0A00">
        <w:rPr>
          <w:sz w:val="24"/>
          <w:szCs w:val="24"/>
        </w:rPr>
        <w:t xml:space="preserve">Cohen, L., Manion, L. and Morrison, K. (2011) </w:t>
      </w:r>
      <w:r w:rsidRPr="00BB0A00">
        <w:rPr>
          <w:i/>
          <w:iCs/>
          <w:sz w:val="24"/>
          <w:szCs w:val="24"/>
        </w:rPr>
        <w:t>Research methods in education</w:t>
      </w:r>
      <w:r w:rsidRPr="00BB0A00">
        <w:rPr>
          <w:sz w:val="24"/>
          <w:szCs w:val="24"/>
        </w:rPr>
        <w:t>. 7th edn. Oxon: Routledge.</w:t>
      </w:r>
    </w:p>
    <w:p w14:paraId="4E26929B" w14:textId="77777777" w:rsidR="00C46B50" w:rsidRPr="00BB0A00" w:rsidRDefault="00233DF4">
      <w:pPr>
        <w:spacing w:line="480" w:lineRule="auto"/>
        <w:rPr>
          <w:sz w:val="24"/>
          <w:szCs w:val="24"/>
        </w:rPr>
      </w:pPr>
      <w:r w:rsidRPr="00BB0A00">
        <w:rPr>
          <w:sz w:val="24"/>
          <w:szCs w:val="24"/>
        </w:rPr>
        <w:t xml:space="preserve">Creswell, J. W. and Plano Clark, V. L. (2018) </w:t>
      </w:r>
      <w:r w:rsidRPr="00BB0A00">
        <w:rPr>
          <w:i/>
          <w:iCs/>
          <w:sz w:val="24"/>
          <w:szCs w:val="24"/>
        </w:rPr>
        <w:t xml:space="preserve">Designing and Conducting Mixed Methods Research. </w:t>
      </w:r>
      <w:r w:rsidRPr="00BB0A00">
        <w:rPr>
          <w:sz w:val="24"/>
          <w:szCs w:val="24"/>
        </w:rPr>
        <w:t>3rd edn. London, England: SAGE Publications Ltd.</w:t>
      </w:r>
    </w:p>
    <w:p w14:paraId="4E26929C" w14:textId="77777777" w:rsidR="00C46B50" w:rsidRPr="00BB0A00" w:rsidRDefault="00233DF4">
      <w:pPr>
        <w:spacing w:line="480" w:lineRule="auto"/>
        <w:rPr>
          <w:sz w:val="24"/>
          <w:szCs w:val="24"/>
        </w:rPr>
      </w:pPr>
      <w:r w:rsidRPr="00BB0A00">
        <w:rPr>
          <w:sz w:val="24"/>
          <w:szCs w:val="24"/>
        </w:rPr>
        <w:t xml:space="preserve">Crotty, M. (1998) </w:t>
      </w:r>
      <w:r w:rsidRPr="00BB0A00">
        <w:rPr>
          <w:i/>
          <w:iCs/>
          <w:sz w:val="24"/>
          <w:szCs w:val="24"/>
        </w:rPr>
        <w:t>The Foundations of Social Research</w:t>
      </w:r>
      <w:r w:rsidRPr="00BB0A00">
        <w:rPr>
          <w:sz w:val="24"/>
          <w:szCs w:val="24"/>
        </w:rPr>
        <w:t>. London: SAGE Publications Ltd.</w:t>
      </w:r>
    </w:p>
    <w:p w14:paraId="4E26929D" w14:textId="77777777" w:rsidR="00C46B50" w:rsidRPr="00BB0A00" w:rsidRDefault="00233DF4">
      <w:pPr>
        <w:spacing w:line="480" w:lineRule="auto"/>
        <w:rPr>
          <w:sz w:val="24"/>
          <w:szCs w:val="24"/>
        </w:rPr>
      </w:pPr>
      <w:r w:rsidRPr="00BB0A00">
        <w:rPr>
          <w:sz w:val="24"/>
          <w:szCs w:val="24"/>
        </w:rPr>
        <w:t xml:space="preserve">Darwin Holmes, A.G. (2020) ‘Researcher Positionality - A Consideration of Its Influence and Place in Qualitative Research - A New Researcher Guide’, </w:t>
      </w:r>
      <w:r w:rsidRPr="00BB0A00">
        <w:rPr>
          <w:i/>
          <w:iCs/>
          <w:sz w:val="24"/>
          <w:szCs w:val="24"/>
        </w:rPr>
        <w:t>Shanlax International Journal of Education</w:t>
      </w:r>
      <w:r w:rsidRPr="00BB0A00">
        <w:rPr>
          <w:sz w:val="24"/>
          <w:szCs w:val="24"/>
        </w:rPr>
        <w:t xml:space="preserve">, 8(4), pp. 1–10. Available at: </w:t>
      </w:r>
      <w:hyperlink r:id="rId7">
        <w:r w:rsidR="00C46B50" w:rsidRPr="00BB0A00">
          <w:rPr>
            <w:color w:val="1155CC"/>
            <w:sz w:val="24"/>
            <w:szCs w:val="24"/>
            <w:u w:val="single"/>
          </w:rPr>
          <w:t>https://files.eric.ed.gov/fulltext/EJ1268044.pdf</w:t>
        </w:r>
      </w:hyperlink>
      <w:r w:rsidRPr="00BB0A00">
        <w:rPr>
          <w:sz w:val="24"/>
          <w:szCs w:val="24"/>
        </w:rPr>
        <w:t xml:space="preserve"> </w:t>
      </w:r>
    </w:p>
    <w:p w14:paraId="4E26929E" w14:textId="77777777" w:rsidR="00C46B50" w:rsidRPr="00BB0A00" w:rsidRDefault="00233DF4">
      <w:pPr>
        <w:spacing w:line="480" w:lineRule="auto"/>
        <w:rPr>
          <w:sz w:val="24"/>
          <w:szCs w:val="24"/>
        </w:rPr>
      </w:pPr>
      <w:r w:rsidRPr="00BB0A00">
        <w:rPr>
          <w:sz w:val="24"/>
          <w:szCs w:val="24"/>
        </w:rPr>
        <w:t xml:space="preserve">Dawson, C. (2019) </w:t>
      </w:r>
      <w:r w:rsidRPr="00BB0A00">
        <w:rPr>
          <w:i/>
          <w:iCs/>
          <w:sz w:val="24"/>
          <w:szCs w:val="24"/>
        </w:rPr>
        <w:t>Introduction to Research Methods</w:t>
      </w:r>
      <w:r w:rsidRPr="00BB0A00">
        <w:rPr>
          <w:sz w:val="24"/>
          <w:szCs w:val="24"/>
        </w:rPr>
        <w:t>. 5th edn. London, England: Robinson.</w:t>
      </w:r>
    </w:p>
    <w:p w14:paraId="4E26929F" w14:textId="77777777" w:rsidR="00C46B50" w:rsidRPr="00BB0A00" w:rsidRDefault="00233DF4">
      <w:pPr>
        <w:spacing w:line="480" w:lineRule="auto"/>
        <w:rPr>
          <w:sz w:val="24"/>
          <w:szCs w:val="24"/>
        </w:rPr>
      </w:pPr>
      <w:r w:rsidRPr="00BB0A00">
        <w:rPr>
          <w:sz w:val="24"/>
          <w:szCs w:val="24"/>
        </w:rPr>
        <w:lastRenderedPageBreak/>
        <w:t xml:space="preserve">Day Ashley, L. (2021) ‘Case study research’, in Coe, R., Waring, M., Hedges, L.V. and Day Ashley, L. (eds) </w:t>
      </w:r>
      <w:r w:rsidRPr="00BB0A00">
        <w:rPr>
          <w:i/>
          <w:iCs/>
          <w:sz w:val="24"/>
          <w:szCs w:val="24"/>
        </w:rPr>
        <w:t>Research methods &amp; methodologies in education</w:t>
      </w:r>
      <w:r w:rsidRPr="00BB0A00">
        <w:rPr>
          <w:sz w:val="24"/>
          <w:szCs w:val="24"/>
        </w:rPr>
        <w:t>. 3rd edn. London: SAGE, pp. 135–143.</w:t>
      </w:r>
    </w:p>
    <w:p w14:paraId="4E2692A0" w14:textId="77777777" w:rsidR="00C46B50" w:rsidRPr="00BB0A00" w:rsidRDefault="00233DF4">
      <w:pPr>
        <w:spacing w:line="480" w:lineRule="auto"/>
        <w:rPr>
          <w:sz w:val="24"/>
          <w:szCs w:val="24"/>
        </w:rPr>
      </w:pPr>
      <w:r w:rsidRPr="00BB0A00">
        <w:rPr>
          <w:sz w:val="24"/>
          <w:szCs w:val="24"/>
        </w:rPr>
        <w:t xml:space="preserve">Denscombe, M. (2002) </w:t>
      </w:r>
      <w:r w:rsidRPr="00BB0A00">
        <w:rPr>
          <w:i/>
          <w:iCs/>
          <w:sz w:val="24"/>
          <w:szCs w:val="24"/>
        </w:rPr>
        <w:t>Ground rules for good research.</w:t>
      </w:r>
      <w:r w:rsidRPr="00BB0A00">
        <w:rPr>
          <w:sz w:val="24"/>
          <w:szCs w:val="24"/>
        </w:rPr>
        <w:t xml:space="preserve"> Buckingham, United Kingdom: Open University Press.</w:t>
      </w:r>
    </w:p>
    <w:p w14:paraId="4E2692A1" w14:textId="77777777" w:rsidR="00C46B50" w:rsidRPr="00BB0A00" w:rsidRDefault="00233DF4">
      <w:pPr>
        <w:spacing w:line="480" w:lineRule="auto"/>
        <w:rPr>
          <w:sz w:val="24"/>
          <w:szCs w:val="24"/>
        </w:rPr>
      </w:pPr>
      <w:r w:rsidRPr="00BB0A00">
        <w:rPr>
          <w:sz w:val="24"/>
          <w:szCs w:val="24"/>
        </w:rPr>
        <w:t xml:space="preserve">Denscombe, M. (2010) </w:t>
      </w:r>
      <w:r w:rsidRPr="00BB0A00">
        <w:rPr>
          <w:i/>
          <w:iCs/>
          <w:sz w:val="24"/>
          <w:szCs w:val="24"/>
        </w:rPr>
        <w:t>The Good Research Guide</w:t>
      </w:r>
      <w:r w:rsidRPr="00BB0A00">
        <w:rPr>
          <w:sz w:val="24"/>
          <w:szCs w:val="24"/>
        </w:rPr>
        <w:t>. 4th edn. Berkshire, United Kingdom: McGraw-Hill Education.</w:t>
      </w:r>
    </w:p>
    <w:p w14:paraId="4E2692A2" w14:textId="77777777" w:rsidR="00C46B50" w:rsidRPr="00BB0A00" w:rsidRDefault="00233DF4">
      <w:pPr>
        <w:spacing w:line="480" w:lineRule="auto"/>
        <w:rPr>
          <w:sz w:val="24"/>
          <w:szCs w:val="24"/>
        </w:rPr>
      </w:pPr>
      <w:r w:rsidRPr="00BB0A00">
        <w:rPr>
          <w:sz w:val="24"/>
          <w:szCs w:val="24"/>
        </w:rPr>
        <w:t xml:space="preserve">Durden-Myers, E.J., Evans, E., Davies, M., Campbell, J. and Swaithes, W. (2025) ‘Evaluating the implementation of curriculum reform: the perspectives of Welsh teachers navigating the new health and wellbeing area of learning experience’, </w:t>
      </w:r>
      <w:r w:rsidRPr="00BB0A00">
        <w:rPr>
          <w:i/>
          <w:iCs/>
          <w:sz w:val="24"/>
          <w:szCs w:val="24"/>
        </w:rPr>
        <w:t>Journal of Education for Teaching</w:t>
      </w:r>
      <w:r w:rsidRPr="00BB0A00">
        <w:rPr>
          <w:sz w:val="24"/>
          <w:szCs w:val="24"/>
        </w:rPr>
        <w:t xml:space="preserve">, 51(1), pp. 6–27. Available at: </w:t>
      </w:r>
      <w:hyperlink r:id="rId8">
        <w:r w:rsidR="00C46B50" w:rsidRPr="00BB0A00">
          <w:rPr>
            <w:color w:val="1155CC"/>
            <w:sz w:val="24"/>
            <w:szCs w:val="24"/>
            <w:u w:val="single"/>
          </w:rPr>
          <w:t>https://www.tandfonline.com/doi/full/10.1080/02607476.2024.2371308</w:t>
        </w:r>
      </w:hyperlink>
      <w:r w:rsidRPr="00BB0A00">
        <w:rPr>
          <w:sz w:val="24"/>
          <w:szCs w:val="24"/>
        </w:rPr>
        <w:t xml:space="preserve"> </w:t>
      </w:r>
    </w:p>
    <w:p w14:paraId="4E2692A3" w14:textId="77777777" w:rsidR="00C46B50" w:rsidRPr="00BB0A00" w:rsidRDefault="00233DF4">
      <w:pPr>
        <w:spacing w:line="480" w:lineRule="auto"/>
        <w:rPr>
          <w:sz w:val="24"/>
          <w:szCs w:val="24"/>
        </w:rPr>
      </w:pPr>
      <w:r w:rsidRPr="00BB0A00">
        <w:rPr>
          <w:sz w:val="24"/>
          <w:szCs w:val="24"/>
        </w:rPr>
        <w:t xml:space="preserve">Estyn (2025b) </w:t>
      </w:r>
      <w:r w:rsidRPr="00BB0A00">
        <w:rPr>
          <w:i/>
          <w:iCs/>
          <w:sz w:val="24"/>
          <w:szCs w:val="24"/>
        </w:rPr>
        <w:t>Secondary sector report 2023-2024</w:t>
      </w:r>
      <w:r w:rsidRPr="00BB0A00">
        <w:rPr>
          <w:sz w:val="24"/>
          <w:szCs w:val="24"/>
        </w:rPr>
        <w:t xml:space="preserve">. Available at: </w:t>
      </w:r>
      <w:hyperlink r:id="rId9">
        <w:r w:rsidR="00C46B50" w:rsidRPr="00BB0A00">
          <w:rPr>
            <w:color w:val="1155CC"/>
            <w:sz w:val="24"/>
            <w:szCs w:val="24"/>
            <w:u w:val="single"/>
          </w:rPr>
          <w:t>https://annual-report.estyn.gov.wales/2024-2/secondary/</w:t>
        </w:r>
      </w:hyperlink>
      <w:r w:rsidRPr="00BB0A00">
        <w:rPr>
          <w:sz w:val="24"/>
          <w:szCs w:val="24"/>
        </w:rPr>
        <w:t xml:space="preserve"> (Accessed: 4 March 2026). </w:t>
      </w:r>
    </w:p>
    <w:p w14:paraId="4E2692A4" w14:textId="77777777" w:rsidR="00C46B50" w:rsidRPr="00BB0A00" w:rsidRDefault="00233DF4">
      <w:pPr>
        <w:spacing w:line="480" w:lineRule="auto"/>
        <w:rPr>
          <w:sz w:val="24"/>
          <w:szCs w:val="24"/>
        </w:rPr>
      </w:pPr>
      <w:r w:rsidRPr="00BB0A00">
        <w:rPr>
          <w:sz w:val="24"/>
          <w:szCs w:val="24"/>
        </w:rPr>
        <w:t xml:space="preserve">Evans, G. (2023) ‘A new dawn or false hope? Exploring the early implementation of Curriculum for Wales’, </w:t>
      </w:r>
      <w:r w:rsidRPr="00BB0A00">
        <w:rPr>
          <w:i/>
          <w:iCs/>
          <w:sz w:val="24"/>
          <w:szCs w:val="24"/>
        </w:rPr>
        <w:t>Education Inquiry</w:t>
      </w:r>
      <w:r w:rsidRPr="00BB0A00">
        <w:rPr>
          <w:sz w:val="24"/>
          <w:szCs w:val="24"/>
        </w:rPr>
        <w:t xml:space="preserve">, pp. 1–15. Available at: </w:t>
      </w:r>
      <w:hyperlink r:id="rId10">
        <w:r w:rsidR="00C46B50" w:rsidRPr="00BB0A00">
          <w:rPr>
            <w:color w:val="1155CC"/>
            <w:sz w:val="24"/>
            <w:szCs w:val="24"/>
            <w:u w:val="single"/>
          </w:rPr>
          <w:t>https://doi.org/10.1080/20004508.2023.2297506</w:t>
        </w:r>
      </w:hyperlink>
      <w:r w:rsidRPr="00BB0A00">
        <w:rPr>
          <w:sz w:val="24"/>
          <w:szCs w:val="24"/>
        </w:rPr>
        <w:t xml:space="preserve"> </w:t>
      </w:r>
    </w:p>
    <w:p w14:paraId="4E2692A5" w14:textId="77777777" w:rsidR="00C46B50" w:rsidRPr="00BB0A00" w:rsidRDefault="00233DF4">
      <w:pPr>
        <w:spacing w:line="480" w:lineRule="auto"/>
        <w:rPr>
          <w:sz w:val="24"/>
          <w:szCs w:val="24"/>
        </w:rPr>
      </w:pPr>
      <w:r w:rsidRPr="00BB0A00">
        <w:rPr>
          <w:sz w:val="24"/>
          <w:szCs w:val="24"/>
        </w:rPr>
        <w:t xml:space="preserve">Field, E., Kennedy, E. and Cristancho, S. (2024) ‘How to locate yourself (and others!) in the research process: The role of positionality’, </w:t>
      </w:r>
      <w:r w:rsidRPr="00BB0A00">
        <w:rPr>
          <w:i/>
          <w:iCs/>
          <w:sz w:val="24"/>
          <w:szCs w:val="24"/>
        </w:rPr>
        <w:t>The Clinical Teacher</w:t>
      </w:r>
      <w:r w:rsidRPr="00BB0A00">
        <w:rPr>
          <w:sz w:val="24"/>
          <w:szCs w:val="24"/>
        </w:rPr>
        <w:t xml:space="preserve">, 21(6), article e13819.  Available at: </w:t>
      </w:r>
      <w:hyperlink r:id="rId11">
        <w:r w:rsidR="00C46B50" w:rsidRPr="00BB0A00">
          <w:rPr>
            <w:color w:val="1155CC"/>
            <w:sz w:val="24"/>
            <w:szCs w:val="24"/>
            <w:u w:val="single"/>
          </w:rPr>
          <w:t>https://doi.org/10.1111/tct.13819</w:t>
        </w:r>
      </w:hyperlink>
      <w:r w:rsidRPr="00BB0A00">
        <w:rPr>
          <w:sz w:val="24"/>
          <w:szCs w:val="24"/>
        </w:rPr>
        <w:t xml:space="preserve"> </w:t>
      </w:r>
    </w:p>
    <w:p w14:paraId="4E2692A6" w14:textId="77777777" w:rsidR="00C46B50" w:rsidRPr="00BB0A00" w:rsidRDefault="00233DF4">
      <w:pPr>
        <w:tabs>
          <w:tab w:val="right" w:pos="9016"/>
        </w:tabs>
        <w:spacing w:after="100" w:line="480" w:lineRule="auto"/>
        <w:rPr>
          <w:sz w:val="24"/>
          <w:szCs w:val="24"/>
        </w:rPr>
      </w:pPr>
      <w:r w:rsidRPr="00BB0A00">
        <w:rPr>
          <w:sz w:val="24"/>
          <w:szCs w:val="24"/>
        </w:rPr>
        <w:t>Flewitt, R. (2014), ‘Interviews’ in Clark, A., Flewitt, R., Hammersley, M., and Robb, M. (eds.), Understanding Research with Children and Young People. London: Sage Publications Ltd. . pp. 136 – 153.</w:t>
      </w:r>
    </w:p>
    <w:p w14:paraId="4E2692A7" w14:textId="77777777" w:rsidR="00C46B50" w:rsidRPr="00BB0A00" w:rsidRDefault="00233DF4">
      <w:pPr>
        <w:spacing w:line="480" w:lineRule="auto"/>
        <w:rPr>
          <w:sz w:val="24"/>
          <w:szCs w:val="24"/>
        </w:rPr>
      </w:pPr>
      <w:r w:rsidRPr="00BB0A00">
        <w:rPr>
          <w:sz w:val="24"/>
          <w:szCs w:val="24"/>
        </w:rPr>
        <w:lastRenderedPageBreak/>
        <w:t xml:space="preserve">Flick, U. (2023) </w:t>
      </w:r>
      <w:r w:rsidRPr="00BB0A00">
        <w:rPr>
          <w:i/>
          <w:iCs/>
          <w:sz w:val="24"/>
          <w:szCs w:val="24"/>
        </w:rPr>
        <w:t>An introduction to qualitative research</w:t>
      </w:r>
      <w:r w:rsidRPr="00BB0A00">
        <w:rPr>
          <w:sz w:val="24"/>
          <w:szCs w:val="24"/>
        </w:rPr>
        <w:t>. 7th edn. London: SAGE Publications Ltd.</w:t>
      </w:r>
    </w:p>
    <w:p w14:paraId="4E2692A8" w14:textId="77777777" w:rsidR="00C46B50" w:rsidRPr="00BB0A00" w:rsidRDefault="00233DF4">
      <w:pPr>
        <w:spacing w:line="480" w:lineRule="auto"/>
        <w:rPr>
          <w:sz w:val="24"/>
          <w:szCs w:val="24"/>
        </w:rPr>
      </w:pPr>
      <w:r w:rsidRPr="00BB0A00">
        <w:rPr>
          <w:sz w:val="24"/>
          <w:szCs w:val="24"/>
        </w:rPr>
        <w:t xml:space="preserve">Gray, D. (2018) </w:t>
      </w:r>
      <w:r w:rsidRPr="00BB0A00">
        <w:rPr>
          <w:i/>
          <w:iCs/>
          <w:sz w:val="24"/>
          <w:szCs w:val="24"/>
        </w:rPr>
        <w:t>Doing research in the real world</w:t>
      </w:r>
      <w:r w:rsidRPr="00BB0A00">
        <w:rPr>
          <w:sz w:val="24"/>
          <w:szCs w:val="24"/>
        </w:rPr>
        <w:t>. 4th edn. London: SAGE Publications Ltd.</w:t>
      </w:r>
    </w:p>
    <w:p w14:paraId="4E2692A9" w14:textId="77777777" w:rsidR="00C46B50" w:rsidRPr="00BB0A00" w:rsidRDefault="00233DF4">
      <w:pPr>
        <w:tabs>
          <w:tab w:val="right" w:pos="9016"/>
        </w:tabs>
        <w:spacing w:after="100" w:line="480" w:lineRule="auto"/>
        <w:rPr>
          <w:sz w:val="24"/>
          <w:szCs w:val="24"/>
        </w:rPr>
      </w:pPr>
      <w:r w:rsidRPr="00BB0A00">
        <w:rPr>
          <w:sz w:val="24"/>
          <w:szCs w:val="24"/>
        </w:rPr>
        <w:t>Hammersley, M. (2014), ‘Research Design’ in Clark, A., Flewitt, R., Hammersley, M., and Robb, M. (eds.), Understanding Research with Children and Young People. London: Sage Publications Ltd. . pp. 107 – 121.</w:t>
      </w:r>
    </w:p>
    <w:p w14:paraId="4E2692AA" w14:textId="77777777" w:rsidR="00C46B50" w:rsidRPr="00BB0A00" w:rsidRDefault="00233DF4">
      <w:pPr>
        <w:spacing w:line="480" w:lineRule="auto"/>
        <w:rPr>
          <w:sz w:val="24"/>
          <w:szCs w:val="24"/>
        </w:rPr>
      </w:pPr>
      <w:r w:rsidRPr="00BB0A00">
        <w:rPr>
          <w:sz w:val="24"/>
          <w:szCs w:val="24"/>
        </w:rPr>
        <w:t xml:space="preserve">Kumar, R. (2019) </w:t>
      </w:r>
      <w:r w:rsidRPr="00BB0A00">
        <w:rPr>
          <w:i/>
          <w:iCs/>
          <w:sz w:val="24"/>
          <w:szCs w:val="24"/>
        </w:rPr>
        <w:t>Research Methodology</w:t>
      </w:r>
      <w:r w:rsidRPr="00BB0A00">
        <w:rPr>
          <w:sz w:val="24"/>
          <w:szCs w:val="24"/>
        </w:rPr>
        <w:t>. 5th edn. London, England: SAGE Publications Ltd.</w:t>
      </w:r>
    </w:p>
    <w:p w14:paraId="4E2692AB" w14:textId="77777777" w:rsidR="00C46B50" w:rsidRPr="00BB0A00" w:rsidRDefault="00233DF4">
      <w:pPr>
        <w:tabs>
          <w:tab w:val="right" w:pos="9016"/>
        </w:tabs>
        <w:spacing w:after="100" w:line="480" w:lineRule="auto"/>
        <w:rPr>
          <w:sz w:val="24"/>
          <w:szCs w:val="24"/>
        </w:rPr>
      </w:pPr>
      <w:r w:rsidRPr="00BB0A00">
        <w:rPr>
          <w:sz w:val="24"/>
          <w:szCs w:val="24"/>
        </w:rPr>
        <w:t xml:space="preserve">Northouse, P. G. (2010) </w:t>
      </w:r>
      <w:r w:rsidRPr="00BB0A00">
        <w:rPr>
          <w:i/>
          <w:iCs/>
          <w:sz w:val="24"/>
          <w:szCs w:val="24"/>
        </w:rPr>
        <w:t>Leadership: Theory and Practice.</w:t>
      </w:r>
      <w:r w:rsidRPr="00BB0A00">
        <w:rPr>
          <w:sz w:val="24"/>
          <w:szCs w:val="24"/>
        </w:rPr>
        <w:t xml:space="preserve"> 5th edn. London: Sage Publications Ltd.</w:t>
      </w:r>
    </w:p>
    <w:p w14:paraId="4E2692AC" w14:textId="77777777" w:rsidR="00C46B50" w:rsidRPr="00BB0A00" w:rsidRDefault="00233DF4">
      <w:pPr>
        <w:spacing w:line="480" w:lineRule="auto"/>
        <w:rPr>
          <w:sz w:val="24"/>
          <w:szCs w:val="24"/>
        </w:rPr>
      </w:pPr>
      <w:r w:rsidRPr="00BB0A00">
        <w:rPr>
          <w:sz w:val="24"/>
          <w:szCs w:val="24"/>
        </w:rPr>
        <w:t xml:space="preserve">Opie, C. (2019) ‘Research Approaches’, in Opie, C. and Brown. D. (eds) </w:t>
      </w:r>
      <w:r w:rsidRPr="00BB0A00">
        <w:rPr>
          <w:i/>
          <w:iCs/>
          <w:sz w:val="24"/>
          <w:szCs w:val="24"/>
        </w:rPr>
        <w:t>Getting Started in Your Educational Research</w:t>
      </w:r>
      <w:r w:rsidRPr="00BB0A00">
        <w:rPr>
          <w:sz w:val="24"/>
          <w:szCs w:val="24"/>
        </w:rPr>
        <w:t>. London, England: SAGE Publications, pp. 221–242.</w:t>
      </w:r>
    </w:p>
    <w:p w14:paraId="4E2692AD" w14:textId="77777777" w:rsidR="00C46B50" w:rsidRPr="00BB0A00" w:rsidRDefault="00233DF4">
      <w:pPr>
        <w:spacing w:line="480" w:lineRule="auto"/>
        <w:rPr>
          <w:sz w:val="24"/>
          <w:szCs w:val="24"/>
        </w:rPr>
      </w:pPr>
      <w:r w:rsidRPr="00BB0A00">
        <w:rPr>
          <w:sz w:val="24"/>
          <w:szCs w:val="24"/>
        </w:rPr>
        <w:t xml:space="preserve">Punch, K. and Oancea, A. (2014) </w:t>
      </w:r>
      <w:r w:rsidRPr="00BB0A00">
        <w:rPr>
          <w:i/>
          <w:iCs/>
          <w:sz w:val="24"/>
          <w:szCs w:val="24"/>
        </w:rPr>
        <w:t>Introduction to research methods in education</w:t>
      </w:r>
      <w:r w:rsidRPr="00BB0A00">
        <w:rPr>
          <w:sz w:val="24"/>
          <w:szCs w:val="24"/>
        </w:rPr>
        <w:t>. 2nd edn. London, England: SAGE Publications Ltd.</w:t>
      </w:r>
    </w:p>
    <w:p w14:paraId="4E2692AE" w14:textId="77777777" w:rsidR="00C46B50" w:rsidRPr="00BB0A00" w:rsidRDefault="00233DF4">
      <w:pPr>
        <w:spacing w:line="480" w:lineRule="auto"/>
        <w:rPr>
          <w:sz w:val="24"/>
          <w:szCs w:val="24"/>
        </w:rPr>
      </w:pPr>
      <w:r w:rsidRPr="00BB0A00">
        <w:rPr>
          <w:sz w:val="24"/>
          <w:szCs w:val="24"/>
        </w:rPr>
        <w:t xml:space="preserve">Scaife, J. (2019) ‘Research, Theory and Worldviews’, in Opie, C. and Brown. D. (eds) </w:t>
      </w:r>
      <w:r w:rsidRPr="00BB0A00">
        <w:rPr>
          <w:i/>
          <w:iCs/>
          <w:sz w:val="24"/>
          <w:szCs w:val="24"/>
        </w:rPr>
        <w:t>Getting Started in Your Educational Research</w:t>
      </w:r>
      <w:r w:rsidRPr="00BB0A00">
        <w:rPr>
          <w:sz w:val="24"/>
          <w:szCs w:val="24"/>
        </w:rPr>
        <w:t>. London, England: SAGE Publications, pp. 23–38.</w:t>
      </w:r>
    </w:p>
    <w:p w14:paraId="4E2692AF" w14:textId="77777777" w:rsidR="00C46B50" w:rsidRPr="00BB0A00" w:rsidRDefault="00233DF4">
      <w:pPr>
        <w:spacing w:line="480" w:lineRule="auto"/>
        <w:rPr>
          <w:i/>
          <w:iCs/>
          <w:sz w:val="24"/>
          <w:szCs w:val="24"/>
        </w:rPr>
      </w:pPr>
      <w:r w:rsidRPr="00BB0A00">
        <w:rPr>
          <w:sz w:val="24"/>
          <w:szCs w:val="24"/>
        </w:rPr>
        <w:t xml:space="preserve">Scott, D. (2011) ‘Research design: frameworks, strategies, methods and technologies’, in Briggs, A., Coleman, M., and Morrison, M. (eds) </w:t>
      </w:r>
      <w:r w:rsidRPr="00BB0A00">
        <w:rPr>
          <w:i/>
          <w:iCs/>
          <w:sz w:val="24"/>
          <w:szCs w:val="24"/>
        </w:rPr>
        <w:t xml:space="preserve">Research Methods in Educational Leadership and Management. </w:t>
      </w:r>
      <w:r w:rsidRPr="00BB0A00">
        <w:rPr>
          <w:sz w:val="24"/>
          <w:szCs w:val="24"/>
        </w:rPr>
        <w:t>London, England: SAGE Publications, pp.106-121.</w:t>
      </w:r>
    </w:p>
    <w:p w14:paraId="4E2692B0" w14:textId="77777777" w:rsidR="00C46B50" w:rsidRPr="00BB0A00" w:rsidRDefault="00233DF4">
      <w:pPr>
        <w:spacing w:line="480" w:lineRule="auto"/>
        <w:rPr>
          <w:sz w:val="24"/>
          <w:szCs w:val="24"/>
        </w:rPr>
      </w:pPr>
      <w:r w:rsidRPr="00BB0A00">
        <w:rPr>
          <w:sz w:val="24"/>
          <w:szCs w:val="24"/>
        </w:rPr>
        <w:t xml:space="preserve">StatsWales. (2024a) </w:t>
      </w:r>
      <w:r w:rsidRPr="00BB0A00">
        <w:rPr>
          <w:i/>
          <w:iCs/>
          <w:sz w:val="24"/>
          <w:szCs w:val="24"/>
        </w:rPr>
        <w:t>Teachers by measure (headcount, full-person equivalent (FPE) and hours) and subjects taught</w:t>
      </w:r>
      <w:r w:rsidRPr="00BB0A00">
        <w:rPr>
          <w:sz w:val="24"/>
          <w:szCs w:val="24"/>
        </w:rPr>
        <w:t xml:space="preserve">. Available at: </w:t>
      </w:r>
      <w:hyperlink r:id="rId12">
        <w:r w:rsidR="00C46B50" w:rsidRPr="00BB0A00">
          <w:rPr>
            <w:color w:val="1155CC"/>
            <w:sz w:val="24"/>
            <w:szCs w:val="24"/>
            <w:u w:val="single"/>
          </w:rPr>
          <w:t>https://statswales.gov.wales/Catalogue/Education-and-Skills/Schools-and-Teachers/teachers-and-support-staff/school-workforce-annual-census/teachers/teachersubjectstaught-by-measure-subject</w:t>
        </w:r>
      </w:hyperlink>
      <w:r w:rsidRPr="00BB0A00">
        <w:rPr>
          <w:sz w:val="24"/>
          <w:szCs w:val="24"/>
        </w:rPr>
        <w:t xml:space="preserve"> (Accessed: 29 March 2026).</w:t>
      </w:r>
    </w:p>
    <w:p w14:paraId="4E2692B1" w14:textId="77777777" w:rsidR="00C46B50" w:rsidRPr="00BB0A00" w:rsidRDefault="00233DF4">
      <w:pPr>
        <w:spacing w:line="480" w:lineRule="auto"/>
        <w:rPr>
          <w:sz w:val="24"/>
          <w:szCs w:val="24"/>
        </w:rPr>
      </w:pPr>
      <w:r w:rsidRPr="00BB0A00">
        <w:rPr>
          <w:sz w:val="24"/>
          <w:szCs w:val="24"/>
        </w:rPr>
        <w:t xml:space="preserve">StatsWales. (2024b) </w:t>
      </w:r>
      <w:r w:rsidRPr="00BB0A00">
        <w:rPr>
          <w:i/>
          <w:iCs/>
          <w:sz w:val="24"/>
          <w:szCs w:val="24"/>
        </w:rPr>
        <w:t>Schools by local authority, region and type of school</w:t>
      </w:r>
      <w:r w:rsidRPr="00BB0A00">
        <w:rPr>
          <w:sz w:val="24"/>
          <w:szCs w:val="24"/>
        </w:rPr>
        <w:t xml:space="preserve">.  Available at: </w:t>
      </w:r>
      <w:hyperlink r:id="rId13">
        <w:r w:rsidR="00C46B50" w:rsidRPr="00BB0A00">
          <w:rPr>
            <w:color w:val="1155CC"/>
            <w:sz w:val="24"/>
            <w:szCs w:val="24"/>
            <w:u w:val="single"/>
          </w:rPr>
          <w:t>https://statswales.gov.wales/Catalogue/Education-and-Skills/Schools-and-Teachers/Schools-Census/Pupil-Level-Annual-School-Census/Schools/schools-by-localauthorityregion-type</w:t>
        </w:r>
      </w:hyperlink>
      <w:r w:rsidRPr="00BB0A00">
        <w:rPr>
          <w:sz w:val="24"/>
          <w:szCs w:val="24"/>
        </w:rPr>
        <w:t xml:space="preserve"> (Accessed: 29 March 2026).</w:t>
      </w:r>
    </w:p>
    <w:p w14:paraId="4E2692B2" w14:textId="77777777" w:rsidR="00C46B50" w:rsidRPr="00BB0A00" w:rsidRDefault="00233DF4">
      <w:pPr>
        <w:spacing w:line="480" w:lineRule="auto"/>
        <w:rPr>
          <w:sz w:val="24"/>
          <w:szCs w:val="24"/>
        </w:rPr>
      </w:pPr>
      <w:r w:rsidRPr="00BB0A00">
        <w:rPr>
          <w:sz w:val="24"/>
          <w:szCs w:val="24"/>
        </w:rPr>
        <w:t xml:space="preserve">Thomas, G. (2013) </w:t>
      </w:r>
      <w:r w:rsidRPr="00BB0A00">
        <w:rPr>
          <w:i/>
          <w:iCs/>
          <w:sz w:val="24"/>
          <w:szCs w:val="24"/>
        </w:rPr>
        <w:t xml:space="preserve">How to do your Research Project. </w:t>
      </w:r>
      <w:r w:rsidRPr="00BB0A00">
        <w:rPr>
          <w:sz w:val="24"/>
          <w:szCs w:val="24"/>
        </w:rPr>
        <w:t>2nd edn. London, SAGE Publications Ltd.</w:t>
      </w:r>
    </w:p>
    <w:p w14:paraId="4E2692B3" w14:textId="77777777" w:rsidR="00C46B50" w:rsidRPr="00BB0A00" w:rsidRDefault="00233DF4">
      <w:pPr>
        <w:spacing w:line="480" w:lineRule="auto"/>
        <w:rPr>
          <w:sz w:val="24"/>
          <w:szCs w:val="24"/>
        </w:rPr>
      </w:pPr>
      <w:r w:rsidRPr="00BB0A00">
        <w:rPr>
          <w:sz w:val="24"/>
          <w:szCs w:val="24"/>
        </w:rPr>
        <w:t xml:space="preserve">Thomas, G. (2013) </w:t>
      </w:r>
      <w:r w:rsidRPr="00BB0A00">
        <w:rPr>
          <w:i/>
          <w:iCs/>
          <w:sz w:val="24"/>
          <w:szCs w:val="24"/>
        </w:rPr>
        <w:t xml:space="preserve">How to do your Research Project. </w:t>
      </w:r>
      <w:r w:rsidRPr="00BB0A00">
        <w:rPr>
          <w:sz w:val="24"/>
          <w:szCs w:val="24"/>
        </w:rPr>
        <w:t>2nd edn. London, SAGE Publications Ltd.</w:t>
      </w:r>
    </w:p>
    <w:p w14:paraId="4E2692B4" w14:textId="77777777" w:rsidR="00C46B50" w:rsidRPr="00BB0A00" w:rsidRDefault="00233DF4">
      <w:pPr>
        <w:spacing w:line="480" w:lineRule="auto"/>
        <w:rPr>
          <w:sz w:val="24"/>
          <w:szCs w:val="24"/>
        </w:rPr>
      </w:pPr>
      <w:r w:rsidRPr="00BB0A00">
        <w:rPr>
          <w:sz w:val="24"/>
          <w:szCs w:val="24"/>
        </w:rPr>
        <w:t xml:space="preserve">Thomas, H., Duggan, B., McAlister-Wilson, S., Roberts, L., Sinnema, C., Cole Jones, N. and Glover, A. (2023). </w:t>
      </w:r>
      <w:r w:rsidRPr="00BB0A00">
        <w:rPr>
          <w:i/>
          <w:iCs/>
          <w:sz w:val="24"/>
          <w:szCs w:val="24"/>
        </w:rPr>
        <w:t>Research with schools on the early implementation of Curriculum for Wales: Wave 2 report</w:t>
      </w:r>
      <w:r w:rsidRPr="00BB0A00">
        <w:rPr>
          <w:sz w:val="24"/>
          <w:szCs w:val="24"/>
        </w:rPr>
        <w:t xml:space="preserve">. GSR report number 88/2023. Available at: </w:t>
      </w:r>
      <w:hyperlink r:id="rId14">
        <w:r w:rsidR="00C46B50" w:rsidRPr="00BB0A00">
          <w:rPr>
            <w:color w:val="1155CC"/>
            <w:sz w:val="24"/>
            <w:szCs w:val="24"/>
            <w:u w:val="single"/>
          </w:rPr>
          <w:t>https://www.gov.wales/research-schools-and-learners-early-implementation-curriculum-wales-wave-2</w:t>
        </w:r>
      </w:hyperlink>
      <w:r w:rsidRPr="00BB0A00">
        <w:rPr>
          <w:sz w:val="24"/>
          <w:szCs w:val="24"/>
        </w:rPr>
        <w:t xml:space="preserve"> (Accessed: 2 February 2026).</w:t>
      </w:r>
    </w:p>
    <w:p w14:paraId="4E2692B5" w14:textId="77777777" w:rsidR="00C46B50" w:rsidRPr="00BB0A00" w:rsidRDefault="00233DF4">
      <w:pPr>
        <w:widowControl w:val="0"/>
        <w:spacing w:after="100" w:line="480" w:lineRule="auto"/>
        <w:rPr>
          <w:sz w:val="24"/>
          <w:szCs w:val="24"/>
        </w:rPr>
      </w:pPr>
      <w:r w:rsidRPr="00BB0A00">
        <w:rPr>
          <w:sz w:val="24"/>
          <w:szCs w:val="24"/>
        </w:rPr>
        <w:t xml:space="preserve">Tymms, P. (2021) ‘Questionnaires’ in Coe, R., Waring, M., Hedges, L.,  and Day Ashley, L. (eds.), </w:t>
      </w:r>
      <w:r w:rsidRPr="00BB0A00">
        <w:rPr>
          <w:i/>
          <w:iCs/>
          <w:sz w:val="24"/>
          <w:szCs w:val="24"/>
        </w:rPr>
        <w:t xml:space="preserve">Research Methods and Methodologies in Education. </w:t>
      </w:r>
      <w:r w:rsidRPr="00BB0A00">
        <w:rPr>
          <w:sz w:val="24"/>
          <w:szCs w:val="24"/>
        </w:rPr>
        <w:t>3rd edn. London: Sage Publications Ltd. pp. 277-288.</w:t>
      </w:r>
    </w:p>
    <w:p w14:paraId="4E2692B6" w14:textId="77777777" w:rsidR="00C46B50" w:rsidRPr="00BB0A00" w:rsidRDefault="00233DF4">
      <w:pPr>
        <w:spacing w:line="480" w:lineRule="auto"/>
        <w:rPr>
          <w:sz w:val="24"/>
          <w:szCs w:val="24"/>
        </w:rPr>
      </w:pPr>
      <w:r w:rsidRPr="00BB0A00">
        <w:rPr>
          <w:sz w:val="24"/>
          <w:szCs w:val="24"/>
        </w:rPr>
        <w:t xml:space="preserve">Waring, M. (2021) ‘Finding your theoretical position’, in Coe, R., Waring, M., Hedges, L.V. and Day Ashley, L. (eds) </w:t>
      </w:r>
      <w:r w:rsidRPr="00BB0A00">
        <w:rPr>
          <w:i/>
          <w:iCs/>
          <w:sz w:val="24"/>
          <w:szCs w:val="24"/>
        </w:rPr>
        <w:t>Research methods &amp; methodologies in education</w:t>
      </w:r>
      <w:r w:rsidRPr="00BB0A00">
        <w:rPr>
          <w:sz w:val="24"/>
          <w:szCs w:val="24"/>
        </w:rPr>
        <w:t>. 3rd edn</w:t>
      </w:r>
      <w:r w:rsidRPr="00BB0A00">
        <w:rPr>
          <w:sz w:val="24"/>
          <w:szCs w:val="24"/>
        </w:rPr>
        <w:t>. London: SAGE, pp. 15–21.</w:t>
      </w:r>
    </w:p>
    <w:p w14:paraId="4E2692B7" w14:textId="77777777" w:rsidR="00C46B50" w:rsidRPr="00BB0A00" w:rsidRDefault="00233DF4">
      <w:pPr>
        <w:widowControl w:val="0"/>
        <w:spacing w:line="480" w:lineRule="auto"/>
        <w:rPr>
          <w:sz w:val="24"/>
          <w:szCs w:val="24"/>
        </w:rPr>
      </w:pPr>
      <w:r w:rsidRPr="00BB0A00">
        <w:rPr>
          <w:sz w:val="24"/>
          <w:szCs w:val="24"/>
        </w:rPr>
        <w:lastRenderedPageBreak/>
        <w:t xml:space="preserve">Welsh Government. (2020). </w:t>
      </w:r>
      <w:r w:rsidRPr="00BB0A00">
        <w:rPr>
          <w:i/>
          <w:iCs/>
          <w:sz w:val="24"/>
          <w:szCs w:val="24"/>
        </w:rPr>
        <w:t>Introduction to curriculum for Wales guidance</w:t>
      </w:r>
      <w:r w:rsidRPr="00BB0A00">
        <w:rPr>
          <w:sz w:val="24"/>
          <w:szCs w:val="24"/>
        </w:rPr>
        <w:t xml:space="preserve">. Welsh Government. Available at: </w:t>
      </w:r>
      <w:hyperlink r:id="rId15">
        <w:r w:rsidR="00C46B50" w:rsidRPr="00BB0A00">
          <w:rPr>
            <w:color w:val="1155CC"/>
            <w:sz w:val="24"/>
            <w:szCs w:val="24"/>
            <w:u w:val="single"/>
          </w:rPr>
          <w:t>https://hwb.gov.wales/curriculum-for-wales/introduction</w:t>
        </w:r>
      </w:hyperlink>
      <w:r w:rsidRPr="00BB0A00">
        <w:rPr>
          <w:sz w:val="24"/>
          <w:szCs w:val="24"/>
        </w:rPr>
        <w:t xml:space="preserve"> (Accessed: 29 March 2026).</w:t>
      </w:r>
    </w:p>
    <w:p w14:paraId="4E2692B8" w14:textId="77777777" w:rsidR="00C46B50" w:rsidRDefault="00C46B50">
      <w:pPr>
        <w:widowControl w:val="0"/>
        <w:spacing w:line="480" w:lineRule="auto"/>
        <w:rPr>
          <w:sz w:val="24"/>
          <w:szCs w:val="24"/>
        </w:rPr>
      </w:pPr>
    </w:p>
    <w:sectPr w:rsidR="00C46B5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33BA323-A086-406E-A2F4-1AF04A030E18}"/>
  </w:font>
  <w:font w:name="Cambria">
    <w:panose1 w:val="02040503050406030204"/>
    <w:charset w:val="00"/>
    <w:family w:val="roman"/>
    <w:pitch w:val="variable"/>
    <w:sig w:usb0="E00006FF" w:usb1="420024FF" w:usb2="02000000" w:usb3="00000000" w:csb0="0000019F" w:csb1="00000000"/>
    <w:embedRegular r:id="rId2" w:fontKey="{B6BF6F9F-D205-4FDA-9A55-1E8FABBFB8F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B50"/>
    <w:rsid w:val="00021106"/>
    <w:rsid w:val="00031028"/>
    <w:rsid w:val="000A75FE"/>
    <w:rsid w:val="000F53D5"/>
    <w:rsid w:val="00105607"/>
    <w:rsid w:val="00117399"/>
    <w:rsid w:val="00120181"/>
    <w:rsid w:val="0013746F"/>
    <w:rsid w:val="001449DD"/>
    <w:rsid w:val="001616ED"/>
    <w:rsid w:val="00163597"/>
    <w:rsid w:val="00165397"/>
    <w:rsid w:val="001B367C"/>
    <w:rsid w:val="001B5D1A"/>
    <w:rsid w:val="001E47E1"/>
    <w:rsid w:val="00215C94"/>
    <w:rsid w:val="00235EC1"/>
    <w:rsid w:val="002635D7"/>
    <w:rsid w:val="00274C55"/>
    <w:rsid w:val="002C6A8F"/>
    <w:rsid w:val="002D5305"/>
    <w:rsid w:val="002E6880"/>
    <w:rsid w:val="00311049"/>
    <w:rsid w:val="00372C30"/>
    <w:rsid w:val="00393AAB"/>
    <w:rsid w:val="003A441F"/>
    <w:rsid w:val="003A5236"/>
    <w:rsid w:val="003A7566"/>
    <w:rsid w:val="003D57DF"/>
    <w:rsid w:val="0040344E"/>
    <w:rsid w:val="004604BD"/>
    <w:rsid w:val="00462E49"/>
    <w:rsid w:val="004714CA"/>
    <w:rsid w:val="00471746"/>
    <w:rsid w:val="00472427"/>
    <w:rsid w:val="00495F7B"/>
    <w:rsid w:val="004C3EA9"/>
    <w:rsid w:val="005B40C3"/>
    <w:rsid w:val="005B446F"/>
    <w:rsid w:val="005C6E27"/>
    <w:rsid w:val="00646122"/>
    <w:rsid w:val="0065172E"/>
    <w:rsid w:val="00686D8F"/>
    <w:rsid w:val="006A143E"/>
    <w:rsid w:val="006B0001"/>
    <w:rsid w:val="006B5A3C"/>
    <w:rsid w:val="006D524E"/>
    <w:rsid w:val="00700E8F"/>
    <w:rsid w:val="00702073"/>
    <w:rsid w:val="00723D0F"/>
    <w:rsid w:val="007942C1"/>
    <w:rsid w:val="007B34B1"/>
    <w:rsid w:val="007D682A"/>
    <w:rsid w:val="007F5FC9"/>
    <w:rsid w:val="00803A41"/>
    <w:rsid w:val="00846C89"/>
    <w:rsid w:val="0085587C"/>
    <w:rsid w:val="00866ED0"/>
    <w:rsid w:val="008B47B2"/>
    <w:rsid w:val="008C61C7"/>
    <w:rsid w:val="008D549B"/>
    <w:rsid w:val="00900101"/>
    <w:rsid w:val="00946EE9"/>
    <w:rsid w:val="00967FF8"/>
    <w:rsid w:val="00996F67"/>
    <w:rsid w:val="009A27DF"/>
    <w:rsid w:val="009A6F6C"/>
    <w:rsid w:val="009F1427"/>
    <w:rsid w:val="00A75C5A"/>
    <w:rsid w:val="00AE042A"/>
    <w:rsid w:val="00B55432"/>
    <w:rsid w:val="00B92928"/>
    <w:rsid w:val="00B95F64"/>
    <w:rsid w:val="00BB0A00"/>
    <w:rsid w:val="00BD3AF2"/>
    <w:rsid w:val="00BE5F75"/>
    <w:rsid w:val="00C125DF"/>
    <w:rsid w:val="00C307AF"/>
    <w:rsid w:val="00C46B50"/>
    <w:rsid w:val="00CA2B57"/>
    <w:rsid w:val="00CA64B0"/>
    <w:rsid w:val="00CC77C5"/>
    <w:rsid w:val="00D12605"/>
    <w:rsid w:val="00D12DB0"/>
    <w:rsid w:val="00D17290"/>
    <w:rsid w:val="00D249D4"/>
    <w:rsid w:val="00D83A48"/>
    <w:rsid w:val="00DA25B0"/>
    <w:rsid w:val="00DB288B"/>
    <w:rsid w:val="00E00BA8"/>
    <w:rsid w:val="00E048E7"/>
    <w:rsid w:val="00E707CF"/>
    <w:rsid w:val="00EA0129"/>
    <w:rsid w:val="00EA1BE4"/>
    <w:rsid w:val="00EB38F1"/>
    <w:rsid w:val="00F2062F"/>
    <w:rsid w:val="00F34326"/>
    <w:rsid w:val="00F54393"/>
    <w:rsid w:val="00F705E4"/>
    <w:rsid w:val="00F85B8D"/>
    <w:rsid w:val="00F95BB2"/>
    <w:rsid w:val="00FB089F"/>
    <w:rsid w:val="00FE0785"/>
    <w:rsid w:val="00FE4E1F"/>
    <w:rsid w:val="00FF7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6923A"/>
  <w15:docId w15:val="{C698A209-914C-40C5-A2AB-D17468722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outlineLvl w:val="1"/>
    </w:pPr>
    <w:rPr>
      <w:sz w:val="24"/>
      <w:szCs w:val="24"/>
    </w:rPr>
  </w:style>
  <w:style w:type="paragraph" w:styleId="Heading3">
    <w:name w:val="heading 3"/>
    <w:basedOn w:val="Normal"/>
    <w:next w:val="Normal"/>
    <w:uiPriority w:val="9"/>
    <w:semiHidden/>
    <w:unhideWhenUsed/>
    <w:qFormat/>
    <w:pPr>
      <w:keepNext/>
      <w:keepLines/>
      <w:spacing w:before="240" w:after="240"/>
      <w:outlineLvl w:val="2"/>
    </w:p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D524E"/>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6D524E"/>
    <w:pPr>
      <w:spacing w:after="100"/>
    </w:pPr>
  </w:style>
  <w:style w:type="paragraph" w:styleId="TOC2">
    <w:name w:val="toc 2"/>
    <w:basedOn w:val="Normal"/>
    <w:next w:val="Normal"/>
    <w:autoRedefine/>
    <w:uiPriority w:val="39"/>
    <w:unhideWhenUsed/>
    <w:rsid w:val="006D524E"/>
    <w:pPr>
      <w:spacing w:after="100"/>
      <w:ind w:left="220"/>
    </w:pPr>
  </w:style>
  <w:style w:type="character" w:styleId="Hyperlink">
    <w:name w:val="Hyperlink"/>
    <w:basedOn w:val="DefaultParagraphFont"/>
    <w:uiPriority w:val="99"/>
    <w:unhideWhenUsed/>
    <w:rsid w:val="006D524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2607476.2024.2371308" TargetMode="External"/><Relationship Id="rId13" Type="http://schemas.openxmlformats.org/officeDocument/2006/relationships/hyperlink" Target="https://statswales.gov.wales/Catalogue/Education-and-Skills/Schools-and-Teachers/Schools-Census/Pupil-Level-Annual-School-Census/Schools/schools-by-localauthorityregion-type" TargetMode="External"/><Relationship Id="rId3" Type="http://schemas.openxmlformats.org/officeDocument/2006/relationships/settings" Target="settings.xml"/><Relationship Id="rId7" Type="http://schemas.openxmlformats.org/officeDocument/2006/relationships/hyperlink" Target="https://files.eric.ed.gov/fulltext/EJ1268044.pdf" TargetMode="External"/><Relationship Id="rId12" Type="http://schemas.openxmlformats.org/officeDocument/2006/relationships/hyperlink" Target="https://statswales.gov.wales/Catalogue/Education-and-Skills/Schools-and-Teachers/teachers-and-support-staff/school-workforce-annual-census/teachers/teachersubjectstaught-by-measure-subjec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bera-journals.onlinelibrary.wiley.com/doi/full/10.1002/curj.259" TargetMode="External"/><Relationship Id="rId11" Type="http://schemas.openxmlformats.org/officeDocument/2006/relationships/hyperlink" Target="https://doi.org/10.1111/tct.13819" TargetMode="External"/><Relationship Id="rId5" Type="http://schemas.openxmlformats.org/officeDocument/2006/relationships/image" Target="media/image1.png"/><Relationship Id="rId15" Type="http://schemas.openxmlformats.org/officeDocument/2006/relationships/hyperlink" Target="https://hwb.gov.wales/curriculum-for-wales/introduction" TargetMode="External"/><Relationship Id="rId10" Type="http://schemas.openxmlformats.org/officeDocument/2006/relationships/hyperlink" Target="https://doi.org/10.1080/20004508.2023.2297506" TargetMode="External"/><Relationship Id="rId4" Type="http://schemas.openxmlformats.org/officeDocument/2006/relationships/webSettings" Target="webSettings.xml"/><Relationship Id="rId9" Type="http://schemas.openxmlformats.org/officeDocument/2006/relationships/hyperlink" Target="https://annual-report.estyn.gov.wales/2024-2/secondary/" TargetMode="External"/><Relationship Id="rId14" Type="http://schemas.openxmlformats.org/officeDocument/2006/relationships/hyperlink" Target="https://www.gov.wales/research-schools-and-learners-early-implementation-curriculum-wales-wave-2"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47AFE-CE5C-40BA-9467-02D718511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24</Pages>
  <Words>5261</Words>
  <Characters>29991</Characters>
  <Application>Microsoft Office Word</Application>
  <DocSecurity>0</DocSecurity>
  <Lines>249</Lines>
  <Paragraphs>70</Paragraphs>
  <ScaleCrop>false</ScaleCrop>
  <Company/>
  <LinksUpToDate>false</LinksUpToDate>
  <CharactersWithSpaces>35182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Owain Jones</cp:lastModifiedBy>
  <cp:revision>102</cp:revision>
  <dcterms:created xsi:type="dcterms:W3CDTF">2026-04-27T21:42:00Z</dcterms:created>
  <dcterms:modified xsi:type="dcterms:W3CDTF">2026-07-06T00:49:00Z</dcterms:modified>
</cp:coreProperties>
</file>