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F3146" w14:textId="77777777" w:rsidR="008756B3" w:rsidRDefault="008756B3" w:rsidP="005B480E">
      <w:pPr>
        <w:jc w:val="center"/>
        <w:rPr>
          <w:b/>
        </w:rPr>
      </w:pPr>
    </w:p>
    <w:p w14:paraId="57921030" w14:textId="77777777" w:rsidR="008756B3" w:rsidRDefault="008756B3" w:rsidP="005B480E">
      <w:pPr>
        <w:jc w:val="center"/>
        <w:rPr>
          <w:b/>
        </w:rPr>
      </w:pPr>
    </w:p>
    <w:p w14:paraId="1983DF66" w14:textId="77777777" w:rsidR="008756B3" w:rsidRDefault="008756B3" w:rsidP="005B480E">
      <w:pPr>
        <w:jc w:val="center"/>
        <w:rPr>
          <w:b/>
        </w:rPr>
      </w:pPr>
    </w:p>
    <w:p w14:paraId="731E1D59" w14:textId="77777777" w:rsidR="008756B3" w:rsidRDefault="008756B3" w:rsidP="005B480E">
      <w:pPr>
        <w:jc w:val="center"/>
        <w:rPr>
          <w:b/>
        </w:rPr>
      </w:pPr>
    </w:p>
    <w:p w14:paraId="6558E29B" w14:textId="77777777" w:rsidR="008756B3" w:rsidRDefault="008756B3" w:rsidP="005B480E">
      <w:pPr>
        <w:jc w:val="center"/>
        <w:rPr>
          <w:b/>
        </w:rPr>
      </w:pPr>
    </w:p>
    <w:p w14:paraId="1DFA3724" w14:textId="77777777" w:rsidR="008756B3" w:rsidRDefault="008756B3" w:rsidP="005B480E">
      <w:pPr>
        <w:jc w:val="center"/>
        <w:rPr>
          <w:b/>
        </w:rPr>
      </w:pPr>
    </w:p>
    <w:p w14:paraId="232229F6" w14:textId="77777777" w:rsidR="008756B3" w:rsidRDefault="008756B3" w:rsidP="005B480E">
      <w:pPr>
        <w:jc w:val="center"/>
        <w:rPr>
          <w:b/>
        </w:rPr>
      </w:pPr>
    </w:p>
    <w:p w14:paraId="70B07996" w14:textId="77777777" w:rsidR="008756B3" w:rsidRDefault="008756B3" w:rsidP="005B480E">
      <w:pPr>
        <w:jc w:val="center"/>
        <w:rPr>
          <w:b/>
        </w:rPr>
      </w:pPr>
    </w:p>
    <w:p w14:paraId="3D356AAD" w14:textId="77777777" w:rsidR="008756B3" w:rsidRDefault="008756B3" w:rsidP="005B480E">
      <w:pPr>
        <w:jc w:val="center"/>
        <w:rPr>
          <w:b/>
        </w:rPr>
      </w:pPr>
    </w:p>
    <w:p w14:paraId="454A3A00" w14:textId="77777777" w:rsidR="008756B3" w:rsidRPr="000C20B7" w:rsidRDefault="008756B3" w:rsidP="005B480E">
      <w:pPr>
        <w:jc w:val="center"/>
        <w:rPr>
          <w:b/>
          <w:sz w:val="32"/>
        </w:rPr>
      </w:pPr>
    </w:p>
    <w:p w14:paraId="4B9FF2F5" w14:textId="77777777" w:rsidR="008756B3" w:rsidRPr="000C20B7" w:rsidRDefault="00AF32B6" w:rsidP="00AF32B6">
      <w:pPr>
        <w:jc w:val="center"/>
        <w:rPr>
          <w:b/>
          <w:sz w:val="32"/>
        </w:rPr>
      </w:pPr>
      <w:r w:rsidRPr="000C20B7">
        <w:rPr>
          <w:b/>
          <w:sz w:val="32"/>
        </w:rPr>
        <w:t>Module code: BMSW 4005</w:t>
      </w:r>
    </w:p>
    <w:p w14:paraId="52387C7E" w14:textId="6B31A2F1" w:rsidR="008756B3" w:rsidRPr="000C20B7" w:rsidRDefault="00AF32B6" w:rsidP="005B480E">
      <w:pPr>
        <w:jc w:val="center"/>
        <w:rPr>
          <w:b/>
          <w:sz w:val="32"/>
        </w:rPr>
      </w:pPr>
      <w:r w:rsidRPr="000C20B7">
        <w:rPr>
          <w:b/>
          <w:sz w:val="32"/>
        </w:rPr>
        <w:t>Module: Professional Career development</w:t>
      </w:r>
    </w:p>
    <w:p w14:paraId="5C0CBF4B" w14:textId="77777777" w:rsidR="00D25187" w:rsidRPr="000C20B7" w:rsidRDefault="005B480E" w:rsidP="005B480E">
      <w:pPr>
        <w:jc w:val="center"/>
        <w:rPr>
          <w:b/>
          <w:sz w:val="32"/>
        </w:rPr>
      </w:pPr>
      <w:r w:rsidRPr="000C20B7">
        <w:rPr>
          <w:b/>
          <w:sz w:val="32"/>
        </w:rPr>
        <w:t>STUDENT ID-</w:t>
      </w:r>
      <w:r w:rsidR="00C17653">
        <w:rPr>
          <w:b/>
          <w:sz w:val="32"/>
        </w:rPr>
        <w:t>2026658</w:t>
      </w:r>
    </w:p>
    <w:p w14:paraId="7013920F" w14:textId="77777777" w:rsidR="00D25187" w:rsidRPr="0071133E" w:rsidRDefault="00D25187">
      <w:pPr>
        <w:spacing w:line="276" w:lineRule="auto"/>
        <w:jc w:val="left"/>
        <w:rPr>
          <w:b/>
        </w:rPr>
      </w:pPr>
      <w:r w:rsidRPr="0071133E">
        <w:rPr>
          <w:b/>
        </w:rPr>
        <w:br w:type="page"/>
      </w:r>
    </w:p>
    <w:sdt>
      <w:sdtPr>
        <w:rPr>
          <w:rFonts w:ascii="Arial" w:eastAsiaTheme="minorEastAsia" w:hAnsi="Arial" w:cstheme="minorBidi"/>
          <w:b w:val="0"/>
          <w:bCs w:val="0"/>
          <w:color w:val="auto"/>
          <w:sz w:val="22"/>
          <w:szCs w:val="22"/>
          <w:lang w:val="en-GB" w:eastAsia="en-GB"/>
        </w:rPr>
        <w:id w:val="-1816935013"/>
        <w:docPartObj>
          <w:docPartGallery w:val="Table of Contents"/>
          <w:docPartUnique/>
        </w:docPartObj>
      </w:sdtPr>
      <w:sdtEndPr/>
      <w:sdtContent>
        <w:p w14:paraId="39D74648" w14:textId="77777777" w:rsidR="00076660" w:rsidRDefault="00076660" w:rsidP="00076660">
          <w:pPr>
            <w:pStyle w:val="TOCHeading"/>
            <w:jc w:val="center"/>
          </w:pPr>
          <w:r w:rsidRPr="00076660">
            <w:rPr>
              <w:rFonts w:ascii="Arial" w:hAnsi="Arial" w:cs="Arial"/>
              <w:color w:val="auto"/>
              <w:sz w:val="22"/>
              <w:szCs w:val="22"/>
            </w:rPr>
            <w:t>Table of Contents</w:t>
          </w:r>
        </w:p>
        <w:p w14:paraId="12B00350" w14:textId="77777777" w:rsidR="00076660" w:rsidRDefault="00076660">
          <w:pPr>
            <w:pStyle w:val="TOC1"/>
            <w:tabs>
              <w:tab w:val="left" w:pos="440"/>
              <w:tab w:val="right" w:leader="dot" w:pos="9016"/>
            </w:tabs>
            <w:rPr>
              <w:noProof/>
            </w:rPr>
          </w:pPr>
          <w:r>
            <w:fldChar w:fldCharType="begin"/>
          </w:r>
          <w:r>
            <w:instrText xml:space="preserve"> TOC \o "1-3" \h \z \u </w:instrText>
          </w:r>
          <w:r>
            <w:fldChar w:fldCharType="separate"/>
          </w:r>
          <w:hyperlink w:anchor="_Toc100343757" w:history="1">
            <w:r w:rsidRPr="00117D6F">
              <w:rPr>
                <w:rStyle w:val="Hyperlink"/>
                <w:noProof/>
              </w:rPr>
              <w:t>1.</w:t>
            </w:r>
            <w:r>
              <w:rPr>
                <w:noProof/>
              </w:rPr>
              <w:tab/>
            </w:r>
            <w:r w:rsidRPr="00117D6F">
              <w:rPr>
                <w:rStyle w:val="Hyperlink"/>
                <w:noProof/>
              </w:rPr>
              <w:t>Self awareness themes</w:t>
            </w:r>
            <w:r>
              <w:rPr>
                <w:noProof/>
                <w:webHidden/>
              </w:rPr>
              <w:tab/>
            </w:r>
            <w:r>
              <w:rPr>
                <w:noProof/>
                <w:webHidden/>
              </w:rPr>
              <w:fldChar w:fldCharType="begin"/>
            </w:r>
            <w:r>
              <w:rPr>
                <w:noProof/>
                <w:webHidden/>
              </w:rPr>
              <w:instrText xml:space="preserve"> PAGEREF _Toc100343757 \h </w:instrText>
            </w:r>
            <w:r>
              <w:rPr>
                <w:noProof/>
                <w:webHidden/>
              </w:rPr>
            </w:r>
            <w:r>
              <w:rPr>
                <w:noProof/>
                <w:webHidden/>
              </w:rPr>
              <w:fldChar w:fldCharType="separate"/>
            </w:r>
            <w:r>
              <w:rPr>
                <w:noProof/>
                <w:webHidden/>
              </w:rPr>
              <w:t>3</w:t>
            </w:r>
            <w:r>
              <w:rPr>
                <w:noProof/>
                <w:webHidden/>
              </w:rPr>
              <w:fldChar w:fldCharType="end"/>
            </w:r>
          </w:hyperlink>
        </w:p>
        <w:p w14:paraId="057BCEA9" w14:textId="77777777" w:rsidR="00076660" w:rsidRDefault="008D6E54">
          <w:pPr>
            <w:pStyle w:val="TOC2"/>
            <w:tabs>
              <w:tab w:val="right" w:leader="dot" w:pos="9016"/>
            </w:tabs>
            <w:rPr>
              <w:noProof/>
            </w:rPr>
          </w:pPr>
          <w:hyperlink w:anchor="_Toc100343758" w:history="1">
            <w:r w:rsidR="00076660" w:rsidRPr="00117D6F">
              <w:rPr>
                <w:rStyle w:val="Hyperlink"/>
                <w:noProof/>
              </w:rPr>
              <w:t>SWOT analysis</w:t>
            </w:r>
            <w:r w:rsidR="00076660">
              <w:rPr>
                <w:noProof/>
                <w:webHidden/>
              </w:rPr>
              <w:tab/>
            </w:r>
            <w:r w:rsidR="00076660">
              <w:rPr>
                <w:noProof/>
                <w:webHidden/>
              </w:rPr>
              <w:fldChar w:fldCharType="begin"/>
            </w:r>
            <w:r w:rsidR="00076660">
              <w:rPr>
                <w:noProof/>
                <w:webHidden/>
              </w:rPr>
              <w:instrText xml:space="preserve"> PAGEREF _Toc100343758 \h </w:instrText>
            </w:r>
            <w:r w:rsidR="00076660">
              <w:rPr>
                <w:noProof/>
                <w:webHidden/>
              </w:rPr>
            </w:r>
            <w:r w:rsidR="00076660">
              <w:rPr>
                <w:noProof/>
                <w:webHidden/>
              </w:rPr>
              <w:fldChar w:fldCharType="separate"/>
            </w:r>
            <w:r w:rsidR="00076660">
              <w:rPr>
                <w:noProof/>
                <w:webHidden/>
              </w:rPr>
              <w:t>3</w:t>
            </w:r>
            <w:r w:rsidR="00076660">
              <w:rPr>
                <w:noProof/>
                <w:webHidden/>
              </w:rPr>
              <w:fldChar w:fldCharType="end"/>
            </w:r>
          </w:hyperlink>
        </w:p>
        <w:p w14:paraId="79B3DE84" w14:textId="77777777" w:rsidR="00076660" w:rsidRDefault="008D6E54">
          <w:pPr>
            <w:pStyle w:val="TOC2"/>
            <w:tabs>
              <w:tab w:val="right" w:leader="dot" w:pos="9016"/>
            </w:tabs>
            <w:rPr>
              <w:noProof/>
            </w:rPr>
          </w:pPr>
          <w:hyperlink w:anchor="_Toc100343759" w:history="1">
            <w:r w:rsidR="00076660" w:rsidRPr="00117D6F">
              <w:rPr>
                <w:rStyle w:val="Hyperlink"/>
                <w:noProof/>
              </w:rPr>
              <w:t>Personal Development Plan</w:t>
            </w:r>
            <w:r w:rsidR="00076660">
              <w:rPr>
                <w:noProof/>
                <w:webHidden/>
              </w:rPr>
              <w:tab/>
            </w:r>
            <w:r w:rsidR="00076660">
              <w:rPr>
                <w:noProof/>
                <w:webHidden/>
              </w:rPr>
              <w:fldChar w:fldCharType="begin"/>
            </w:r>
            <w:r w:rsidR="00076660">
              <w:rPr>
                <w:noProof/>
                <w:webHidden/>
              </w:rPr>
              <w:instrText xml:space="preserve"> PAGEREF _Toc100343759 \h </w:instrText>
            </w:r>
            <w:r w:rsidR="00076660">
              <w:rPr>
                <w:noProof/>
                <w:webHidden/>
              </w:rPr>
            </w:r>
            <w:r w:rsidR="00076660">
              <w:rPr>
                <w:noProof/>
                <w:webHidden/>
              </w:rPr>
              <w:fldChar w:fldCharType="separate"/>
            </w:r>
            <w:r w:rsidR="00076660">
              <w:rPr>
                <w:noProof/>
                <w:webHidden/>
              </w:rPr>
              <w:t>3</w:t>
            </w:r>
            <w:r w:rsidR="00076660">
              <w:rPr>
                <w:noProof/>
                <w:webHidden/>
              </w:rPr>
              <w:fldChar w:fldCharType="end"/>
            </w:r>
          </w:hyperlink>
        </w:p>
        <w:p w14:paraId="046C65D8" w14:textId="77777777" w:rsidR="00076660" w:rsidRDefault="008D6E54">
          <w:pPr>
            <w:pStyle w:val="TOC1"/>
            <w:tabs>
              <w:tab w:val="left" w:pos="440"/>
              <w:tab w:val="right" w:leader="dot" w:pos="9016"/>
            </w:tabs>
            <w:rPr>
              <w:noProof/>
            </w:rPr>
          </w:pPr>
          <w:hyperlink w:anchor="_Toc100343760" w:history="1">
            <w:r w:rsidR="00076660" w:rsidRPr="00117D6F">
              <w:rPr>
                <w:rStyle w:val="Hyperlink"/>
                <w:noProof/>
              </w:rPr>
              <w:t>2.</w:t>
            </w:r>
            <w:r w:rsidR="00076660">
              <w:rPr>
                <w:noProof/>
              </w:rPr>
              <w:tab/>
            </w:r>
            <w:r w:rsidR="00076660" w:rsidRPr="00117D6F">
              <w:rPr>
                <w:rStyle w:val="Hyperlink"/>
                <w:noProof/>
              </w:rPr>
              <w:t>Learning and development training</w:t>
            </w:r>
            <w:r w:rsidR="00076660">
              <w:rPr>
                <w:noProof/>
                <w:webHidden/>
              </w:rPr>
              <w:tab/>
            </w:r>
            <w:r w:rsidR="00076660">
              <w:rPr>
                <w:noProof/>
                <w:webHidden/>
              </w:rPr>
              <w:fldChar w:fldCharType="begin"/>
            </w:r>
            <w:r w:rsidR="00076660">
              <w:rPr>
                <w:noProof/>
                <w:webHidden/>
              </w:rPr>
              <w:instrText xml:space="preserve"> PAGEREF _Toc100343760 \h </w:instrText>
            </w:r>
            <w:r w:rsidR="00076660">
              <w:rPr>
                <w:noProof/>
                <w:webHidden/>
              </w:rPr>
            </w:r>
            <w:r w:rsidR="00076660">
              <w:rPr>
                <w:noProof/>
                <w:webHidden/>
              </w:rPr>
              <w:fldChar w:fldCharType="separate"/>
            </w:r>
            <w:r w:rsidR="00076660">
              <w:rPr>
                <w:noProof/>
                <w:webHidden/>
              </w:rPr>
              <w:t>5</w:t>
            </w:r>
            <w:r w:rsidR="00076660">
              <w:rPr>
                <w:noProof/>
                <w:webHidden/>
              </w:rPr>
              <w:fldChar w:fldCharType="end"/>
            </w:r>
          </w:hyperlink>
        </w:p>
        <w:p w14:paraId="4D8BB48F" w14:textId="77777777" w:rsidR="00076660" w:rsidRDefault="008D6E54">
          <w:pPr>
            <w:pStyle w:val="TOC2"/>
            <w:tabs>
              <w:tab w:val="right" w:leader="dot" w:pos="9016"/>
            </w:tabs>
            <w:rPr>
              <w:noProof/>
            </w:rPr>
          </w:pPr>
          <w:hyperlink w:anchor="_Toc100343761" w:history="1">
            <w:r w:rsidR="00076660" w:rsidRPr="00117D6F">
              <w:rPr>
                <w:rStyle w:val="Hyperlink"/>
                <w:noProof/>
              </w:rPr>
              <w:t>Internship method</w:t>
            </w:r>
            <w:r w:rsidR="00076660">
              <w:rPr>
                <w:noProof/>
                <w:webHidden/>
              </w:rPr>
              <w:tab/>
            </w:r>
            <w:r w:rsidR="00076660">
              <w:rPr>
                <w:noProof/>
                <w:webHidden/>
              </w:rPr>
              <w:fldChar w:fldCharType="begin"/>
            </w:r>
            <w:r w:rsidR="00076660">
              <w:rPr>
                <w:noProof/>
                <w:webHidden/>
              </w:rPr>
              <w:instrText xml:space="preserve"> PAGEREF _Toc100343761 \h </w:instrText>
            </w:r>
            <w:r w:rsidR="00076660">
              <w:rPr>
                <w:noProof/>
                <w:webHidden/>
              </w:rPr>
            </w:r>
            <w:r w:rsidR="00076660">
              <w:rPr>
                <w:noProof/>
                <w:webHidden/>
              </w:rPr>
              <w:fldChar w:fldCharType="separate"/>
            </w:r>
            <w:r w:rsidR="00076660">
              <w:rPr>
                <w:noProof/>
                <w:webHidden/>
              </w:rPr>
              <w:t>5</w:t>
            </w:r>
            <w:r w:rsidR="00076660">
              <w:rPr>
                <w:noProof/>
                <w:webHidden/>
              </w:rPr>
              <w:fldChar w:fldCharType="end"/>
            </w:r>
          </w:hyperlink>
        </w:p>
        <w:p w14:paraId="039AA86C" w14:textId="77777777" w:rsidR="00076660" w:rsidRDefault="008D6E54">
          <w:pPr>
            <w:pStyle w:val="TOC2"/>
            <w:tabs>
              <w:tab w:val="right" w:leader="dot" w:pos="9016"/>
            </w:tabs>
            <w:rPr>
              <w:noProof/>
            </w:rPr>
          </w:pPr>
          <w:hyperlink w:anchor="_Toc100343762" w:history="1">
            <w:r w:rsidR="00076660" w:rsidRPr="00117D6F">
              <w:rPr>
                <w:rStyle w:val="Hyperlink"/>
                <w:noProof/>
              </w:rPr>
              <w:t>Simulation-based training and development</w:t>
            </w:r>
            <w:r w:rsidR="00076660">
              <w:rPr>
                <w:noProof/>
                <w:webHidden/>
              </w:rPr>
              <w:tab/>
            </w:r>
            <w:r w:rsidR="00076660">
              <w:rPr>
                <w:noProof/>
                <w:webHidden/>
              </w:rPr>
              <w:fldChar w:fldCharType="begin"/>
            </w:r>
            <w:r w:rsidR="00076660">
              <w:rPr>
                <w:noProof/>
                <w:webHidden/>
              </w:rPr>
              <w:instrText xml:space="preserve"> PAGEREF _Toc100343762 \h </w:instrText>
            </w:r>
            <w:r w:rsidR="00076660">
              <w:rPr>
                <w:noProof/>
                <w:webHidden/>
              </w:rPr>
            </w:r>
            <w:r w:rsidR="00076660">
              <w:rPr>
                <w:noProof/>
                <w:webHidden/>
              </w:rPr>
              <w:fldChar w:fldCharType="separate"/>
            </w:r>
            <w:r w:rsidR="00076660">
              <w:rPr>
                <w:noProof/>
                <w:webHidden/>
              </w:rPr>
              <w:t>5</w:t>
            </w:r>
            <w:r w:rsidR="00076660">
              <w:rPr>
                <w:noProof/>
                <w:webHidden/>
              </w:rPr>
              <w:fldChar w:fldCharType="end"/>
            </w:r>
          </w:hyperlink>
        </w:p>
        <w:p w14:paraId="5F3BDBDF" w14:textId="77777777" w:rsidR="00076660" w:rsidRDefault="008D6E54">
          <w:pPr>
            <w:pStyle w:val="TOC2"/>
            <w:tabs>
              <w:tab w:val="right" w:leader="dot" w:pos="9016"/>
            </w:tabs>
            <w:rPr>
              <w:noProof/>
            </w:rPr>
          </w:pPr>
          <w:hyperlink w:anchor="_Toc100343763" w:history="1">
            <w:r w:rsidR="00076660" w:rsidRPr="00117D6F">
              <w:rPr>
                <w:rStyle w:val="Hyperlink"/>
                <w:noProof/>
              </w:rPr>
              <w:t>Theory of Reinforcement</w:t>
            </w:r>
            <w:r w:rsidR="00076660">
              <w:rPr>
                <w:noProof/>
                <w:webHidden/>
              </w:rPr>
              <w:tab/>
            </w:r>
            <w:r w:rsidR="00076660">
              <w:rPr>
                <w:noProof/>
                <w:webHidden/>
              </w:rPr>
              <w:fldChar w:fldCharType="begin"/>
            </w:r>
            <w:r w:rsidR="00076660">
              <w:rPr>
                <w:noProof/>
                <w:webHidden/>
              </w:rPr>
              <w:instrText xml:space="preserve"> PAGEREF _Toc100343763 \h </w:instrText>
            </w:r>
            <w:r w:rsidR="00076660">
              <w:rPr>
                <w:noProof/>
                <w:webHidden/>
              </w:rPr>
            </w:r>
            <w:r w:rsidR="00076660">
              <w:rPr>
                <w:noProof/>
                <w:webHidden/>
              </w:rPr>
              <w:fldChar w:fldCharType="separate"/>
            </w:r>
            <w:r w:rsidR="00076660">
              <w:rPr>
                <w:noProof/>
                <w:webHidden/>
              </w:rPr>
              <w:t>6</w:t>
            </w:r>
            <w:r w:rsidR="00076660">
              <w:rPr>
                <w:noProof/>
                <w:webHidden/>
              </w:rPr>
              <w:fldChar w:fldCharType="end"/>
            </w:r>
          </w:hyperlink>
        </w:p>
        <w:p w14:paraId="166EF366" w14:textId="77777777" w:rsidR="00076660" w:rsidRDefault="008D6E54">
          <w:pPr>
            <w:pStyle w:val="TOC2"/>
            <w:tabs>
              <w:tab w:val="right" w:leader="dot" w:pos="9016"/>
            </w:tabs>
            <w:rPr>
              <w:noProof/>
            </w:rPr>
          </w:pPr>
          <w:hyperlink w:anchor="_Toc100343764" w:history="1">
            <w:r w:rsidR="00076660" w:rsidRPr="00117D6F">
              <w:rPr>
                <w:rStyle w:val="Hyperlink"/>
                <w:noProof/>
              </w:rPr>
              <w:t>Theory of collaborative learning</w:t>
            </w:r>
            <w:r w:rsidR="00076660">
              <w:rPr>
                <w:noProof/>
                <w:webHidden/>
              </w:rPr>
              <w:tab/>
            </w:r>
            <w:r w:rsidR="00076660">
              <w:rPr>
                <w:noProof/>
                <w:webHidden/>
              </w:rPr>
              <w:fldChar w:fldCharType="begin"/>
            </w:r>
            <w:r w:rsidR="00076660">
              <w:rPr>
                <w:noProof/>
                <w:webHidden/>
              </w:rPr>
              <w:instrText xml:space="preserve"> PAGEREF _Toc100343764 \h </w:instrText>
            </w:r>
            <w:r w:rsidR="00076660">
              <w:rPr>
                <w:noProof/>
                <w:webHidden/>
              </w:rPr>
            </w:r>
            <w:r w:rsidR="00076660">
              <w:rPr>
                <w:noProof/>
                <w:webHidden/>
              </w:rPr>
              <w:fldChar w:fldCharType="separate"/>
            </w:r>
            <w:r w:rsidR="00076660">
              <w:rPr>
                <w:noProof/>
                <w:webHidden/>
              </w:rPr>
              <w:t>6</w:t>
            </w:r>
            <w:r w:rsidR="00076660">
              <w:rPr>
                <w:noProof/>
                <w:webHidden/>
              </w:rPr>
              <w:fldChar w:fldCharType="end"/>
            </w:r>
          </w:hyperlink>
        </w:p>
        <w:p w14:paraId="397C4D6C" w14:textId="77777777" w:rsidR="00076660" w:rsidRDefault="008D6E54">
          <w:pPr>
            <w:pStyle w:val="TOC1"/>
            <w:tabs>
              <w:tab w:val="left" w:pos="440"/>
              <w:tab w:val="right" w:leader="dot" w:pos="9016"/>
            </w:tabs>
            <w:rPr>
              <w:noProof/>
            </w:rPr>
          </w:pPr>
          <w:hyperlink w:anchor="_Toc100343765" w:history="1">
            <w:r w:rsidR="00076660" w:rsidRPr="00117D6F">
              <w:rPr>
                <w:rStyle w:val="Hyperlink"/>
                <w:noProof/>
              </w:rPr>
              <w:t>3.</w:t>
            </w:r>
            <w:r w:rsidR="00076660">
              <w:rPr>
                <w:noProof/>
              </w:rPr>
              <w:tab/>
            </w:r>
            <w:r w:rsidR="00076660" w:rsidRPr="00117D6F">
              <w:rPr>
                <w:rStyle w:val="Hyperlink"/>
                <w:noProof/>
              </w:rPr>
              <w:t>Reflection on learning</w:t>
            </w:r>
            <w:r w:rsidR="00076660">
              <w:rPr>
                <w:noProof/>
                <w:webHidden/>
              </w:rPr>
              <w:tab/>
            </w:r>
            <w:r w:rsidR="00076660">
              <w:rPr>
                <w:noProof/>
                <w:webHidden/>
              </w:rPr>
              <w:fldChar w:fldCharType="begin"/>
            </w:r>
            <w:r w:rsidR="00076660">
              <w:rPr>
                <w:noProof/>
                <w:webHidden/>
              </w:rPr>
              <w:instrText xml:space="preserve"> PAGEREF _Toc100343765 \h </w:instrText>
            </w:r>
            <w:r w:rsidR="00076660">
              <w:rPr>
                <w:noProof/>
                <w:webHidden/>
              </w:rPr>
            </w:r>
            <w:r w:rsidR="00076660">
              <w:rPr>
                <w:noProof/>
                <w:webHidden/>
              </w:rPr>
              <w:fldChar w:fldCharType="separate"/>
            </w:r>
            <w:r w:rsidR="00076660">
              <w:rPr>
                <w:noProof/>
                <w:webHidden/>
              </w:rPr>
              <w:t>8</w:t>
            </w:r>
            <w:r w:rsidR="00076660">
              <w:rPr>
                <w:noProof/>
                <w:webHidden/>
              </w:rPr>
              <w:fldChar w:fldCharType="end"/>
            </w:r>
          </w:hyperlink>
        </w:p>
        <w:p w14:paraId="70B2F901" w14:textId="77777777" w:rsidR="00076660" w:rsidRDefault="008D6E54">
          <w:pPr>
            <w:pStyle w:val="TOC2"/>
            <w:tabs>
              <w:tab w:val="right" w:leader="dot" w:pos="9016"/>
            </w:tabs>
            <w:rPr>
              <w:noProof/>
            </w:rPr>
          </w:pPr>
          <w:hyperlink w:anchor="_Toc100343766" w:history="1">
            <w:r w:rsidR="00076660" w:rsidRPr="00117D6F">
              <w:rPr>
                <w:rStyle w:val="Hyperlink"/>
                <w:noProof/>
              </w:rPr>
              <w:t>Open book assessment</w:t>
            </w:r>
            <w:r w:rsidR="00076660">
              <w:rPr>
                <w:noProof/>
                <w:webHidden/>
              </w:rPr>
              <w:tab/>
            </w:r>
            <w:r w:rsidR="00076660">
              <w:rPr>
                <w:noProof/>
                <w:webHidden/>
              </w:rPr>
              <w:fldChar w:fldCharType="begin"/>
            </w:r>
            <w:r w:rsidR="00076660">
              <w:rPr>
                <w:noProof/>
                <w:webHidden/>
              </w:rPr>
              <w:instrText xml:space="preserve"> PAGEREF _Toc100343766 \h </w:instrText>
            </w:r>
            <w:r w:rsidR="00076660">
              <w:rPr>
                <w:noProof/>
                <w:webHidden/>
              </w:rPr>
            </w:r>
            <w:r w:rsidR="00076660">
              <w:rPr>
                <w:noProof/>
                <w:webHidden/>
              </w:rPr>
              <w:fldChar w:fldCharType="separate"/>
            </w:r>
            <w:r w:rsidR="00076660">
              <w:rPr>
                <w:noProof/>
                <w:webHidden/>
              </w:rPr>
              <w:t>8</w:t>
            </w:r>
            <w:r w:rsidR="00076660">
              <w:rPr>
                <w:noProof/>
                <w:webHidden/>
              </w:rPr>
              <w:fldChar w:fldCharType="end"/>
            </w:r>
          </w:hyperlink>
        </w:p>
        <w:p w14:paraId="1D07943A" w14:textId="77777777" w:rsidR="00076660" w:rsidRDefault="008D6E54">
          <w:pPr>
            <w:pStyle w:val="TOC2"/>
            <w:tabs>
              <w:tab w:val="right" w:leader="dot" w:pos="9016"/>
            </w:tabs>
            <w:rPr>
              <w:noProof/>
            </w:rPr>
          </w:pPr>
          <w:hyperlink w:anchor="_Toc100343767" w:history="1">
            <w:r w:rsidR="00076660" w:rsidRPr="00117D6F">
              <w:rPr>
                <w:rStyle w:val="Hyperlink"/>
                <w:noProof/>
              </w:rPr>
              <w:t>Mock Interview</w:t>
            </w:r>
            <w:r w:rsidR="00076660">
              <w:rPr>
                <w:noProof/>
                <w:webHidden/>
              </w:rPr>
              <w:tab/>
            </w:r>
            <w:r w:rsidR="00076660">
              <w:rPr>
                <w:noProof/>
                <w:webHidden/>
              </w:rPr>
              <w:fldChar w:fldCharType="begin"/>
            </w:r>
            <w:r w:rsidR="00076660">
              <w:rPr>
                <w:noProof/>
                <w:webHidden/>
              </w:rPr>
              <w:instrText xml:space="preserve"> PAGEREF _Toc100343767 \h </w:instrText>
            </w:r>
            <w:r w:rsidR="00076660">
              <w:rPr>
                <w:noProof/>
                <w:webHidden/>
              </w:rPr>
            </w:r>
            <w:r w:rsidR="00076660">
              <w:rPr>
                <w:noProof/>
                <w:webHidden/>
              </w:rPr>
              <w:fldChar w:fldCharType="separate"/>
            </w:r>
            <w:r w:rsidR="00076660">
              <w:rPr>
                <w:noProof/>
                <w:webHidden/>
              </w:rPr>
              <w:t>8</w:t>
            </w:r>
            <w:r w:rsidR="00076660">
              <w:rPr>
                <w:noProof/>
                <w:webHidden/>
              </w:rPr>
              <w:fldChar w:fldCharType="end"/>
            </w:r>
          </w:hyperlink>
        </w:p>
        <w:p w14:paraId="46CE2819" w14:textId="77777777" w:rsidR="00076660" w:rsidRDefault="008D6E54">
          <w:pPr>
            <w:pStyle w:val="TOC2"/>
            <w:tabs>
              <w:tab w:val="right" w:leader="dot" w:pos="9016"/>
            </w:tabs>
            <w:rPr>
              <w:noProof/>
            </w:rPr>
          </w:pPr>
          <w:hyperlink w:anchor="_Toc100343768" w:history="1">
            <w:r w:rsidR="00076660" w:rsidRPr="00117D6F">
              <w:rPr>
                <w:rStyle w:val="Hyperlink"/>
                <w:noProof/>
              </w:rPr>
              <w:t>UK employment legislation</w:t>
            </w:r>
            <w:r w:rsidR="00076660">
              <w:rPr>
                <w:noProof/>
                <w:webHidden/>
              </w:rPr>
              <w:tab/>
            </w:r>
            <w:r w:rsidR="00076660">
              <w:rPr>
                <w:noProof/>
                <w:webHidden/>
              </w:rPr>
              <w:fldChar w:fldCharType="begin"/>
            </w:r>
            <w:r w:rsidR="00076660">
              <w:rPr>
                <w:noProof/>
                <w:webHidden/>
              </w:rPr>
              <w:instrText xml:space="preserve"> PAGEREF _Toc100343768 \h </w:instrText>
            </w:r>
            <w:r w:rsidR="00076660">
              <w:rPr>
                <w:noProof/>
                <w:webHidden/>
              </w:rPr>
            </w:r>
            <w:r w:rsidR="00076660">
              <w:rPr>
                <w:noProof/>
                <w:webHidden/>
              </w:rPr>
              <w:fldChar w:fldCharType="separate"/>
            </w:r>
            <w:r w:rsidR="00076660">
              <w:rPr>
                <w:noProof/>
                <w:webHidden/>
              </w:rPr>
              <w:t>9</w:t>
            </w:r>
            <w:r w:rsidR="00076660">
              <w:rPr>
                <w:noProof/>
                <w:webHidden/>
              </w:rPr>
              <w:fldChar w:fldCharType="end"/>
            </w:r>
          </w:hyperlink>
        </w:p>
        <w:p w14:paraId="6DE5154E" w14:textId="77777777" w:rsidR="00076660" w:rsidRDefault="008D6E54">
          <w:pPr>
            <w:pStyle w:val="TOC2"/>
            <w:tabs>
              <w:tab w:val="right" w:leader="dot" w:pos="9016"/>
            </w:tabs>
            <w:rPr>
              <w:noProof/>
            </w:rPr>
          </w:pPr>
          <w:hyperlink w:anchor="_Toc100343769" w:history="1">
            <w:r w:rsidR="00076660" w:rsidRPr="00117D6F">
              <w:rPr>
                <w:rStyle w:val="Hyperlink"/>
                <w:noProof/>
              </w:rPr>
              <w:t>Workshop for developing employability skills</w:t>
            </w:r>
            <w:r w:rsidR="00076660">
              <w:rPr>
                <w:noProof/>
                <w:webHidden/>
              </w:rPr>
              <w:tab/>
            </w:r>
            <w:r w:rsidR="00076660">
              <w:rPr>
                <w:noProof/>
                <w:webHidden/>
              </w:rPr>
              <w:fldChar w:fldCharType="begin"/>
            </w:r>
            <w:r w:rsidR="00076660">
              <w:rPr>
                <w:noProof/>
                <w:webHidden/>
              </w:rPr>
              <w:instrText xml:space="preserve"> PAGEREF _Toc100343769 \h </w:instrText>
            </w:r>
            <w:r w:rsidR="00076660">
              <w:rPr>
                <w:noProof/>
                <w:webHidden/>
              </w:rPr>
            </w:r>
            <w:r w:rsidR="00076660">
              <w:rPr>
                <w:noProof/>
                <w:webHidden/>
              </w:rPr>
              <w:fldChar w:fldCharType="separate"/>
            </w:r>
            <w:r w:rsidR="00076660">
              <w:rPr>
                <w:noProof/>
                <w:webHidden/>
              </w:rPr>
              <w:t>10</w:t>
            </w:r>
            <w:r w:rsidR="00076660">
              <w:rPr>
                <w:noProof/>
                <w:webHidden/>
              </w:rPr>
              <w:fldChar w:fldCharType="end"/>
            </w:r>
          </w:hyperlink>
        </w:p>
        <w:p w14:paraId="086F4375" w14:textId="77777777" w:rsidR="00076660" w:rsidRDefault="008D6E54">
          <w:pPr>
            <w:pStyle w:val="TOC1"/>
            <w:tabs>
              <w:tab w:val="right" w:leader="dot" w:pos="9016"/>
            </w:tabs>
            <w:rPr>
              <w:noProof/>
            </w:rPr>
          </w:pPr>
          <w:hyperlink w:anchor="_Toc100343770" w:history="1">
            <w:r w:rsidR="00076660" w:rsidRPr="00117D6F">
              <w:rPr>
                <w:rStyle w:val="Hyperlink"/>
                <w:noProof/>
              </w:rPr>
              <w:t>References</w:t>
            </w:r>
            <w:r w:rsidR="00076660">
              <w:rPr>
                <w:noProof/>
                <w:webHidden/>
              </w:rPr>
              <w:tab/>
            </w:r>
            <w:r w:rsidR="00076660">
              <w:rPr>
                <w:noProof/>
                <w:webHidden/>
              </w:rPr>
              <w:fldChar w:fldCharType="begin"/>
            </w:r>
            <w:r w:rsidR="00076660">
              <w:rPr>
                <w:noProof/>
                <w:webHidden/>
              </w:rPr>
              <w:instrText xml:space="preserve"> PAGEREF _Toc100343770 \h </w:instrText>
            </w:r>
            <w:r w:rsidR="00076660">
              <w:rPr>
                <w:noProof/>
                <w:webHidden/>
              </w:rPr>
            </w:r>
            <w:r w:rsidR="00076660">
              <w:rPr>
                <w:noProof/>
                <w:webHidden/>
              </w:rPr>
              <w:fldChar w:fldCharType="separate"/>
            </w:r>
            <w:r w:rsidR="00076660">
              <w:rPr>
                <w:noProof/>
                <w:webHidden/>
              </w:rPr>
              <w:t>11</w:t>
            </w:r>
            <w:r w:rsidR="00076660">
              <w:rPr>
                <w:noProof/>
                <w:webHidden/>
              </w:rPr>
              <w:fldChar w:fldCharType="end"/>
            </w:r>
          </w:hyperlink>
        </w:p>
        <w:p w14:paraId="2F7B8532" w14:textId="77777777" w:rsidR="00076660" w:rsidRDefault="00076660">
          <w:r>
            <w:fldChar w:fldCharType="end"/>
          </w:r>
        </w:p>
      </w:sdtContent>
    </w:sdt>
    <w:p w14:paraId="30B190A7" w14:textId="77777777" w:rsidR="00D25187" w:rsidRPr="0071133E" w:rsidRDefault="00D25187">
      <w:pPr>
        <w:spacing w:line="276" w:lineRule="auto"/>
        <w:jc w:val="left"/>
        <w:rPr>
          <w:b/>
        </w:rPr>
      </w:pPr>
      <w:r w:rsidRPr="0071133E">
        <w:rPr>
          <w:b/>
        </w:rPr>
        <w:br w:type="page"/>
      </w:r>
    </w:p>
    <w:p w14:paraId="27072711" w14:textId="77777777" w:rsidR="00D25187" w:rsidRPr="0071133E" w:rsidRDefault="004C231B" w:rsidP="00D25187">
      <w:pPr>
        <w:pStyle w:val="Heading1"/>
        <w:numPr>
          <w:ilvl w:val="0"/>
          <w:numId w:val="5"/>
        </w:numPr>
      </w:pPr>
      <w:bookmarkStart w:id="0" w:name="_Toc100343757"/>
      <w:r w:rsidRPr="0071133E">
        <w:lastRenderedPageBreak/>
        <w:t>Self-awareness</w:t>
      </w:r>
      <w:r w:rsidR="00D25187" w:rsidRPr="0071133E">
        <w:t xml:space="preserve"> themes</w:t>
      </w:r>
      <w:bookmarkEnd w:id="0"/>
      <w:r w:rsidR="00D25187" w:rsidRPr="0071133E">
        <w:t xml:space="preserve"> </w:t>
      </w:r>
    </w:p>
    <w:p w14:paraId="58728D31" w14:textId="77777777" w:rsidR="00D25187" w:rsidRPr="0071133E" w:rsidRDefault="00D25187" w:rsidP="00D25187">
      <w:pPr>
        <w:pStyle w:val="Heading2"/>
      </w:pPr>
      <w:bookmarkStart w:id="1" w:name="_Toc100343758"/>
      <w:r w:rsidRPr="0071133E">
        <w:t>SWOT analysis</w:t>
      </w:r>
      <w:bookmarkEnd w:id="1"/>
      <w:r w:rsidRPr="0071133E">
        <w:t xml:space="preserve"> </w:t>
      </w:r>
    </w:p>
    <w:tbl>
      <w:tblPr>
        <w:tblStyle w:val="TableGrid"/>
        <w:tblW w:w="0" w:type="auto"/>
        <w:tblLook w:val="04A0" w:firstRow="1" w:lastRow="0" w:firstColumn="1" w:lastColumn="0" w:noHBand="0" w:noVBand="1"/>
      </w:tblPr>
      <w:tblGrid>
        <w:gridCol w:w="4515"/>
        <w:gridCol w:w="4501"/>
      </w:tblGrid>
      <w:tr w:rsidR="00D25187" w:rsidRPr="0071133E" w14:paraId="44559040" w14:textId="77777777" w:rsidTr="00D25187">
        <w:tc>
          <w:tcPr>
            <w:tcW w:w="4621" w:type="dxa"/>
          </w:tcPr>
          <w:p w14:paraId="3D9F7EB9" w14:textId="77777777" w:rsidR="00D25187" w:rsidRPr="0071133E" w:rsidRDefault="00D25187" w:rsidP="00D25187">
            <w:pPr>
              <w:jc w:val="center"/>
              <w:rPr>
                <w:b/>
              </w:rPr>
            </w:pPr>
            <w:r w:rsidRPr="0071133E">
              <w:rPr>
                <w:b/>
              </w:rPr>
              <w:t>Strength</w:t>
            </w:r>
          </w:p>
          <w:p w14:paraId="2ACD4498" w14:textId="77777777" w:rsidR="00D25187" w:rsidRPr="0071133E" w:rsidRDefault="00D25187" w:rsidP="00D25187">
            <w:pPr>
              <w:pStyle w:val="ListParagraph"/>
              <w:numPr>
                <w:ilvl w:val="0"/>
                <w:numId w:val="6"/>
              </w:numPr>
            </w:pPr>
            <w:r w:rsidRPr="0071133E">
              <w:t xml:space="preserve">My excellence projected through my strength is to self-motivate and motivating others during their </w:t>
            </w:r>
            <w:r w:rsidR="0071133E" w:rsidRPr="0071133E">
              <w:t>challenging</w:t>
            </w:r>
            <w:r w:rsidRPr="0071133E">
              <w:t xml:space="preserve"> times</w:t>
            </w:r>
          </w:p>
          <w:p w14:paraId="1FCD3657" w14:textId="77777777" w:rsidR="00D25187" w:rsidRPr="0071133E" w:rsidRDefault="0071133E" w:rsidP="00D25187">
            <w:pPr>
              <w:pStyle w:val="ListParagraph"/>
              <w:numPr>
                <w:ilvl w:val="0"/>
                <w:numId w:val="6"/>
              </w:numPr>
            </w:pPr>
            <w:r w:rsidRPr="0071133E">
              <w:t xml:space="preserve">I have progressed with the efficacy in harnessing verbal and oral communication in the last six months </w:t>
            </w:r>
          </w:p>
          <w:p w14:paraId="1EAA6726" w14:textId="77777777" w:rsidR="0071133E" w:rsidRPr="0071133E" w:rsidRDefault="0071133E" w:rsidP="00D25187">
            <w:pPr>
              <w:pStyle w:val="ListParagraph"/>
              <w:numPr>
                <w:ilvl w:val="0"/>
                <w:numId w:val="6"/>
              </w:numPr>
            </w:pPr>
            <w:r w:rsidRPr="0071133E">
              <w:t xml:space="preserve">I have worked with an NGO is helping underprivileged children in educating them and helping them to get training in extra-curricular activities </w:t>
            </w:r>
          </w:p>
        </w:tc>
        <w:tc>
          <w:tcPr>
            <w:tcW w:w="4621" w:type="dxa"/>
          </w:tcPr>
          <w:p w14:paraId="0A43D17C" w14:textId="77777777" w:rsidR="00D25187" w:rsidRPr="0071133E" w:rsidRDefault="00D25187" w:rsidP="00D25187">
            <w:pPr>
              <w:jc w:val="center"/>
              <w:rPr>
                <w:b/>
              </w:rPr>
            </w:pPr>
            <w:r w:rsidRPr="0071133E">
              <w:rPr>
                <w:b/>
              </w:rPr>
              <w:t>Weaknesses</w:t>
            </w:r>
          </w:p>
          <w:p w14:paraId="66C829C2" w14:textId="77777777" w:rsidR="0071133E" w:rsidRDefault="0071133E" w:rsidP="0071133E">
            <w:pPr>
              <w:pStyle w:val="ListParagraph"/>
              <w:numPr>
                <w:ilvl w:val="0"/>
                <w:numId w:val="7"/>
              </w:numPr>
            </w:pPr>
            <w:r w:rsidRPr="0071133E">
              <w:t xml:space="preserve">At times, my health does not permit me for rigorous work which </w:t>
            </w:r>
            <w:r>
              <w:t>shows my physical weakness and becomes a barrier</w:t>
            </w:r>
          </w:p>
          <w:p w14:paraId="27F6DBA8" w14:textId="77777777" w:rsidR="0071133E" w:rsidRPr="0071133E" w:rsidRDefault="0071133E" w:rsidP="0071133E">
            <w:pPr>
              <w:pStyle w:val="ListParagraph"/>
              <w:numPr>
                <w:ilvl w:val="0"/>
                <w:numId w:val="7"/>
              </w:numPr>
            </w:pPr>
            <w:r>
              <w:t xml:space="preserve">My organising skills need to be improved since i feel my resources are cluttered indicating my weakness in organisation skills </w:t>
            </w:r>
          </w:p>
        </w:tc>
      </w:tr>
      <w:tr w:rsidR="00D25187" w:rsidRPr="0071133E" w14:paraId="07208057" w14:textId="77777777" w:rsidTr="00D25187">
        <w:tc>
          <w:tcPr>
            <w:tcW w:w="4621" w:type="dxa"/>
          </w:tcPr>
          <w:p w14:paraId="218BC763" w14:textId="77777777" w:rsidR="00D25187" w:rsidRDefault="00D25187" w:rsidP="00D25187">
            <w:pPr>
              <w:jc w:val="center"/>
              <w:rPr>
                <w:b/>
              </w:rPr>
            </w:pPr>
            <w:r w:rsidRPr="0071133E">
              <w:rPr>
                <w:b/>
              </w:rPr>
              <w:t>Opportunities</w:t>
            </w:r>
          </w:p>
          <w:p w14:paraId="0A6CD62B" w14:textId="77777777" w:rsidR="0071133E" w:rsidRDefault="0071133E" w:rsidP="0071133E">
            <w:pPr>
              <w:pStyle w:val="ListParagraph"/>
              <w:numPr>
                <w:ilvl w:val="0"/>
                <w:numId w:val="8"/>
              </w:numPr>
            </w:pPr>
            <w:r w:rsidRPr="0071133E">
              <w:t xml:space="preserve">My college provides with </w:t>
            </w:r>
            <w:r>
              <w:t>me with the opportunity to gain transferable skills and technical expertise to enhance my professional career</w:t>
            </w:r>
          </w:p>
          <w:p w14:paraId="0C60E1C0" w14:textId="77777777" w:rsidR="0071133E" w:rsidRPr="0071133E" w:rsidRDefault="0071133E" w:rsidP="0071133E">
            <w:pPr>
              <w:pStyle w:val="ListParagraph"/>
              <w:numPr>
                <w:ilvl w:val="0"/>
                <w:numId w:val="8"/>
              </w:numPr>
            </w:pPr>
            <w:r>
              <w:t xml:space="preserve">Business start-up in my neighbourhood provided me an opportunity to work as a volunteer resource person </w:t>
            </w:r>
          </w:p>
        </w:tc>
        <w:tc>
          <w:tcPr>
            <w:tcW w:w="4621" w:type="dxa"/>
          </w:tcPr>
          <w:p w14:paraId="7BC14A14" w14:textId="77777777" w:rsidR="00D25187" w:rsidRDefault="00D25187" w:rsidP="00D25187">
            <w:pPr>
              <w:jc w:val="center"/>
              <w:rPr>
                <w:b/>
              </w:rPr>
            </w:pPr>
            <w:r w:rsidRPr="0071133E">
              <w:rPr>
                <w:b/>
              </w:rPr>
              <w:t>Threats</w:t>
            </w:r>
          </w:p>
          <w:p w14:paraId="4143DE79" w14:textId="77777777" w:rsidR="0071133E" w:rsidRDefault="0071133E" w:rsidP="0071133E">
            <w:pPr>
              <w:pStyle w:val="ListParagraph"/>
              <w:numPr>
                <w:ilvl w:val="0"/>
                <w:numId w:val="9"/>
              </w:numPr>
            </w:pPr>
            <w:r w:rsidRPr="0071133E">
              <w:t xml:space="preserve">The fast lifestyle with unhealthy junk food </w:t>
            </w:r>
            <w:r>
              <w:t xml:space="preserve">is a serious threat to my physical, social and cognitive wellbeing </w:t>
            </w:r>
          </w:p>
          <w:p w14:paraId="63BA8F83" w14:textId="77777777" w:rsidR="0071133E" w:rsidRPr="0071133E" w:rsidRDefault="0071133E" w:rsidP="0071133E">
            <w:pPr>
              <w:pStyle w:val="ListParagraph"/>
              <w:numPr>
                <w:ilvl w:val="0"/>
                <w:numId w:val="9"/>
              </w:numPr>
            </w:pPr>
            <w:r>
              <w:t>The recruitment of multicultural prospective candidates in the labour market is a serious threat to my professional career</w:t>
            </w:r>
          </w:p>
        </w:tc>
      </w:tr>
    </w:tbl>
    <w:p w14:paraId="04E844BA" w14:textId="77777777" w:rsidR="00D25187" w:rsidRPr="0071133E" w:rsidRDefault="00D25187" w:rsidP="00D25187"/>
    <w:p w14:paraId="5DA1531C" w14:textId="77777777" w:rsidR="00D25187" w:rsidRPr="0071133E" w:rsidRDefault="00D25187" w:rsidP="00D25187"/>
    <w:p w14:paraId="10FE3437" w14:textId="77777777" w:rsidR="00D25187" w:rsidRPr="0071133E" w:rsidRDefault="00D25187" w:rsidP="00D25187">
      <w:pPr>
        <w:pStyle w:val="Heading2"/>
      </w:pPr>
      <w:bookmarkStart w:id="2" w:name="_Toc100343759"/>
      <w:r w:rsidRPr="0071133E">
        <w:t>Personal Development Plan</w:t>
      </w:r>
      <w:bookmarkEnd w:id="2"/>
      <w:r w:rsidRPr="0071133E">
        <w:t xml:space="preserve"> </w:t>
      </w:r>
    </w:p>
    <w:tbl>
      <w:tblPr>
        <w:tblStyle w:val="TableGrid"/>
        <w:tblW w:w="0" w:type="auto"/>
        <w:tblLook w:val="04A0" w:firstRow="1" w:lastRow="0" w:firstColumn="1" w:lastColumn="0" w:noHBand="0" w:noVBand="1"/>
      </w:tblPr>
      <w:tblGrid>
        <w:gridCol w:w="3015"/>
        <w:gridCol w:w="3006"/>
        <w:gridCol w:w="2995"/>
      </w:tblGrid>
      <w:tr w:rsidR="00D25187" w:rsidRPr="0071133E" w14:paraId="5A4FB60D" w14:textId="77777777" w:rsidTr="00D25187">
        <w:tc>
          <w:tcPr>
            <w:tcW w:w="3080" w:type="dxa"/>
          </w:tcPr>
          <w:p w14:paraId="0325C9B2" w14:textId="77777777" w:rsidR="00D25187" w:rsidRPr="0071133E" w:rsidRDefault="00D25187" w:rsidP="00D25187">
            <w:pPr>
              <w:jc w:val="center"/>
              <w:rPr>
                <w:b/>
              </w:rPr>
            </w:pPr>
            <w:r w:rsidRPr="0071133E">
              <w:rPr>
                <w:b/>
              </w:rPr>
              <w:t>Academic and employability Skills</w:t>
            </w:r>
          </w:p>
        </w:tc>
        <w:tc>
          <w:tcPr>
            <w:tcW w:w="3081" w:type="dxa"/>
          </w:tcPr>
          <w:p w14:paraId="5BB76F7B" w14:textId="77777777" w:rsidR="00D25187" w:rsidRPr="0071133E" w:rsidRDefault="00D25187" w:rsidP="00D25187">
            <w:pPr>
              <w:jc w:val="center"/>
              <w:rPr>
                <w:b/>
              </w:rPr>
            </w:pPr>
            <w:r w:rsidRPr="0071133E">
              <w:rPr>
                <w:b/>
              </w:rPr>
              <w:t>Actions taken</w:t>
            </w:r>
          </w:p>
        </w:tc>
        <w:tc>
          <w:tcPr>
            <w:tcW w:w="3081" w:type="dxa"/>
          </w:tcPr>
          <w:p w14:paraId="273C95E8" w14:textId="77777777" w:rsidR="00D25187" w:rsidRPr="0071133E" w:rsidRDefault="00D25187" w:rsidP="00D25187">
            <w:pPr>
              <w:jc w:val="center"/>
              <w:rPr>
                <w:b/>
              </w:rPr>
            </w:pPr>
            <w:r w:rsidRPr="0071133E">
              <w:rPr>
                <w:b/>
              </w:rPr>
              <w:t>Future Implications</w:t>
            </w:r>
          </w:p>
        </w:tc>
      </w:tr>
      <w:tr w:rsidR="0071133E" w:rsidRPr="0071133E" w14:paraId="2AAF045C" w14:textId="77777777" w:rsidTr="00D25187">
        <w:tc>
          <w:tcPr>
            <w:tcW w:w="3080" w:type="dxa"/>
          </w:tcPr>
          <w:p w14:paraId="3F080995" w14:textId="77777777" w:rsidR="0071133E" w:rsidRPr="0071133E" w:rsidRDefault="0071133E" w:rsidP="00D25187">
            <w:pPr>
              <w:jc w:val="center"/>
              <w:rPr>
                <w:b/>
              </w:rPr>
            </w:pPr>
            <w:r>
              <w:rPr>
                <w:b/>
              </w:rPr>
              <w:t xml:space="preserve">Robust Communication Skills </w:t>
            </w:r>
          </w:p>
        </w:tc>
        <w:tc>
          <w:tcPr>
            <w:tcW w:w="3081" w:type="dxa"/>
          </w:tcPr>
          <w:p w14:paraId="32647272" w14:textId="77777777" w:rsidR="0071133E" w:rsidRPr="0071133E" w:rsidRDefault="0071133E" w:rsidP="00D25187">
            <w:pPr>
              <w:jc w:val="center"/>
            </w:pPr>
            <w:r w:rsidRPr="0071133E">
              <w:t xml:space="preserve">I have taken actions by improving the content search, keyword search and using better vocabularies in written and </w:t>
            </w:r>
            <w:proofErr w:type="spellStart"/>
            <w:r w:rsidRPr="0071133E">
              <w:t>orl</w:t>
            </w:r>
            <w:proofErr w:type="spellEnd"/>
            <w:r w:rsidRPr="0071133E">
              <w:t xml:space="preserve"> communication skills </w:t>
            </w:r>
            <w:r>
              <w:t xml:space="preserve">in the last six months </w:t>
            </w:r>
          </w:p>
        </w:tc>
        <w:tc>
          <w:tcPr>
            <w:tcW w:w="3081" w:type="dxa"/>
          </w:tcPr>
          <w:p w14:paraId="528746AC" w14:textId="77777777" w:rsidR="0071133E" w:rsidRPr="0071133E" w:rsidRDefault="00332F31" w:rsidP="00D25187">
            <w:pPr>
              <w:jc w:val="center"/>
            </w:pPr>
            <w:r>
              <w:t>This skill</w:t>
            </w:r>
            <w:r w:rsidR="0071133E" w:rsidRPr="0071133E">
              <w:t xml:space="preserve"> will be improved by October 2022 with more emphasis on the content and keywords used </w:t>
            </w:r>
          </w:p>
        </w:tc>
      </w:tr>
      <w:tr w:rsidR="0071133E" w:rsidRPr="0071133E" w14:paraId="32528162" w14:textId="77777777" w:rsidTr="00D25187">
        <w:tc>
          <w:tcPr>
            <w:tcW w:w="3080" w:type="dxa"/>
          </w:tcPr>
          <w:p w14:paraId="17470907" w14:textId="77777777" w:rsidR="0071133E" w:rsidRDefault="0071133E" w:rsidP="00D25187">
            <w:pPr>
              <w:jc w:val="center"/>
              <w:rPr>
                <w:b/>
              </w:rPr>
            </w:pPr>
            <w:r>
              <w:rPr>
                <w:b/>
              </w:rPr>
              <w:lastRenderedPageBreak/>
              <w:t xml:space="preserve">Referencing skills </w:t>
            </w:r>
          </w:p>
        </w:tc>
        <w:tc>
          <w:tcPr>
            <w:tcW w:w="3081" w:type="dxa"/>
          </w:tcPr>
          <w:p w14:paraId="1B320F96" w14:textId="77777777" w:rsidR="0071133E" w:rsidRPr="0071133E" w:rsidRDefault="0071133E" w:rsidP="0071133E">
            <w:pPr>
              <w:jc w:val="center"/>
            </w:pPr>
            <w:r>
              <w:t xml:space="preserve">I have started religiously following the pattern of Harvard style of referencing and practicing them while citing important </w:t>
            </w:r>
            <w:r w:rsidR="00332F31">
              <w:t>statistics and information in the articles, essays or reports composed by me since the last two months</w:t>
            </w:r>
          </w:p>
        </w:tc>
        <w:tc>
          <w:tcPr>
            <w:tcW w:w="3081" w:type="dxa"/>
          </w:tcPr>
          <w:p w14:paraId="6A8CB040" w14:textId="77777777" w:rsidR="0071133E" w:rsidRPr="0071133E" w:rsidRDefault="00332F31" w:rsidP="00D25187">
            <w:pPr>
              <w:jc w:val="center"/>
            </w:pPr>
            <w:r>
              <w:t>Referencing skill will be strengthened by the end of 2022 with regular practice and in-citation from Google Scholar</w:t>
            </w:r>
          </w:p>
        </w:tc>
      </w:tr>
    </w:tbl>
    <w:p w14:paraId="223A694A" w14:textId="77777777" w:rsidR="00D25187" w:rsidRPr="0071133E" w:rsidRDefault="00D25187" w:rsidP="00D25187"/>
    <w:p w14:paraId="35E609CF" w14:textId="77777777" w:rsidR="00D25187" w:rsidRPr="0071133E" w:rsidRDefault="00D25187">
      <w:pPr>
        <w:spacing w:line="276" w:lineRule="auto"/>
        <w:jc w:val="left"/>
        <w:rPr>
          <w:b/>
        </w:rPr>
      </w:pPr>
      <w:r w:rsidRPr="0071133E">
        <w:rPr>
          <w:b/>
        </w:rPr>
        <w:br w:type="page"/>
      </w:r>
    </w:p>
    <w:p w14:paraId="55132071" w14:textId="77777777" w:rsidR="00424A70" w:rsidRDefault="00D25187" w:rsidP="00424A70">
      <w:pPr>
        <w:pStyle w:val="Heading1"/>
        <w:numPr>
          <w:ilvl w:val="0"/>
          <w:numId w:val="5"/>
        </w:numPr>
      </w:pPr>
      <w:bookmarkStart w:id="3" w:name="_Toc100343760"/>
      <w:r w:rsidRPr="00332F31">
        <w:lastRenderedPageBreak/>
        <w:t>Learning and development training</w:t>
      </w:r>
      <w:bookmarkEnd w:id="3"/>
      <w:r w:rsidRPr="00332F31">
        <w:t xml:space="preserve"> </w:t>
      </w:r>
    </w:p>
    <w:p w14:paraId="59D06B83" w14:textId="77777777" w:rsidR="00424A70" w:rsidRPr="00424A70" w:rsidRDefault="00424A70" w:rsidP="00424A70">
      <w:r w:rsidRPr="00424A70">
        <w:t>Employee up skilling is the practice of spending quality time, attention, and activities deliberately in t</w:t>
      </w:r>
      <w:r>
        <w:t xml:space="preserve">he betterment of firm employees (Sung and Choi, 2018). </w:t>
      </w:r>
      <w:r w:rsidRPr="00424A70">
        <w:t xml:space="preserve"> Beyond all else, training and development of employees is about gaining knowledge: technical skill building, operational improvement, and particularly internship programs are common applications.</w:t>
      </w:r>
    </w:p>
    <w:p w14:paraId="2BB95FFA" w14:textId="77777777" w:rsidR="00332F31" w:rsidRDefault="00424A70" w:rsidP="00424A70">
      <w:pPr>
        <w:pStyle w:val="Heading2"/>
      </w:pPr>
      <w:bookmarkStart w:id="4" w:name="_Toc100343761"/>
      <w:r>
        <w:t>Internship method</w:t>
      </w:r>
      <w:bookmarkEnd w:id="4"/>
      <w:r>
        <w:t xml:space="preserve"> </w:t>
      </w:r>
    </w:p>
    <w:p w14:paraId="01A3B611" w14:textId="77777777" w:rsidR="001068CA" w:rsidRDefault="00424A70" w:rsidP="001068CA">
      <w:r w:rsidRPr="00424A70">
        <w:t>An accredited educational school negotiate a deal with a business house to provide its students with hands-on experience</w:t>
      </w:r>
      <w:r>
        <w:t xml:space="preserve"> d</w:t>
      </w:r>
      <w:r w:rsidRPr="00424A70">
        <w:t>uring th</w:t>
      </w:r>
      <w:r w:rsidR="001068CA">
        <w:t xml:space="preserve">e Internship Training programme. </w:t>
      </w:r>
      <w:r w:rsidR="001068CA" w:rsidRPr="001068CA">
        <w:t>The internship training is a few-month-long coaching programme provides learners with realistic expertise. These disciplines are conducted for programs such as architecture, medicine, and management, among others, where sophisticated theoretical expertise has to be corroborated by on-the-job exposure</w:t>
      </w:r>
      <w:r w:rsidR="002539CF">
        <w:t xml:space="preserve"> (</w:t>
      </w:r>
      <w:proofErr w:type="spellStart"/>
      <w:r w:rsidR="002539CF">
        <w:t>Karunaratne</w:t>
      </w:r>
      <w:proofErr w:type="spellEnd"/>
      <w:r w:rsidR="002539CF">
        <w:t xml:space="preserve"> and </w:t>
      </w:r>
      <w:proofErr w:type="spellStart"/>
      <w:r w:rsidR="002539CF">
        <w:t>Perera</w:t>
      </w:r>
      <w:proofErr w:type="spellEnd"/>
      <w:r w:rsidR="002539CF">
        <w:t xml:space="preserve">, 2019). </w:t>
      </w:r>
      <w:r w:rsidR="001068CA">
        <w:t xml:space="preserve"> The learners do not emerge from businesses, however from professional and vocational establishments. It is fairly common for businesses that provide instruction to incorporate them by delivering comparable positions.</w:t>
      </w:r>
    </w:p>
    <w:p w14:paraId="008C5F27" w14:textId="77777777" w:rsidR="001068CA" w:rsidRDefault="001068CA" w:rsidP="001068CA">
      <w:r>
        <w:t xml:space="preserve"> Internships provide learners with the ability to apply what they are experi</w:t>
      </w:r>
      <w:r w:rsidR="002539CF">
        <w:t xml:space="preserve">encing in a practical situation (Gillespie, Zhang and </w:t>
      </w:r>
      <w:proofErr w:type="spellStart"/>
      <w:r w:rsidR="002539CF">
        <w:t>Wolfgram</w:t>
      </w:r>
      <w:proofErr w:type="spellEnd"/>
      <w:r w:rsidR="002539CF">
        <w:t xml:space="preserve">, 2020). </w:t>
      </w:r>
      <w:r>
        <w:t xml:space="preserve"> This assists learners in deeper understanding the ideas and practises they have been studying about, consolidating the educational process and improve attention. Internships provide valuable networking possibilities for individuals. In a workplace manner, they may encounter co-workers and teammates, participate in conferences, and grow to cultivate friendships</w:t>
      </w:r>
      <w:r w:rsidR="002539CF">
        <w:t xml:space="preserve"> (Franco, Silva and Rodrigues, 2019). </w:t>
      </w:r>
      <w:r>
        <w:t>If students stand out throughout their internship, they can develop everlasting contacts who can support them discover jobs, attain clientele, or even provide referrals.</w:t>
      </w:r>
    </w:p>
    <w:p w14:paraId="242B1EC2" w14:textId="77777777" w:rsidR="00424A70" w:rsidRDefault="00424A70" w:rsidP="001068CA">
      <w:pPr>
        <w:pStyle w:val="Heading2"/>
      </w:pPr>
      <w:bookmarkStart w:id="5" w:name="_Toc100343762"/>
      <w:r>
        <w:t>Simulation-based training and development</w:t>
      </w:r>
      <w:bookmarkEnd w:id="5"/>
      <w:r>
        <w:t xml:space="preserve"> </w:t>
      </w:r>
    </w:p>
    <w:p w14:paraId="2547B14F" w14:textId="77777777" w:rsidR="001068CA" w:rsidRPr="002539CF" w:rsidRDefault="001068CA" w:rsidP="00424A70">
      <w:r>
        <w:t xml:space="preserve">Multiple </w:t>
      </w:r>
      <w:r w:rsidR="002539CF">
        <w:t>researches</w:t>
      </w:r>
      <w:r>
        <w:t xml:space="preserve"> has demonstrated that simulation training </w:t>
      </w:r>
      <w:r w:rsidR="003D4733">
        <w:t>generates</w:t>
      </w:r>
      <w:r>
        <w:t xml:space="preserve"> the </w:t>
      </w:r>
      <w:r w:rsidR="003D4733">
        <w:t>finest</w:t>
      </w:r>
      <w:r>
        <w:t xml:space="preserve"> instructional objectives </w:t>
      </w:r>
      <w:r w:rsidR="003D4733">
        <w:t>since</w:t>
      </w:r>
      <w:r>
        <w:t xml:space="preserve"> it gives a meaningful, </w:t>
      </w:r>
      <w:r w:rsidR="003D4733">
        <w:t>appealing</w:t>
      </w:r>
      <w:r>
        <w:t xml:space="preserve"> exposure in the perspective of the l</w:t>
      </w:r>
      <w:r w:rsidR="002539CF">
        <w:t xml:space="preserve">earner's professional position (Campos </w:t>
      </w:r>
      <w:r w:rsidR="002539CF" w:rsidRPr="002539CF">
        <w:rPr>
          <w:i/>
        </w:rPr>
        <w:t>et al.,</w:t>
      </w:r>
      <w:r w:rsidR="002539CF">
        <w:t xml:space="preserve"> 2020). </w:t>
      </w:r>
      <w:r>
        <w:t xml:space="preserve"> Considering technological developments, e-learning tools, and learning process awareness as to how people engage, simulation-based programming is on the increase. Corporations </w:t>
      </w:r>
      <w:r w:rsidR="003D4733">
        <w:t>possibly will</w:t>
      </w:r>
      <w:r>
        <w:t xml:space="preserve"> </w:t>
      </w:r>
      <w:r w:rsidR="003D4733">
        <w:t>accumulate</w:t>
      </w:r>
      <w:r>
        <w:t xml:space="preserve"> finances by </w:t>
      </w:r>
      <w:r w:rsidR="003D4733">
        <w:t>meeting</w:t>
      </w:r>
      <w:r>
        <w:t xml:space="preserve"> large gatherings of apprentices and </w:t>
      </w:r>
      <w:r w:rsidR="003D4733">
        <w:t>eradicate</w:t>
      </w:r>
      <w:r>
        <w:t xml:space="preserve"> the </w:t>
      </w:r>
      <w:r w:rsidR="003D4733">
        <w:t>vulnerability</w:t>
      </w:r>
      <w:r>
        <w:t xml:space="preserve"> </w:t>
      </w:r>
      <w:r w:rsidR="003D4733">
        <w:t>connected</w:t>
      </w:r>
      <w:r>
        <w:t xml:space="preserve"> with on-the-job </w:t>
      </w:r>
      <w:r w:rsidR="003D4733">
        <w:t>proficiency</w:t>
      </w:r>
      <w:r>
        <w:t xml:space="preserve"> </w:t>
      </w:r>
      <w:r w:rsidR="003D4733">
        <w:t>growth</w:t>
      </w:r>
      <w:r>
        <w:t xml:space="preserve"> for </w:t>
      </w:r>
      <w:r w:rsidR="003D4733">
        <w:t>intricate</w:t>
      </w:r>
      <w:r>
        <w:t xml:space="preserve"> </w:t>
      </w:r>
      <w:r w:rsidR="003D4733">
        <w:t>actions</w:t>
      </w:r>
      <w:r>
        <w:t>, all whilst gaining higher understanding and i</w:t>
      </w:r>
      <w:r w:rsidR="002539CF">
        <w:t xml:space="preserve">nsight </w:t>
      </w:r>
      <w:r w:rsidR="003D4733">
        <w:t>hooked on</w:t>
      </w:r>
      <w:r w:rsidR="002539CF">
        <w:t xml:space="preserve"> </w:t>
      </w:r>
      <w:r w:rsidR="003D4733">
        <w:t>feat</w:t>
      </w:r>
      <w:r w:rsidR="002539CF">
        <w:t xml:space="preserve"> record (Emerson and Berge, 2018). </w:t>
      </w:r>
      <w:r>
        <w:t xml:space="preserve"> A simulation-based instructional atmosphere </w:t>
      </w:r>
      <w:r w:rsidR="003D4733">
        <w:t>provides</w:t>
      </w:r>
      <w:r>
        <w:t xml:space="preserve"> </w:t>
      </w:r>
      <w:r w:rsidR="003D4733">
        <w:t>protected</w:t>
      </w:r>
      <w:r>
        <w:t xml:space="preserve"> </w:t>
      </w:r>
      <w:r w:rsidR="003D4733">
        <w:t>surroundings</w:t>
      </w:r>
      <w:r>
        <w:t xml:space="preserve"> for companies to </w:t>
      </w:r>
      <w:r w:rsidR="003D4733">
        <w:t>support</w:t>
      </w:r>
      <w:r>
        <w:t xml:space="preserve"> their </w:t>
      </w:r>
      <w:r w:rsidR="003D4733">
        <w:t>human resources</w:t>
      </w:r>
      <w:r>
        <w:t xml:space="preserve"> in </w:t>
      </w:r>
      <w:r w:rsidR="003D4733">
        <w:t>attaining</w:t>
      </w:r>
      <w:r>
        <w:t xml:space="preserve"> the </w:t>
      </w:r>
      <w:r w:rsidR="003D4733">
        <w:t>essential</w:t>
      </w:r>
      <w:r>
        <w:t xml:space="preserve"> competencies. Simulation-based instruction is a </w:t>
      </w:r>
      <w:r>
        <w:lastRenderedPageBreak/>
        <w:t xml:space="preserve">very </w:t>
      </w:r>
      <w:r w:rsidR="003D4733">
        <w:t>flourishing</w:t>
      </w:r>
      <w:r>
        <w:t xml:space="preserve"> and cost-effective method of </w:t>
      </w:r>
      <w:r w:rsidR="003D4733">
        <w:t>communicating</w:t>
      </w:r>
      <w:r>
        <w:t xml:space="preserve"> </w:t>
      </w:r>
      <w:r w:rsidR="003D4733">
        <w:t>fundamental</w:t>
      </w:r>
      <w:r>
        <w:t xml:space="preserve"> competencies to </w:t>
      </w:r>
      <w:r w:rsidR="003D4733">
        <w:t>learners</w:t>
      </w:r>
      <w:r>
        <w:t>.</w:t>
      </w:r>
    </w:p>
    <w:p w14:paraId="4A69F110" w14:textId="77777777" w:rsidR="00424A70" w:rsidRDefault="00424A70" w:rsidP="00424A70">
      <w:pPr>
        <w:pStyle w:val="Heading2"/>
      </w:pPr>
      <w:bookmarkStart w:id="6" w:name="_Toc100343763"/>
      <w:r>
        <w:t>Theory of Reinforcement</w:t>
      </w:r>
      <w:bookmarkEnd w:id="6"/>
      <w:r>
        <w:t xml:space="preserve"> </w:t>
      </w:r>
    </w:p>
    <w:p w14:paraId="5D51CE56" w14:textId="77777777" w:rsidR="002539CF" w:rsidRDefault="002539CF" w:rsidP="002539CF">
      <w:r w:rsidRPr="002539CF">
        <w:t>This reinforcement theory focuses on an individual's learning activity and proposes that the trainee will replicate that conduct if it is associated with a pleasan</w:t>
      </w:r>
      <w:r w:rsidR="004C156D">
        <w:t xml:space="preserve">t consequence or accomplishment (Shuck, Peyton-Roberts and </w:t>
      </w:r>
      <w:proofErr w:type="spellStart"/>
      <w:r w:rsidR="004C156D">
        <w:t>Zigarmi</w:t>
      </w:r>
      <w:proofErr w:type="spellEnd"/>
      <w:r w:rsidR="004C156D">
        <w:t xml:space="preserve">, 2018). </w:t>
      </w:r>
      <w:r w:rsidRPr="002539CF">
        <w:t xml:space="preserve"> Skinner, a behaviourist philosopher, formulated the notion of reinforcement and recommended that training programmes should be linked with organisational purposes and that a successful achievement should be anticipate</w:t>
      </w:r>
      <w:r w:rsidR="004C156D">
        <w:t>d with such training programmes (</w:t>
      </w:r>
      <w:proofErr w:type="spellStart"/>
      <w:r w:rsidR="004C156D">
        <w:t>Susanto</w:t>
      </w:r>
      <w:proofErr w:type="spellEnd"/>
      <w:r w:rsidR="004C156D">
        <w:t xml:space="preserve"> </w:t>
      </w:r>
      <w:r w:rsidR="004C156D" w:rsidRPr="004C156D">
        <w:rPr>
          <w:i/>
        </w:rPr>
        <w:t>et al.,</w:t>
      </w:r>
      <w:r w:rsidR="004C156D">
        <w:t xml:space="preserve"> 2021). </w:t>
      </w:r>
      <w:r w:rsidRPr="002539CF">
        <w:t xml:space="preserve"> Furthermore extending on the notion proposed by positive and negative reinforcement, it can be stated that there are numerous strategies accessible in human resource management that may be related with training programmes, therefore fulfilling the needed proposal by this theory.</w:t>
      </w:r>
    </w:p>
    <w:p w14:paraId="2665A165" w14:textId="77777777" w:rsidR="002539CF" w:rsidRPr="002539CF" w:rsidRDefault="002539CF" w:rsidP="002539CF">
      <w:r w:rsidRPr="002539CF">
        <w:t xml:space="preserve">Multiple varieties of incentives, like as awards, pay raises, recognition, and certificate granting following the training programme, can be related with training programmes and these incentives will undoubtedly provide a favourable consequence. Through praising </w:t>
      </w:r>
      <w:r w:rsidR="004C156D" w:rsidRPr="002539CF">
        <w:t>behaviour</w:t>
      </w:r>
      <w:r w:rsidRPr="002539CF">
        <w:t>, constructive feedback seeks to boost its recurrence. For instance, if an employee discovers a market opportunity that generates income, the compan</w:t>
      </w:r>
      <w:r w:rsidR="004C156D">
        <w:t>y may reward her with a premium (</w:t>
      </w:r>
      <w:proofErr w:type="spellStart"/>
      <w:r w:rsidR="004C156D">
        <w:t>Somoye</w:t>
      </w:r>
      <w:proofErr w:type="spellEnd"/>
      <w:r w:rsidR="004C156D">
        <w:t xml:space="preserve"> and </w:t>
      </w:r>
      <w:proofErr w:type="spellStart"/>
      <w:r w:rsidR="004C156D">
        <w:t>Eyupoglu</w:t>
      </w:r>
      <w:proofErr w:type="spellEnd"/>
      <w:r w:rsidR="004C156D">
        <w:t xml:space="preserve">, 2020). </w:t>
      </w:r>
      <w:r w:rsidRPr="002539CF">
        <w:t xml:space="preserve"> This will encourage the desirable behaviour in a favourable way. Negative reinforcement, in </w:t>
      </w:r>
      <w:r w:rsidR="004C156D" w:rsidRPr="002539CF">
        <w:t>contrast</w:t>
      </w:r>
      <w:r w:rsidRPr="002539CF">
        <w:t>, aims at increasing the probability of a behavioural response by eliminating anything that the individual dislikes. For instance, a professional exhibits a high drive to succeed and completes a couple tasks ahead of schedule.</w:t>
      </w:r>
      <w:r>
        <w:t xml:space="preserve"> However, there may be errors </w:t>
      </w:r>
      <w:r w:rsidR="004C156D">
        <w:t xml:space="preserve">committed and the employee may have to work again on the task correcting them. </w:t>
      </w:r>
    </w:p>
    <w:p w14:paraId="23ED659A" w14:textId="77777777" w:rsidR="00424A70" w:rsidRDefault="00424A70" w:rsidP="00424A70">
      <w:pPr>
        <w:pStyle w:val="Heading2"/>
      </w:pPr>
      <w:bookmarkStart w:id="7" w:name="_Toc100343764"/>
      <w:r>
        <w:t xml:space="preserve">Theory of </w:t>
      </w:r>
      <w:r w:rsidR="002539CF">
        <w:t xml:space="preserve">collaborative </w:t>
      </w:r>
      <w:r>
        <w:t>learning</w:t>
      </w:r>
      <w:bookmarkEnd w:id="7"/>
      <w:r>
        <w:t xml:space="preserve"> </w:t>
      </w:r>
    </w:p>
    <w:p w14:paraId="655F8A7A" w14:textId="77777777" w:rsidR="004C156D" w:rsidRPr="004C156D" w:rsidRDefault="004C156D" w:rsidP="004C156D">
      <w:r w:rsidRPr="004C156D">
        <w:t>Collaborative Learning Theory is rooted in the presumption of Group Learning, which is a process of learning in which personnel and teaching assi</w:t>
      </w:r>
      <w:r>
        <w:t>stants benefit from one another (</w:t>
      </w:r>
      <w:proofErr w:type="spellStart"/>
      <w:r>
        <w:t>Supena</w:t>
      </w:r>
      <w:proofErr w:type="spellEnd"/>
      <w:r>
        <w:t xml:space="preserve">, </w:t>
      </w:r>
      <w:proofErr w:type="spellStart"/>
      <w:r>
        <w:t>Darmuki</w:t>
      </w:r>
      <w:proofErr w:type="spellEnd"/>
      <w:r>
        <w:t xml:space="preserve"> and </w:t>
      </w:r>
      <w:proofErr w:type="spellStart"/>
      <w:r>
        <w:t>Hariyadi</w:t>
      </w:r>
      <w:proofErr w:type="spellEnd"/>
      <w:r>
        <w:t xml:space="preserve">, 2021). </w:t>
      </w:r>
      <w:r w:rsidRPr="004C156D">
        <w:t xml:space="preserve">  Throughout issue-focused instruction, learners concentrate on solving a challenging problem. Because of the social commitment of this side-by-side interaction, individuals might take believe in learning, views, and knowledge from their colleagues. The approach is related to the basic notions of Collaborative Learning Theory, which are knowledge as an interactive tool to gain knowledge in contextual. Peer learning entails individuals instructing each other particular subject through creating online classes, delivering </w:t>
      </w:r>
      <w:r>
        <w:t>resources, and seeking feedback (</w:t>
      </w:r>
      <w:proofErr w:type="spellStart"/>
      <w:r>
        <w:t>Warsah</w:t>
      </w:r>
      <w:proofErr w:type="spellEnd"/>
      <w:r>
        <w:t xml:space="preserve"> </w:t>
      </w:r>
      <w:r w:rsidRPr="004C156D">
        <w:rPr>
          <w:i/>
        </w:rPr>
        <w:t>et al.,</w:t>
      </w:r>
      <w:r>
        <w:t xml:space="preserve"> 2021). </w:t>
      </w:r>
      <w:r w:rsidRPr="004C156D">
        <w:t xml:space="preserve"> Employees may democratise learning and development through peer instruction in the workplace, which creates an excellent atmosphere for peer learning.</w:t>
      </w:r>
    </w:p>
    <w:p w14:paraId="1D5059BE" w14:textId="77777777" w:rsidR="00D25187" w:rsidRPr="0071133E" w:rsidRDefault="00D25187">
      <w:pPr>
        <w:spacing w:line="276" w:lineRule="auto"/>
        <w:jc w:val="left"/>
        <w:rPr>
          <w:b/>
        </w:rPr>
      </w:pPr>
      <w:r w:rsidRPr="0071133E">
        <w:rPr>
          <w:b/>
        </w:rPr>
        <w:lastRenderedPageBreak/>
        <w:br w:type="page"/>
      </w:r>
    </w:p>
    <w:p w14:paraId="2E8F8552" w14:textId="77777777" w:rsidR="00D25187" w:rsidRDefault="00D25187" w:rsidP="004C156D">
      <w:pPr>
        <w:pStyle w:val="Heading1"/>
        <w:numPr>
          <w:ilvl w:val="0"/>
          <w:numId w:val="5"/>
        </w:numPr>
      </w:pPr>
      <w:bookmarkStart w:id="8" w:name="_Toc100343765"/>
      <w:r w:rsidRPr="0071133E">
        <w:lastRenderedPageBreak/>
        <w:t>Reflection on learning</w:t>
      </w:r>
      <w:bookmarkEnd w:id="8"/>
      <w:r w:rsidRPr="0071133E">
        <w:t xml:space="preserve"> </w:t>
      </w:r>
    </w:p>
    <w:p w14:paraId="52FA7693" w14:textId="77777777" w:rsidR="00582C3A" w:rsidRPr="0006421D" w:rsidRDefault="0006421D" w:rsidP="0006421D">
      <w:r>
        <w:t xml:space="preserve">Learning style catalogue was proposed by David Kolb through </w:t>
      </w:r>
      <w:r w:rsidR="00582C3A">
        <w:t>his experiential learning style theories. The four stages of learning styles entails concrete experimentation, reflective observance, conceptualising with abstract and actively experimenting with the experiences encountered during the learning process. The portfolio of learning is presented in the segment below:</w:t>
      </w:r>
    </w:p>
    <w:p w14:paraId="6DA3D2CC" w14:textId="77777777" w:rsidR="004C156D" w:rsidRDefault="004C156D" w:rsidP="0006421D">
      <w:pPr>
        <w:pStyle w:val="Heading2"/>
      </w:pPr>
      <w:bookmarkStart w:id="9" w:name="_Toc100343766"/>
      <w:r>
        <w:t>Open book assessment</w:t>
      </w:r>
      <w:bookmarkEnd w:id="9"/>
    </w:p>
    <w:p w14:paraId="40DABD71" w14:textId="77777777" w:rsidR="004F6BF4" w:rsidRDefault="00582C3A" w:rsidP="00582C3A">
      <w:r>
        <w:t>The reflection on open book assessment during the academic journey is essential to comprehend the experience where a student gains concrete experimentation with the new situation</w:t>
      </w:r>
      <w:r w:rsidR="004F6BF4">
        <w:t xml:space="preserve"> (</w:t>
      </w:r>
      <w:proofErr w:type="spellStart"/>
      <w:r w:rsidR="004F6BF4">
        <w:t>Eurboonyanun</w:t>
      </w:r>
      <w:proofErr w:type="spellEnd"/>
      <w:r w:rsidR="004F6BF4">
        <w:t xml:space="preserve"> </w:t>
      </w:r>
      <w:r w:rsidR="004F6BF4" w:rsidRPr="004F6BF4">
        <w:rPr>
          <w:i/>
        </w:rPr>
        <w:t>et al.,</w:t>
      </w:r>
      <w:r w:rsidR="004F6BF4">
        <w:t xml:space="preserve"> 2021). </w:t>
      </w:r>
      <w:r>
        <w:t xml:space="preserve"> </w:t>
      </w:r>
      <w:r w:rsidRPr="00582C3A">
        <w:t>While in an open-book evaluation, a learner may use their materials. Curriculum, notecards, published essays, journal entries, or any other acceptable resource might be used as supplies. The benefit of open-book examinations is that they involve reduced memorisation and more idea comprehension, which stimulates student engagement and aids a graduate's general knowledge of the content</w:t>
      </w:r>
      <w:r>
        <w:t xml:space="preserve">. The stage of reflective observation appears next. </w:t>
      </w:r>
      <w:r w:rsidRPr="00582C3A">
        <w:t>For openers, the inquiries are frequently open-ended, so students duty is to apply their capabilities and experi</w:t>
      </w:r>
      <w:r w:rsidR="004F6BF4">
        <w:t xml:space="preserve">ence to the immediate situation (Pape-Lindstrom, Eddy and Freeman, 2018). </w:t>
      </w:r>
      <w:r w:rsidRPr="00582C3A">
        <w:t xml:space="preserve"> A candidate must also understand how their themes are structured in attempt to conveniently refer them throughout the evaluation, which necessitates some planning.</w:t>
      </w:r>
      <w:r>
        <w:t xml:space="preserve"> </w:t>
      </w:r>
    </w:p>
    <w:p w14:paraId="22A27018" w14:textId="77777777" w:rsidR="00582C3A" w:rsidRPr="00582C3A" w:rsidRDefault="00582C3A" w:rsidP="00582C3A">
      <w:r>
        <w:t xml:space="preserve">In the stage of abstract </w:t>
      </w:r>
      <w:r w:rsidR="004F6BF4">
        <w:t>conceptualising the open book assessment</w:t>
      </w:r>
      <w:r w:rsidR="004F6BF4" w:rsidRPr="004F6BF4">
        <w:t xml:space="preserve"> consists of determining when the evaluation will take place and which subjects will be addressed. Besides these apparent considerations, one should have a peaceful environment where they understand they will be complete</w:t>
      </w:r>
      <w:r w:rsidR="004F6BF4">
        <w:t>ly focused on their examination (</w:t>
      </w:r>
      <w:proofErr w:type="spellStart"/>
      <w:r w:rsidR="004F6BF4">
        <w:t>Karunarathne</w:t>
      </w:r>
      <w:proofErr w:type="spellEnd"/>
      <w:r w:rsidR="004F6BF4">
        <w:t xml:space="preserve"> and </w:t>
      </w:r>
      <w:proofErr w:type="spellStart"/>
      <w:r w:rsidR="004F6BF4">
        <w:t>Wijewardene</w:t>
      </w:r>
      <w:proofErr w:type="spellEnd"/>
      <w:r w:rsidR="004F6BF4">
        <w:t xml:space="preserve">, 2021). </w:t>
      </w:r>
      <w:r w:rsidR="004F6BF4" w:rsidRPr="004F6BF4">
        <w:t xml:space="preserve"> These are little details, but nevertheless help students comprehend the background and psychologically adapt. Students should understand how to discover stuff quickly. To achieve the same, one must first choose the materials they will utilise, how they should be structured, and the right approach to browse amongst them. This would save them a lot of time. Students must be capable to spontaneously summarise major course material or sections in their course during the active experimenting stage, without the need of notebooks. They must be familiar with basic information, notions, and terminology.</w:t>
      </w:r>
    </w:p>
    <w:p w14:paraId="4CB30C9A" w14:textId="77777777" w:rsidR="004C156D" w:rsidRDefault="004C156D" w:rsidP="0006421D">
      <w:pPr>
        <w:pStyle w:val="Heading2"/>
      </w:pPr>
      <w:bookmarkStart w:id="10" w:name="_Toc100343767"/>
      <w:r>
        <w:t>Mock Interview</w:t>
      </w:r>
      <w:bookmarkEnd w:id="10"/>
    </w:p>
    <w:p w14:paraId="0BF75F84" w14:textId="77777777" w:rsidR="004F6BF4" w:rsidRDefault="004F6BF4" w:rsidP="004F6BF4">
      <w:r>
        <w:t>In the stage of concrete experience, mock interview proves to be a boon for the fresh candidates opting for professional careers</w:t>
      </w:r>
      <w:r w:rsidR="006A4CFB">
        <w:t xml:space="preserve"> (</w:t>
      </w:r>
      <w:proofErr w:type="spellStart"/>
      <w:r w:rsidR="006A4CFB">
        <w:t>Jauhari</w:t>
      </w:r>
      <w:proofErr w:type="spellEnd"/>
      <w:r w:rsidR="006A4CFB">
        <w:t xml:space="preserve"> </w:t>
      </w:r>
      <w:r w:rsidR="006A4CFB" w:rsidRPr="006A4CFB">
        <w:rPr>
          <w:i/>
        </w:rPr>
        <w:t>et al.,</w:t>
      </w:r>
      <w:r w:rsidR="006A4CFB">
        <w:t xml:space="preserve"> 2022). </w:t>
      </w:r>
      <w:r>
        <w:t xml:space="preserve"> Mock interviews are practise situations in which professors provide learners with the aptitude to undergo a job opportunity </w:t>
      </w:r>
      <w:r>
        <w:lastRenderedPageBreak/>
        <w:t>in a comfortable, productive, and acquainted environment while they commence their professional journey.</w:t>
      </w:r>
    </w:p>
    <w:p w14:paraId="2C181030" w14:textId="77777777" w:rsidR="004F6BF4" w:rsidRPr="004F6BF4" w:rsidRDefault="004F6BF4" w:rsidP="004F6BF4">
      <w:r>
        <w:t xml:space="preserve">Mock interviews are lauded among the most successful methods in a job preparedness programme due to their realistic </w:t>
      </w:r>
      <w:r w:rsidR="006A4CFB">
        <w:t xml:space="preserve">influence on students' careers. </w:t>
      </w:r>
      <w:r>
        <w:t xml:space="preserve">The </w:t>
      </w:r>
      <w:r w:rsidR="00B5082E">
        <w:t>reflective observation for the fresh candidates are that l</w:t>
      </w:r>
      <w:r>
        <w:t>earners who participate in a mock interview can discover how to appear, talk, and resp</w:t>
      </w:r>
      <w:r w:rsidR="006A4CFB">
        <w:t>ond to commonly asked inquiries (</w:t>
      </w:r>
      <w:proofErr w:type="spellStart"/>
      <w:r w:rsidR="006A4CFB">
        <w:t>Rockey-Harris</w:t>
      </w:r>
      <w:proofErr w:type="spellEnd"/>
      <w:r w:rsidR="006A4CFB">
        <w:t xml:space="preserve">, 2021). </w:t>
      </w:r>
      <w:r w:rsidR="002E67D3" w:rsidRPr="002E67D3">
        <w:t xml:space="preserve"> The mock interview helps students to improve as a prospective employee before they have an actual work appointment. This also offers the chance to make comments on their speaking abilities. For instance, as a prospective Computer job applicant, learners will engage in a lot of time and attention to seek employment, construct a portfolio, and prepare a CV. However, it is critical that learners devote the opportune time practising their interviewing abilities.</w:t>
      </w:r>
      <w:r w:rsidR="002E67D3">
        <w:t xml:space="preserve"> </w:t>
      </w:r>
      <w:r w:rsidR="002E67D3" w:rsidRPr="002E67D3">
        <w:t>In the framework of abstract conceptualisation, the method of mock interview practise (beginning as quickly as feasible) is a terrific chance for learners to attain conviction.</w:t>
      </w:r>
      <w:r w:rsidR="006A4CFB">
        <w:t xml:space="preserve"> As mentioned by Smith and Woodson (2021), </w:t>
      </w:r>
      <w:r w:rsidR="002E67D3" w:rsidRPr="002E67D3">
        <w:t xml:space="preserve"> Mock interviews are designed specifically for people who are uncertain regarding their foreign language communication ability, IT professional competence, or are terrified by the (often) challenging behavioural inquiries.</w:t>
      </w:r>
    </w:p>
    <w:p w14:paraId="3231D4FC" w14:textId="77777777" w:rsidR="004C156D" w:rsidRDefault="004C156D" w:rsidP="0006421D">
      <w:pPr>
        <w:pStyle w:val="Heading2"/>
      </w:pPr>
      <w:bookmarkStart w:id="11" w:name="_Toc100343768"/>
      <w:r>
        <w:t>UK employment legislation</w:t>
      </w:r>
      <w:bookmarkEnd w:id="11"/>
      <w:r>
        <w:t xml:space="preserve"> </w:t>
      </w:r>
    </w:p>
    <w:p w14:paraId="3CC48F54" w14:textId="77777777" w:rsidR="002E67D3" w:rsidRDefault="005729E7" w:rsidP="002E67D3">
      <w:r w:rsidRPr="005729E7">
        <w:t xml:space="preserve">Numerous noticeable differences to the United Kingdom's workplace regulations have demonstrated effectiveness in 2021. Since conformance should be a continual activity for all businesses, there are crucial legislative developments that UK firms need to take into account as they strive to manoeuvre and implement their business objectives for the next year. The National Minimum and Living Wage rises will shortly impact around 3 million personnel in the United Kingdom. </w:t>
      </w:r>
      <w:r w:rsidR="00BC24F3">
        <w:t xml:space="preserve">As informed by Merrett (2021), </w:t>
      </w:r>
      <w:r w:rsidR="00BC24F3" w:rsidRPr="005729E7">
        <w:t>the</w:t>
      </w:r>
      <w:r w:rsidRPr="005729E7">
        <w:t xml:space="preserve"> age requirement for the basic wage will be decreased, allowing 23 and 24 year adults to gain from a 2.3 percent boost, rising from £8.76 to £8.92 hourly.</w:t>
      </w:r>
    </w:p>
    <w:p w14:paraId="5BBB63CE" w14:textId="77777777" w:rsidR="005729E7" w:rsidRPr="002E67D3" w:rsidRDefault="00BC24F3" w:rsidP="002E67D3">
      <w:r w:rsidRPr="00BC24F3">
        <w:t>EEA (European Economic Area) residents will follow the new entry points-based procedure, which promotes knowledge and ability above origin. Organisations may keep hiring EU residents beyond the points-based mechanism until June 30, 2021, if individuals already currently residing or operating in the UK on December 31, 2</w:t>
      </w:r>
      <w:r>
        <w:t xml:space="preserve">020 (Rolf, O’Reilly and </w:t>
      </w:r>
      <w:proofErr w:type="spellStart"/>
      <w:r>
        <w:t>Meryon</w:t>
      </w:r>
      <w:proofErr w:type="spellEnd"/>
      <w:r>
        <w:t xml:space="preserve">, 2022). </w:t>
      </w:r>
      <w:r w:rsidRPr="00BC24F3">
        <w:t xml:space="preserve"> They should indeed, nevertheless, gain established or pre-settled permission in attempt to operate in the UK from July 1, 2021; alternatively they will be regarded unlawful employees. The Public Interest Disclosure (Protection) Bill </w:t>
      </w:r>
      <w:r w:rsidR="000A43BC" w:rsidRPr="00BC24F3">
        <w:t>recommend</w:t>
      </w:r>
      <w:r w:rsidR="000A43BC">
        <w:t>s</w:t>
      </w:r>
      <w:r w:rsidRPr="00BC24F3">
        <w:t xml:space="preserve"> </w:t>
      </w:r>
      <w:r w:rsidR="000A43BC">
        <w:t>instituting</w:t>
      </w:r>
      <w:r w:rsidRPr="00BC24F3">
        <w:t xml:space="preserve"> an autonomous </w:t>
      </w:r>
      <w:r w:rsidR="000A43BC" w:rsidRPr="00BC24F3">
        <w:t>power</w:t>
      </w:r>
      <w:r w:rsidRPr="00BC24F3">
        <w:t xml:space="preserve"> to </w:t>
      </w:r>
      <w:r w:rsidR="000A43BC" w:rsidRPr="00BC24F3">
        <w:t>implement</w:t>
      </w:r>
      <w:r w:rsidRPr="00BC24F3">
        <w:t xml:space="preserve"> </w:t>
      </w:r>
      <w:r w:rsidR="000A43BC" w:rsidRPr="00BC24F3">
        <w:t>detailed</w:t>
      </w:r>
      <w:r w:rsidRPr="00BC24F3">
        <w:t xml:space="preserve"> </w:t>
      </w:r>
      <w:r w:rsidR="000A43BC" w:rsidRPr="00BC24F3">
        <w:t>needs</w:t>
      </w:r>
      <w:r w:rsidRPr="00BC24F3">
        <w:t xml:space="preserve"> when interacting with </w:t>
      </w:r>
      <w:r w:rsidR="003D4733" w:rsidRPr="00BC24F3">
        <w:t>individuals</w:t>
      </w:r>
      <w:r w:rsidRPr="00BC24F3">
        <w:t xml:space="preserve"> who </w:t>
      </w:r>
      <w:r w:rsidR="003D4733" w:rsidRPr="00BC24F3">
        <w:t>approach</w:t>
      </w:r>
      <w:r w:rsidRPr="00BC24F3">
        <w:t xml:space="preserve"> committed to </w:t>
      </w:r>
      <w:r>
        <w:t xml:space="preserve">advancing express public issues (Khan, </w:t>
      </w:r>
      <w:proofErr w:type="spellStart"/>
      <w:r>
        <w:t>Asif</w:t>
      </w:r>
      <w:proofErr w:type="spellEnd"/>
      <w:r>
        <w:t xml:space="preserve"> and </w:t>
      </w:r>
      <w:proofErr w:type="spellStart"/>
      <w:r>
        <w:t>Jaffery</w:t>
      </w:r>
      <w:proofErr w:type="spellEnd"/>
      <w:r>
        <w:t xml:space="preserve">, 2021). </w:t>
      </w:r>
      <w:r w:rsidRPr="00BC24F3">
        <w:t xml:space="preserve"> </w:t>
      </w:r>
      <w:r w:rsidRPr="00BC24F3">
        <w:lastRenderedPageBreak/>
        <w:t>Furthermore, it imposes stiffer prosecution on those who hurt informants or underperform to protect them.</w:t>
      </w:r>
    </w:p>
    <w:p w14:paraId="3EF0AAF4" w14:textId="77777777" w:rsidR="004C156D" w:rsidRDefault="004C156D" w:rsidP="0006421D">
      <w:pPr>
        <w:pStyle w:val="Heading2"/>
      </w:pPr>
      <w:bookmarkStart w:id="12" w:name="_Toc100343769"/>
      <w:r>
        <w:t xml:space="preserve">Workshop for </w:t>
      </w:r>
      <w:r w:rsidR="0006421D">
        <w:t>developing employability skills</w:t>
      </w:r>
      <w:bookmarkEnd w:id="12"/>
      <w:r w:rsidR="0006421D">
        <w:t xml:space="preserve"> </w:t>
      </w:r>
      <w:r>
        <w:t xml:space="preserve"> </w:t>
      </w:r>
    </w:p>
    <w:p w14:paraId="31DB39AB" w14:textId="77777777" w:rsidR="00BC24F3" w:rsidRDefault="006A4CFB" w:rsidP="00BC24F3">
      <w:r w:rsidRPr="006A4CFB">
        <w:t>Employability abilities are sought after by all organisations in people they wish to hire since they facilitate the business's</w:t>
      </w:r>
      <w:r>
        <w:t xml:space="preserve"> productivity and profitability (Brooks, Postil and Thomas, 2022). </w:t>
      </w:r>
      <w:r w:rsidRPr="006A4CFB">
        <w:t xml:space="preserve"> These abilities are crucial for all businesses to instil in their staff in attempt for all organisational tasks to run smoothly throughout all industries. Furthermore, British young have begun to realise that without these marketable abilities, it is impossible to obtain employment from prospective employers in the manner that they anticipate. As a result, it is critical for students to go a step further and strengthen their occupational skills in addition to their academia.</w:t>
      </w:r>
      <w:r>
        <w:t xml:space="preserve"> </w:t>
      </w:r>
      <w:r w:rsidRPr="006A4CFB">
        <w:t>Employability skills are the fundamental abilities required for seeking work and succeeding in it. Work experience abilities are specialised talents required for work. These are the effective elements and characteristics necessary to compl</w:t>
      </w:r>
      <w:r>
        <w:t>ete activities in the workplace (</w:t>
      </w:r>
      <w:proofErr w:type="spellStart"/>
      <w:r>
        <w:t>Mahfoodh</w:t>
      </w:r>
      <w:proofErr w:type="spellEnd"/>
      <w:r>
        <w:t xml:space="preserve"> and Hashim, 2021). </w:t>
      </w:r>
      <w:r w:rsidRPr="006A4CFB">
        <w:t xml:space="preserve"> Companies are looking for these talents nowadays. The requirements for employable skills vary from nation to nation, industry to industry, and throughout period.</w:t>
      </w:r>
    </w:p>
    <w:p w14:paraId="42402598" w14:textId="77777777" w:rsidR="00076660" w:rsidRDefault="00076660">
      <w:pPr>
        <w:spacing w:line="276" w:lineRule="auto"/>
        <w:jc w:val="left"/>
      </w:pPr>
      <w:r>
        <w:br w:type="page"/>
      </w:r>
    </w:p>
    <w:p w14:paraId="31EF1535" w14:textId="77777777" w:rsidR="00076660" w:rsidRDefault="00076660" w:rsidP="00076660">
      <w:pPr>
        <w:pStyle w:val="Heading1"/>
      </w:pPr>
      <w:bookmarkStart w:id="13" w:name="_Toc100343770"/>
      <w:r>
        <w:lastRenderedPageBreak/>
        <w:t>References</w:t>
      </w:r>
      <w:bookmarkEnd w:id="13"/>
      <w:r>
        <w:t xml:space="preserve"> </w:t>
      </w:r>
    </w:p>
    <w:p w14:paraId="3C0D55B1"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Brooks, R., Postil, S.J. and Thomas, J., (2022). An integrated approach to employability and global professionalism. </w:t>
      </w:r>
      <w:r w:rsidRPr="00451598">
        <w:rPr>
          <w:rFonts w:cs="Arial"/>
          <w:i/>
          <w:iCs/>
          <w:color w:val="222222"/>
          <w:shd w:val="clear" w:color="auto" w:fill="FFFFFF"/>
        </w:rPr>
        <w:t>3 Es for Wicked Problems: Employability, Enterprise, and Entrepreneurship: Solving Wicked Problems</w:t>
      </w:r>
      <w:r w:rsidRPr="00451598">
        <w:rPr>
          <w:rFonts w:cs="Arial"/>
          <w:color w:val="222222"/>
          <w:shd w:val="clear" w:color="auto" w:fill="FFFFFF"/>
        </w:rPr>
        <w:t>, p.72.</w:t>
      </w:r>
    </w:p>
    <w:p w14:paraId="669D2D0F"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 xml:space="preserve">Campos, N., </w:t>
      </w:r>
      <w:proofErr w:type="spellStart"/>
      <w:r w:rsidRPr="00451598">
        <w:rPr>
          <w:rFonts w:cs="Arial"/>
          <w:color w:val="222222"/>
          <w:shd w:val="clear" w:color="auto" w:fill="FFFFFF"/>
        </w:rPr>
        <w:t>Nogal</w:t>
      </w:r>
      <w:proofErr w:type="spellEnd"/>
      <w:r w:rsidRPr="00451598">
        <w:rPr>
          <w:rFonts w:cs="Arial"/>
          <w:color w:val="222222"/>
          <w:shd w:val="clear" w:color="auto" w:fill="FFFFFF"/>
        </w:rPr>
        <w:t xml:space="preserve">, M., </w:t>
      </w:r>
      <w:proofErr w:type="spellStart"/>
      <w:r w:rsidRPr="00451598">
        <w:rPr>
          <w:rFonts w:cs="Arial"/>
          <w:color w:val="222222"/>
          <w:shd w:val="clear" w:color="auto" w:fill="FFFFFF"/>
        </w:rPr>
        <w:t>Caliz</w:t>
      </w:r>
      <w:proofErr w:type="spellEnd"/>
      <w:r w:rsidRPr="00451598">
        <w:rPr>
          <w:rFonts w:cs="Arial"/>
          <w:color w:val="222222"/>
          <w:shd w:val="clear" w:color="auto" w:fill="FFFFFF"/>
        </w:rPr>
        <w:t>, C. and Juan, A.A., (2020). Simulation-based education involving online and on-campus models in different European universities. </w:t>
      </w:r>
      <w:r w:rsidRPr="00451598">
        <w:rPr>
          <w:rFonts w:cs="Arial"/>
          <w:i/>
          <w:iCs/>
          <w:color w:val="222222"/>
          <w:shd w:val="clear" w:color="auto" w:fill="FFFFFF"/>
        </w:rPr>
        <w:t>International journal of educational technology in higher education</w:t>
      </w:r>
      <w:r w:rsidRPr="00451598">
        <w:rPr>
          <w:rFonts w:cs="Arial"/>
          <w:color w:val="222222"/>
          <w:shd w:val="clear" w:color="auto" w:fill="FFFFFF"/>
        </w:rPr>
        <w:t>, </w:t>
      </w:r>
      <w:r w:rsidRPr="00451598">
        <w:rPr>
          <w:rFonts w:cs="Arial"/>
          <w:i/>
          <w:iCs/>
          <w:color w:val="222222"/>
          <w:shd w:val="clear" w:color="auto" w:fill="FFFFFF"/>
        </w:rPr>
        <w:t>17</w:t>
      </w:r>
      <w:r w:rsidRPr="00451598">
        <w:rPr>
          <w:rFonts w:cs="Arial"/>
          <w:color w:val="222222"/>
          <w:shd w:val="clear" w:color="auto" w:fill="FFFFFF"/>
        </w:rPr>
        <w:t>(1), pp.1-15.</w:t>
      </w:r>
    </w:p>
    <w:p w14:paraId="36D67669"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 xml:space="preserve">Emerson, L.C. and Berge, Z.L., (2018). </w:t>
      </w:r>
      <w:proofErr w:type="spellStart"/>
      <w:r w:rsidRPr="00451598">
        <w:rPr>
          <w:rFonts w:cs="Arial"/>
          <w:color w:val="222222"/>
          <w:shd w:val="clear" w:color="auto" w:fill="FFFFFF"/>
        </w:rPr>
        <w:t>Microlearning</w:t>
      </w:r>
      <w:proofErr w:type="spellEnd"/>
      <w:r w:rsidRPr="00451598">
        <w:rPr>
          <w:rFonts w:cs="Arial"/>
          <w:color w:val="222222"/>
          <w:shd w:val="clear" w:color="auto" w:fill="FFFFFF"/>
        </w:rPr>
        <w:t>: Knowledge management applications and competency-based training in the workplace. </w:t>
      </w:r>
      <w:r w:rsidRPr="00451598">
        <w:rPr>
          <w:rFonts w:cs="Arial"/>
          <w:i/>
          <w:iCs/>
          <w:color w:val="222222"/>
          <w:shd w:val="clear" w:color="auto" w:fill="FFFFFF"/>
        </w:rPr>
        <w:t>UMBC Faculty Collection</w:t>
      </w:r>
      <w:r w:rsidRPr="00451598">
        <w:rPr>
          <w:rFonts w:cs="Arial"/>
          <w:color w:val="222222"/>
          <w:shd w:val="clear" w:color="auto" w:fill="FFFFFF"/>
        </w:rPr>
        <w:t>.</w:t>
      </w:r>
    </w:p>
    <w:p w14:paraId="5C896B71"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Eurboonyanun</w:t>
      </w:r>
      <w:proofErr w:type="spellEnd"/>
      <w:r w:rsidRPr="00451598">
        <w:rPr>
          <w:rFonts w:cs="Arial"/>
          <w:color w:val="222222"/>
          <w:shd w:val="clear" w:color="auto" w:fill="FFFFFF"/>
        </w:rPr>
        <w:t xml:space="preserve">, C., </w:t>
      </w:r>
      <w:proofErr w:type="spellStart"/>
      <w:r w:rsidRPr="00451598">
        <w:rPr>
          <w:rFonts w:cs="Arial"/>
          <w:color w:val="222222"/>
          <w:shd w:val="clear" w:color="auto" w:fill="FFFFFF"/>
        </w:rPr>
        <w:t>Wittayapairoch</w:t>
      </w:r>
      <w:proofErr w:type="spellEnd"/>
      <w:r w:rsidRPr="00451598">
        <w:rPr>
          <w:rFonts w:cs="Arial"/>
          <w:color w:val="222222"/>
          <w:shd w:val="clear" w:color="auto" w:fill="FFFFFF"/>
        </w:rPr>
        <w:t xml:space="preserve">, J., </w:t>
      </w:r>
      <w:proofErr w:type="spellStart"/>
      <w:r w:rsidRPr="00451598">
        <w:rPr>
          <w:rFonts w:cs="Arial"/>
          <w:color w:val="222222"/>
          <w:shd w:val="clear" w:color="auto" w:fill="FFFFFF"/>
        </w:rPr>
        <w:t>Aphinives</w:t>
      </w:r>
      <w:proofErr w:type="spellEnd"/>
      <w:r w:rsidRPr="00451598">
        <w:rPr>
          <w:rFonts w:cs="Arial"/>
          <w:color w:val="222222"/>
          <w:shd w:val="clear" w:color="auto" w:fill="FFFFFF"/>
        </w:rPr>
        <w:t xml:space="preserve">, P., </w:t>
      </w:r>
      <w:proofErr w:type="spellStart"/>
      <w:r w:rsidRPr="00451598">
        <w:rPr>
          <w:rFonts w:cs="Arial"/>
          <w:color w:val="222222"/>
          <w:shd w:val="clear" w:color="auto" w:fill="FFFFFF"/>
        </w:rPr>
        <w:t>Petrusa</w:t>
      </w:r>
      <w:proofErr w:type="spellEnd"/>
      <w:r w:rsidRPr="00451598">
        <w:rPr>
          <w:rFonts w:cs="Arial"/>
          <w:color w:val="222222"/>
          <w:shd w:val="clear" w:color="auto" w:fill="FFFFFF"/>
        </w:rPr>
        <w:t xml:space="preserve">, E., Gee, D.W. and </w:t>
      </w:r>
      <w:proofErr w:type="spellStart"/>
      <w:r w:rsidRPr="00451598">
        <w:rPr>
          <w:rFonts w:cs="Arial"/>
          <w:color w:val="222222"/>
          <w:shd w:val="clear" w:color="auto" w:fill="FFFFFF"/>
        </w:rPr>
        <w:t>Phitayakorn</w:t>
      </w:r>
      <w:proofErr w:type="spellEnd"/>
      <w:r w:rsidRPr="00451598">
        <w:rPr>
          <w:rFonts w:cs="Arial"/>
          <w:color w:val="222222"/>
          <w:shd w:val="clear" w:color="auto" w:fill="FFFFFF"/>
        </w:rPr>
        <w:t>, R., (2021). Adaptation to open-book online examination during the COVID-19 pandemic. </w:t>
      </w:r>
      <w:r w:rsidRPr="00451598">
        <w:rPr>
          <w:rFonts w:cs="Arial"/>
          <w:i/>
          <w:iCs/>
          <w:color w:val="222222"/>
          <w:shd w:val="clear" w:color="auto" w:fill="FFFFFF"/>
        </w:rPr>
        <w:t>Journal of Surgical Education</w:t>
      </w:r>
      <w:r w:rsidRPr="00451598">
        <w:rPr>
          <w:rFonts w:cs="Arial"/>
          <w:color w:val="222222"/>
          <w:shd w:val="clear" w:color="auto" w:fill="FFFFFF"/>
        </w:rPr>
        <w:t>, </w:t>
      </w:r>
      <w:r w:rsidRPr="00451598">
        <w:rPr>
          <w:rFonts w:cs="Arial"/>
          <w:i/>
          <w:iCs/>
          <w:color w:val="222222"/>
          <w:shd w:val="clear" w:color="auto" w:fill="FFFFFF"/>
        </w:rPr>
        <w:t>78</w:t>
      </w:r>
      <w:r w:rsidRPr="00451598">
        <w:rPr>
          <w:rFonts w:cs="Arial"/>
          <w:color w:val="222222"/>
          <w:shd w:val="clear" w:color="auto" w:fill="FFFFFF"/>
        </w:rPr>
        <w:t>(3), pp.737-739.</w:t>
      </w:r>
    </w:p>
    <w:p w14:paraId="1EEBAAF7"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Franco, M., Silva, R. and Rodrigues, M., (2019). Partnerships between higher education institutions and firms: The role of students’ curricular internships. </w:t>
      </w:r>
      <w:r w:rsidRPr="00451598">
        <w:rPr>
          <w:rFonts w:cs="Arial"/>
          <w:i/>
          <w:iCs/>
          <w:color w:val="222222"/>
          <w:shd w:val="clear" w:color="auto" w:fill="FFFFFF"/>
        </w:rPr>
        <w:t>Industry and higher education</w:t>
      </w:r>
      <w:r w:rsidRPr="00451598">
        <w:rPr>
          <w:rFonts w:cs="Arial"/>
          <w:color w:val="222222"/>
          <w:shd w:val="clear" w:color="auto" w:fill="FFFFFF"/>
        </w:rPr>
        <w:t>, </w:t>
      </w:r>
      <w:r w:rsidRPr="00451598">
        <w:rPr>
          <w:rFonts w:cs="Arial"/>
          <w:i/>
          <w:iCs/>
          <w:color w:val="222222"/>
          <w:shd w:val="clear" w:color="auto" w:fill="FFFFFF"/>
        </w:rPr>
        <w:t>33</w:t>
      </w:r>
      <w:r w:rsidRPr="00451598">
        <w:rPr>
          <w:rFonts w:cs="Arial"/>
          <w:color w:val="222222"/>
          <w:shd w:val="clear" w:color="auto" w:fill="FFFFFF"/>
        </w:rPr>
        <w:t>(3), pp.172-185.</w:t>
      </w:r>
    </w:p>
    <w:p w14:paraId="520A8232"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 xml:space="preserve">Gillespie, I., Zhang, J. and </w:t>
      </w:r>
      <w:proofErr w:type="spellStart"/>
      <w:r w:rsidRPr="00451598">
        <w:rPr>
          <w:rFonts w:cs="Arial"/>
          <w:color w:val="222222"/>
          <w:shd w:val="clear" w:color="auto" w:fill="FFFFFF"/>
        </w:rPr>
        <w:t>Wolfgram</w:t>
      </w:r>
      <w:proofErr w:type="spellEnd"/>
      <w:r w:rsidRPr="00451598">
        <w:rPr>
          <w:rFonts w:cs="Arial"/>
          <w:color w:val="222222"/>
          <w:shd w:val="clear" w:color="auto" w:fill="FFFFFF"/>
        </w:rPr>
        <w:t>, M., (2020). Psychosocial Factors and Outcomes of College Internships: An Integrative Review. </w:t>
      </w:r>
      <w:proofErr w:type="spellStart"/>
      <w:r w:rsidRPr="00451598">
        <w:rPr>
          <w:rFonts w:cs="Arial"/>
          <w:i/>
          <w:iCs/>
          <w:color w:val="222222"/>
          <w:shd w:val="clear" w:color="auto" w:fill="FFFFFF"/>
        </w:rPr>
        <w:t>Center</w:t>
      </w:r>
      <w:proofErr w:type="spellEnd"/>
      <w:r w:rsidRPr="00451598">
        <w:rPr>
          <w:rFonts w:cs="Arial"/>
          <w:i/>
          <w:iCs/>
          <w:color w:val="222222"/>
          <w:shd w:val="clear" w:color="auto" w:fill="FFFFFF"/>
        </w:rPr>
        <w:t xml:space="preserve"> for Research on College-Workforce Transitions, University of Wisconsin-Madison (Literature Review No. 3). http://ccwt. </w:t>
      </w:r>
      <w:proofErr w:type="spellStart"/>
      <w:r w:rsidRPr="00451598">
        <w:rPr>
          <w:rFonts w:cs="Arial"/>
          <w:i/>
          <w:iCs/>
          <w:color w:val="222222"/>
          <w:shd w:val="clear" w:color="auto" w:fill="FFFFFF"/>
        </w:rPr>
        <w:t>wceruw</w:t>
      </w:r>
      <w:proofErr w:type="spellEnd"/>
      <w:r w:rsidRPr="00451598">
        <w:rPr>
          <w:rFonts w:cs="Arial"/>
          <w:i/>
          <w:iCs/>
          <w:color w:val="222222"/>
          <w:shd w:val="clear" w:color="auto" w:fill="FFFFFF"/>
        </w:rPr>
        <w:t>. org/documents/CCWT_report_LR% 20Psychosocial</w:t>
      </w:r>
      <w:r w:rsidRPr="00451598">
        <w:rPr>
          <w:rFonts w:cs="Arial"/>
          <w:color w:val="222222"/>
          <w:shd w:val="clear" w:color="auto" w:fill="FFFFFF"/>
        </w:rPr>
        <w:t>, </w:t>
      </w:r>
      <w:r w:rsidRPr="00451598">
        <w:rPr>
          <w:rFonts w:cs="Arial"/>
          <w:i/>
          <w:iCs/>
          <w:color w:val="222222"/>
          <w:shd w:val="clear" w:color="auto" w:fill="FFFFFF"/>
        </w:rPr>
        <w:t>20</w:t>
      </w:r>
      <w:r w:rsidRPr="00451598">
        <w:rPr>
          <w:rFonts w:cs="Arial"/>
          <w:color w:val="222222"/>
          <w:shd w:val="clear" w:color="auto" w:fill="FFFFFF"/>
        </w:rPr>
        <w:t>.</w:t>
      </w:r>
    </w:p>
    <w:p w14:paraId="7831A867"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Jauhari</w:t>
      </w:r>
      <w:proofErr w:type="spellEnd"/>
      <w:r w:rsidRPr="00451598">
        <w:rPr>
          <w:rFonts w:cs="Arial"/>
          <w:color w:val="222222"/>
          <w:shd w:val="clear" w:color="auto" w:fill="FFFFFF"/>
        </w:rPr>
        <w:t xml:space="preserve">, S., Aggarwal, C., </w:t>
      </w:r>
      <w:proofErr w:type="spellStart"/>
      <w:r w:rsidRPr="00451598">
        <w:rPr>
          <w:rFonts w:cs="Arial"/>
          <w:color w:val="222222"/>
          <w:shd w:val="clear" w:color="auto" w:fill="FFFFFF"/>
        </w:rPr>
        <w:t>Gautam</w:t>
      </w:r>
      <w:proofErr w:type="spellEnd"/>
      <w:r w:rsidRPr="00451598">
        <w:rPr>
          <w:rFonts w:cs="Arial"/>
          <w:color w:val="222222"/>
          <w:shd w:val="clear" w:color="auto" w:fill="FFFFFF"/>
        </w:rPr>
        <w:t xml:space="preserve">, A. and </w:t>
      </w:r>
      <w:proofErr w:type="spellStart"/>
      <w:r w:rsidRPr="00451598">
        <w:rPr>
          <w:rFonts w:cs="Arial"/>
          <w:color w:val="222222"/>
          <w:shd w:val="clear" w:color="auto" w:fill="FFFFFF"/>
        </w:rPr>
        <w:t>Awal</w:t>
      </w:r>
      <w:proofErr w:type="spellEnd"/>
      <w:r w:rsidRPr="00451598">
        <w:rPr>
          <w:rFonts w:cs="Arial"/>
          <w:color w:val="222222"/>
          <w:shd w:val="clear" w:color="auto" w:fill="FFFFFF"/>
        </w:rPr>
        <w:t>, D., (2022). </w:t>
      </w:r>
      <w:r w:rsidRPr="00451598">
        <w:rPr>
          <w:rFonts w:cs="Arial"/>
          <w:i/>
          <w:iCs/>
          <w:color w:val="222222"/>
          <w:shd w:val="clear" w:color="auto" w:fill="FFFFFF"/>
        </w:rPr>
        <w:t>Virtual Mock Interview Assistant (Video Bot-based)</w:t>
      </w:r>
      <w:r w:rsidRPr="00451598">
        <w:rPr>
          <w:rFonts w:cs="Arial"/>
          <w:color w:val="222222"/>
          <w:shd w:val="clear" w:color="auto" w:fill="FFFFFF"/>
        </w:rPr>
        <w:t> (No. 7290). EasyChair.</w:t>
      </w:r>
    </w:p>
    <w:p w14:paraId="24167B5E"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Karunarathne</w:t>
      </w:r>
      <w:proofErr w:type="spellEnd"/>
      <w:r w:rsidRPr="00451598">
        <w:rPr>
          <w:rFonts w:cs="Arial"/>
          <w:color w:val="222222"/>
          <w:shd w:val="clear" w:color="auto" w:fill="FFFFFF"/>
        </w:rPr>
        <w:t xml:space="preserve">, G.D.D.T. and </w:t>
      </w:r>
      <w:proofErr w:type="spellStart"/>
      <w:r w:rsidRPr="00451598">
        <w:rPr>
          <w:rFonts w:cs="Arial"/>
          <w:color w:val="222222"/>
          <w:shd w:val="clear" w:color="auto" w:fill="FFFFFF"/>
        </w:rPr>
        <w:t>Wijewardene</w:t>
      </w:r>
      <w:proofErr w:type="spellEnd"/>
      <w:r w:rsidRPr="00451598">
        <w:rPr>
          <w:rFonts w:cs="Arial"/>
          <w:color w:val="222222"/>
          <w:shd w:val="clear" w:color="auto" w:fill="FFFFFF"/>
        </w:rPr>
        <w:t>, L., (2021). Online Assessments: Their Importance in Higher Education. </w:t>
      </w:r>
      <w:r w:rsidRPr="00451598">
        <w:rPr>
          <w:rFonts w:cs="Arial"/>
          <w:i/>
          <w:iCs/>
          <w:color w:val="222222"/>
          <w:shd w:val="clear" w:color="auto" w:fill="FFFFFF"/>
        </w:rPr>
        <w:t>Advances in Social Sciences Research Journal</w:t>
      </w:r>
      <w:r w:rsidRPr="00451598">
        <w:rPr>
          <w:rFonts w:cs="Arial"/>
          <w:color w:val="222222"/>
          <w:shd w:val="clear" w:color="auto" w:fill="FFFFFF"/>
        </w:rPr>
        <w:t>, </w:t>
      </w:r>
      <w:r w:rsidRPr="00451598">
        <w:rPr>
          <w:rFonts w:cs="Arial"/>
          <w:i/>
          <w:iCs/>
          <w:color w:val="222222"/>
          <w:shd w:val="clear" w:color="auto" w:fill="FFFFFF"/>
        </w:rPr>
        <w:t>8</w:t>
      </w:r>
      <w:r w:rsidRPr="00451598">
        <w:rPr>
          <w:rFonts w:cs="Arial"/>
          <w:color w:val="222222"/>
          <w:shd w:val="clear" w:color="auto" w:fill="FFFFFF"/>
        </w:rPr>
        <w:t>(12).</w:t>
      </w:r>
    </w:p>
    <w:p w14:paraId="0D879A0C"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Karunaratne</w:t>
      </w:r>
      <w:proofErr w:type="spellEnd"/>
      <w:r w:rsidRPr="00451598">
        <w:rPr>
          <w:rFonts w:cs="Arial"/>
          <w:color w:val="222222"/>
          <w:shd w:val="clear" w:color="auto" w:fill="FFFFFF"/>
        </w:rPr>
        <w:t xml:space="preserve">, K. and </w:t>
      </w:r>
      <w:proofErr w:type="spellStart"/>
      <w:r w:rsidRPr="00451598">
        <w:rPr>
          <w:rFonts w:cs="Arial"/>
          <w:color w:val="222222"/>
          <w:shd w:val="clear" w:color="auto" w:fill="FFFFFF"/>
        </w:rPr>
        <w:t>Perera</w:t>
      </w:r>
      <w:proofErr w:type="spellEnd"/>
      <w:r w:rsidRPr="00451598">
        <w:rPr>
          <w:rFonts w:cs="Arial"/>
          <w:color w:val="222222"/>
          <w:shd w:val="clear" w:color="auto" w:fill="FFFFFF"/>
        </w:rPr>
        <w:t>, N., (2019). Students’ perception on the effectiveness of industrial internship programme. </w:t>
      </w:r>
      <w:r w:rsidRPr="00451598">
        <w:rPr>
          <w:rFonts w:cs="Arial"/>
          <w:i/>
          <w:iCs/>
          <w:color w:val="222222"/>
          <w:shd w:val="clear" w:color="auto" w:fill="FFFFFF"/>
        </w:rPr>
        <w:t>Education Quarterly Reviews</w:t>
      </w:r>
      <w:r w:rsidRPr="00451598">
        <w:rPr>
          <w:rFonts w:cs="Arial"/>
          <w:color w:val="222222"/>
          <w:shd w:val="clear" w:color="auto" w:fill="FFFFFF"/>
        </w:rPr>
        <w:t>, </w:t>
      </w:r>
      <w:r w:rsidRPr="00451598">
        <w:rPr>
          <w:rFonts w:cs="Arial"/>
          <w:i/>
          <w:iCs/>
          <w:color w:val="222222"/>
          <w:shd w:val="clear" w:color="auto" w:fill="FFFFFF"/>
        </w:rPr>
        <w:t>2</w:t>
      </w:r>
      <w:r w:rsidRPr="00451598">
        <w:rPr>
          <w:rFonts w:cs="Arial"/>
          <w:color w:val="222222"/>
          <w:shd w:val="clear" w:color="auto" w:fill="FFFFFF"/>
        </w:rPr>
        <w:t>(4).</w:t>
      </w:r>
    </w:p>
    <w:p w14:paraId="262D6A1F"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 xml:space="preserve">Khan, S., Asif, A. and </w:t>
      </w:r>
      <w:proofErr w:type="spellStart"/>
      <w:r w:rsidRPr="00451598">
        <w:rPr>
          <w:rFonts w:cs="Arial"/>
          <w:color w:val="222222"/>
          <w:shd w:val="clear" w:color="auto" w:fill="FFFFFF"/>
        </w:rPr>
        <w:t>Jaffery</w:t>
      </w:r>
      <w:proofErr w:type="spellEnd"/>
      <w:r w:rsidRPr="00451598">
        <w:rPr>
          <w:rFonts w:cs="Arial"/>
          <w:color w:val="222222"/>
          <w:shd w:val="clear" w:color="auto" w:fill="FFFFFF"/>
        </w:rPr>
        <w:t>, A.E., (2021). Language in a time of COVID-19: literacy Bias ethnic minorities face during COVID-19 from online information in the UK. </w:t>
      </w:r>
      <w:r w:rsidRPr="00451598">
        <w:rPr>
          <w:rFonts w:cs="Arial"/>
          <w:i/>
          <w:iCs/>
          <w:color w:val="222222"/>
          <w:shd w:val="clear" w:color="auto" w:fill="FFFFFF"/>
        </w:rPr>
        <w:t>Journal of Racial and Ethnic Health Disparities</w:t>
      </w:r>
      <w:r w:rsidRPr="00451598">
        <w:rPr>
          <w:rFonts w:cs="Arial"/>
          <w:color w:val="222222"/>
          <w:shd w:val="clear" w:color="auto" w:fill="FFFFFF"/>
        </w:rPr>
        <w:t>, </w:t>
      </w:r>
      <w:r w:rsidRPr="00451598">
        <w:rPr>
          <w:rFonts w:cs="Arial"/>
          <w:i/>
          <w:iCs/>
          <w:color w:val="222222"/>
          <w:shd w:val="clear" w:color="auto" w:fill="FFFFFF"/>
        </w:rPr>
        <w:t>8</w:t>
      </w:r>
      <w:r w:rsidRPr="00451598">
        <w:rPr>
          <w:rFonts w:cs="Arial"/>
          <w:color w:val="222222"/>
          <w:shd w:val="clear" w:color="auto" w:fill="FFFFFF"/>
        </w:rPr>
        <w:t>(5), pp.1242-1248.</w:t>
      </w:r>
    </w:p>
    <w:p w14:paraId="374CDDBC" w14:textId="77777777" w:rsidR="00076660" w:rsidRPr="00451598" w:rsidRDefault="00076660" w:rsidP="00076660">
      <w:pPr>
        <w:rPr>
          <w:rFonts w:ascii="Times New Roman" w:hAnsi="Times New Roman" w:cs="Times New Roman"/>
          <w:color w:val="222222"/>
          <w:shd w:val="clear" w:color="auto" w:fill="FFFFFF"/>
        </w:rPr>
      </w:pPr>
      <w:proofErr w:type="spellStart"/>
      <w:r w:rsidRPr="00451598">
        <w:rPr>
          <w:rFonts w:cs="Arial"/>
          <w:color w:val="222222"/>
          <w:shd w:val="clear" w:color="auto" w:fill="FFFFFF"/>
        </w:rPr>
        <w:t>Mahfoodh</w:t>
      </w:r>
      <w:proofErr w:type="spellEnd"/>
      <w:r w:rsidRPr="00451598">
        <w:rPr>
          <w:rFonts w:cs="Arial"/>
          <w:color w:val="222222"/>
          <w:shd w:val="clear" w:color="auto" w:fill="FFFFFF"/>
        </w:rPr>
        <w:t>, H. and Hashim, S., (2021). Integrating Employability Skills in EFL Speaking and Writing Curricula through Digital Platforms. </w:t>
      </w:r>
      <w:r w:rsidRPr="00451598">
        <w:rPr>
          <w:rFonts w:cs="Arial"/>
          <w:i/>
          <w:iCs/>
          <w:color w:val="222222"/>
          <w:shd w:val="clear" w:color="auto" w:fill="FFFFFF"/>
        </w:rPr>
        <w:t>TESOL International Journal</w:t>
      </w:r>
      <w:r w:rsidRPr="00451598">
        <w:rPr>
          <w:rFonts w:cs="Arial"/>
          <w:color w:val="222222"/>
          <w:shd w:val="clear" w:color="auto" w:fill="FFFFFF"/>
        </w:rPr>
        <w:t>, pp.66-87.</w:t>
      </w:r>
    </w:p>
    <w:p w14:paraId="1AE35129"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lastRenderedPageBreak/>
        <w:t>Merrett, L., (2021). International Employment Cases Post-Brexit: Choice of Law, Territorial Scope, Jurisdiction and Enforcement. </w:t>
      </w:r>
      <w:r w:rsidRPr="00451598">
        <w:rPr>
          <w:rFonts w:cs="Arial"/>
          <w:i/>
          <w:iCs/>
          <w:color w:val="222222"/>
          <w:shd w:val="clear" w:color="auto" w:fill="FFFFFF"/>
        </w:rPr>
        <w:t>Industrial Law Journal</w:t>
      </w:r>
      <w:r w:rsidRPr="00451598">
        <w:rPr>
          <w:rFonts w:cs="Arial"/>
          <w:color w:val="222222"/>
          <w:shd w:val="clear" w:color="auto" w:fill="FFFFFF"/>
        </w:rPr>
        <w:t>, </w:t>
      </w:r>
      <w:r w:rsidRPr="00451598">
        <w:rPr>
          <w:rFonts w:cs="Arial"/>
          <w:i/>
          <w:iCs/>
          <w:color w:val="222222"/>
          <w:shd w:val="clear" w:color="auto" w:fill="FFFFFF"/>
        </w:rPr>
        <w:t>50</w:t>
      </w:r>
      <w:r w:rsidRPr="00451598">
        <w:rPr>
          <w:rFonts w:cs="Arial"/>
          <w:color w:val="222222"/>
          <w:shd w:val="clear" w:color="auto" w:fill="FFFFFF"/>
        </w:rPr>
        <w:t>(3), pp.343-374.</w:t>
      </w:r>
    </w:p>
    <w:p w14:paraId="1DAD5FE6"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Pape-Lindstrom, P., Eddy, S. and Freeman, S., (2018). Reading quizzes improve exam scores for community college students. </w:t>
      </w:r>
      <w:r w:rsidRPr="00451598">
        <w:rPr>
          <w:rFonts w:cs="Arial"/>
          <w:i/>
          <w:iCs/>
          <w:color w:val="222222"/>
          <w:shd w:val="clear" w:color="auto" w:fill="FFFFFF"/>
        </w:rPr>
        <w:t>CBE—Life Sciences Education</w:t>
      </w:r>
      <w:r w:rsidRPr="00451598">
        <w:rPr>
          <w:rFonts w:cs="Arial"/>
          <w:color w:val="222222"/>
          <w:shd w:val="clear" w:color="auto" w:fill="FFFFFF"/>
        </w:rPr>
        <w:t>, </w:t>
      </w:r>
      <w:r w:rsidRPr="00451598">
        <w:rPr>
          <w:rFonts w:cs="Arial"/>
          <w:i/>
          <w:iCs/>
          <w:color w:val="222222"/>
          <w:shd w:val="clear" w:color="auto" w:fill="FFFFFF"/>
        </w:rPr>
        <w:t>17</w:t>
      </w:r>
      <w:r w:rsidRPr="00451598">
        <w:rPr>
          <w:rFonts w:cs="Arial"/>
          <w:color w:val="222222"/>
          <w:shd w:val="clear" w:color="auto" w:fill="FFFFFF"/>
        </w:rPr>
        <w:t>(2), p.ar21.</w:t>
      </w:r>
    </w:p>
    <w:p w14:paraId="1F44B168" w14:textId="77777777" w:rsidR="00076660" w:rsidRPr="00451598" w:rsidRDefault="00076660" w:rsidP="00076660">
      <w:pPr>
        <w:rPr>
          <w:rFonts w:ascii="Times New Roman" w:hAnsi="Times New Roman" w:cs="Times New Roman"/>
          <w:color w:val="222222"/>
          <w:shd w:val="clear" w:color="auto" w:fill="FFFFFF"/>
        </w:rPr>
      </w:pPr>
      <w:proofErr w:type="spellStart"/>
      <w:r w:rsidRPr="00451598">
        <w:rPr>
          <w:rFonts w:cs="Arial"/>
          <w:color w:val="222222"/>
          <w:shd w:val="clear" w:color="auto" w:fill="FFFFFF"/>
        </w:rPr>
        <w:t>Rockey-Harris</w:t>
      </w:r>
      <w:proofErr w:type="spellEnd"/>
      <w:r w:rsidRPr="00451598">
        <w:rPr>
          <w:rFonts w:cs="Arial"/>
          <w:color w:val="222222"/>
          <w:shd w:val="clear" w:color="auto" w:fill="FFFFFF"/>
        </w:rPr>
        <w:t>, K.A., (2021). </w:t>
      </w:r>
      <w:r w:rsidRPr="00451598">
        <w:rPr>
          <w:rFonts w:cs="Arial"/>
          <w:i/>
          <w:iCs/>
          <w:color w:val="222222"/>
          <w:shd w:val="clear" w:color="auto" w:fill="FFFFFF"/>
        </w:rPr>
        <w:t>The Learning Experience of Alumni Mock Interviewers: Implications for Program Design</w:t>
      </w:r>
      <w:r w:rsidRPr="00451598">
        <w:rPr>
          <w:rFonts w:cs="Arial"/>
          <w:color w:val="222222"/>
          <w:shd w:val="clear" w:color="auto" w:fill="FFFFFF"/>
        </w:rPr>
        <w:t>. Teachers College, Columbia University.</w:t>
      </w:r>
    </w:p>
    <w:p w14:paraId="295694C3"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 xml:space="preserve">Rolf, S., O'Reilly, J. and </w:t>
      </w:r>
      <w:proofErr w:type="spellStart"/>
      <w:r w:rsidRPr="00451598">
        <w:rPr>
          <w:rFonts w:cs="Arial"/>
          <w:color w:val="222222"/>
          <w:shd w:val="clear" w:color="auto" w:fill="FFFFFF"/>
        </w:rPr>
        <w:t>Meryon</w:t>
      </w:r>
      <w:proofErr w:type="spellEnd"/>
      <w:r w:rsidRPr="00451598">
        <w:rPr>
          <w:rFonts w:cs="Arial"/>
          <w:color w:val="222222"/>
          <w:shd w:val="clear" w:color="auto" w:fill="FFFFFF"/>
        </w:rPr>
        <w:t>, M., (2022). Towards privatized social and employment protections in the platform economy? Evidence from the UK courier sector. </w:t>
      </w:r>
      <w:r w:rsidRPr="00451598">
        <w:rPr>
          <w:rFonts w:cs="Arial"/>
          <w:i/>
          <w:iCs/>
          <w:color w:val="222222"/>
          <w:shd w:val="clear" w:color="auto" w:fill="FFFFFF"/>
        </w:rPr>
        <w:t>Research Policy</w:t>
      </w:r>
      <w:r w:rsidRPr="00451598">
        <w:rPr>
          <w:rFonts w:cs="Arial"/>
          <w:color w:val="222222"/>
          <w:shd w:val="clear" w:color="auto" w:fill="FFFFFF"/>
        </w:rPr>
        <w:t>, </w:t>
      </w:r>
      <w:r w:rsidRPr="00451598">
        <w:rPr>
          <w:rFonts w:cs="Arial"/>
          <w:i/>
          <w:iCs/>
          <w:color w:val="222222"/>
          <w:shd w:val="clear" w:color="auto" w:fill="FFFFFF"/>
        </w:rPr>
        <w:t>51</w:t>
      </w:r>
      <w:r w:rsidRPr="00451598">
        <w:rPr>
          <w:rFonts w:cs="Arial"/>
          <w:color w:val="222222"/>
          <w:shd w:val="clear" w:color="auto" w:fill="FFFFFF"/>
        </w:rPr>
        <w:t>(5), p.104492.</w:t>
      </w:r>
    </w:p>
    <w:p w14:paraId="7995B63B"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 xml:space="preserve">Shuck, B., Peyton Roberts, T. and </w:t>
      </w:r>
      <w:proofErr w:type="spellStart"/>
      <w:r w:rsidRPr="00451598">
        <w:rPr>
          <w:rFonts w:cs="Arial"/>
          <w:color w:val="222222"/>
          <w:shd w:val="clear" w:color="auto" w:fill="FFFFFF"/>
        </w:rPr>
        <w:t>Zigarmi</w:t>
      </w:r>
      <w:proofErr w:type="spellEnd"/>
      <w:r w:rsidRPr="00451598">
        <w:rPr>
          <w:rFonts w:cs="Arial"/>
          <w:color w:val="222222"/>
          <w:shd w:val="clear" w:color="auto" w:fill="FFFFFF"/>
        </w:rPr>
        <w:t>, D., (2018). Employee perceptions of the work environment, motivational outlooks, and employee work intentions: An HR practitioner’s dream or nightmare?. </w:t>
      </w:r>
      <w:r w:rsidRPr="00451598">
        <w:rPr>
          <w:rFonts w:cs="Arial"/>
          <w:i/>
          <w:iCs/>
          <w:color w:val="222222"/>
          <w:shd w:val="clear" w:color="auto" w:fill="FFFFFF"/>
        </w:rPr>
        <w:t>Advances in Developing Human Resources</w:t>
      </w:r>
      <w:r w:rsidRPr="00451598">
        <w:rPr>
          <w:rFonts w:cs="Arial"/>
          <w:color w:val="222222"/>
          <w:shd w:val="clear" w:color="auto" w:fill="FFFFFF"/>
        </w:rPr>
        <w:t>, </w:t>
      </w:r>
      <w:r w:rsidRPr="00451598">
        <w:rPr>
          <w:rFonts w:cs="Arial"/>
          <w:i/>
          <w:iCs/>
          <w:color w:val="222222"/>
          <w:shd w:val="clear" w:color="auto" w:fill="FFFFFF"/>
        </w:rPr>
        <w:t>20</w:t>
      </w:r>
      <w:r w:rsidRPr="00451598">
        <w:rPr>
          <w:rFonts w:cs="Arial"/>
          <w:color w:val="222222"/>
          <w:shd w:val="clear" w:color="auto" w:fill="FFFFFF"/>
        </w:rPr>
        <w:t>(2), pp.197-213.</w:t>
      </w:r>
    </w:p>
    <w:p w14:paraId="7F7CFAE1"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Smith, G.P. and Woodson, A., (2021). Adulting: Using Professional Development to Prepare Students for Life After College. </w:t>
      </w:r>
      <w:r w:rsidRPr="00451598">
        <w:rPr>
          <w:rFonts w:cs="Arial"/>
          <w:i/>
          <w:iCs/>
          <w:color w:val="222222"/>
          <w:shd w:val="clear" w:color="auto" w:fill="FFFFFF"/>
        </w:rPr>
        <w:t>TEACHING PSYCHOLOGY ONLINE</w:t>
      </w:r>
      <w:r w:rsidRPr="00451598">
        <w:rPr>
          <w:rFonts w:cs="Arial"/>
          <w:color w:val="222222"/>
          <w:shd w:val="clear" w:color="auto" w:fill="FFFFFF"/>
        </w:rPr>
        <w:t>, p.39.</w:t>
      </w:r>
    </w:p>
    <w:p w14:paraId="78B176E8"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Somoye</w:t>
      </w:r>
      <w:proofErr w:type="spellEnd"/>
      <w:r w:rsidRPr="00451598">
        <w:rPr>
          <w:rFonts w:cs="Arial"/>
          <w:color w:val="222222"/>
          <w:shd w:val="clear" w:color="auto" w:fill="FFFFFF"/>
        </w:rPr>
        <w:t xml:space="preserve">, K.G. and </w:t>
      </w:r>
      <w:proofErr w:type="spellStart"/>
      <w:r w:rsidRPr="00451598">
        <w:rPr>
          <w:rFonts w:cs="Arial"/>
          <w:color w:val="222222"/>
          <w:shd w:val="clear" w:color="auto" w:fill="FFFFFF"/>
        </w:rPr>
        <w:t>Eyupoglu</w:t>
      </w:r>
      <w:proofErr w:type="spellEnd"/>
      <w:r w:rsidRPr="00451598">
        <w:rPr>
          <w:rFonts w:cs="Arial"/>
          <w:color w:val="222222"/>
          <w:shd w:val="clear" w:color="auto" w:fill="FFFFFF"/>
        </w:rPr>
        <w:t>, Ş.Z., (2020). The functionality of reward in influencing the reinforcement of performance evaluation criteria and organisational commitment among employees. </w:t>
      </w:r>
      <w:r w:rsidRPr="00451598">
        <w:rPr>
          <w:rFonts w:cs="Arial"/>
          <w:i/>
          <w:iCs/>
          <w:color w:val="222222"/>
          <w:shd w:val="clear" w:color="auto" w:fill="FFFFFF"/>
        </w:rPr>
        <w:t>South African Journal of Business Management</w:t>
      </w:r>
      <w:r w:rsidRPr="00451598">
        <w:rPr>
          <w:rFonts w:cs="Arial"/>
          <w:color w:val="222222"/>
          <w:shd w:val="clear" w:color="auto" w:fill="FFFFFF"/>
        </w:rPr>
        <w:t>, </w:t>
      </w:r>
      <w:r w:rsidRPr="00451598">
        <w:rPr>
          <w:rFonts w:cs="Arial"/>
          <w:i/>
          <w:iCs/>
          <w:color w:val="222222"/>
          <w:shd w:val="clear" w:color="auto" w:fill="FFFFFF"/>
        </w:rPr>
        <w:t>51</w:t>
      </w:r>
      <w:r w:rsidRPr="00451598">
        <w:rPr>
          <w:rFonts w:cs="Arial"/>
          <w:color w:val="222222"/>
          <w:shd w:val="clear" w:color="auto" w:fill="FFFFFF"/>
        </w:rPr>
        <w:t>(1), pp.1-11.</w:t>
      </w:r>
    </w:p>
    <w:p w14:paraId="4B2B9525" w14:textId="77777777" w:rsidR="00076660" w:rsidRPr="00451598" w:rsidRDefault="00076660" w:rsidP="00076660">
      <w:pPr>
        <w:rPr>
          <w:rFonts w:cs="Arial"/>
          <w:color w:val="222222"/>
          <w:shd w:val="clear" w:color="auto" w:fill="FFFFFF"/>
        </w:rPr>
      </w:pPr>
      <w:r w:rsidRPr="00451598">
        <w:rPr>
          <w:rFonts w:cs="Arial"/>
          <w:color w:val="222222"/>
          <w:shd w:val="clear" w:color="auto" w:fill="FFFFFF"/>
        </w:rPr>
        <w:t>Sung, S.Y. and Choi, J.N., (2018). Effects of training and development on employee outcomes and firm innovative performance: Moderating roles of voluntary participation and evaluation. </w:t>
      </w:r>
      <w:r w:rsidRPr="00451598">
        <w:rPr>
          <w:rFonts w:cs="Arial"/>
          <w:i/>
          <w:iCs/>
          <w:color w:val="222222"/>
          <w:shd w:val="clear" w:color="auto" w:fill="FFFFFF"/>
        </w:rPr>
        <w:t>Human resource management</w:t>
      </w:r>
      <w:r w:rsidRPr="00451598">
        <w:rPr>
          <w:rFonts w:cs="Arial"/>
          <w:color w:val="222222"/>
          <w:shd w:val="clear" w:color="auto" w:fill="FFFFFF"/>
        </w:rPr>
        <w:t>, </w:t>
      </w:r>
      <w:r w:rsidRPr="00451598">
        <w:rPr>
          <w:rFonts w:cs="Arial"/>
          <w:i/>
          <w:iCs/>
          <w:color w:val="222222"/>
          <w:shd w:val="clear" w:color="auto" w:fill="FFFFFF"/>
        </w:rPr>
        <w:t>57</w:t>
      </w:r>
      <w:r w:rsidRPr="00451598">
        <w:rPr>
          <w:rFonts w:cs="Arial"/>
          <w:color w:val="222222"/>
          <w:shd w:val="clear" w:color="auto" w:fill="FFFFFF"/>
        </w:rPr>
        <w:t>(6), pp.1339-1353.</w:t>
      </w:r>
    </w:p>
    <w:p w14:paraId="620597D0"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Supena</w:t>
      </w:r>
      <w:proofErr w:type="spellEnd"/>
      <w:r w:rsidRPr="00451598">
        <w:rPr>
          <w:rFonts w:cs="Arial"/>
          <w:color w:val="222222"/>
          <w:shd w:val="clear" w:color="auto" w:fill="FFFFFF"/>
        </w:rPr>
        <w:t xml:space="preserve">, I., </w:t>
      </w:r>
      <w:proofErr w:type="spellStart"/>
      <w:r w:rsidRPr="00451598">
        <w:rPr>
          <w:rFonts w:cs="Arial"/>
          <w:color w:val="222222"/>
          <w:shd w:val="clear" w:color="auto" w:fill="FFFFFF"/>
        </w:rPr>
        <w:t>Darmuki</w:t>
      </w:r>
      <w:proofErr w:type="spellEnd"/>
      <w:r w:rsidRPr="00451598">
        <w:rPr>
          <w:rFonts w:cs="Arial"/>
          <w:color w:val="222222"/>
          <w:shd w:val="clear" w:color="auto" w:fill="FFFFFF"/>
        </w:rPr>
        <w:t xml:space="preserve">, A. and </w:t>
      </w:r>
      <w:proofErr w:type="spellStart"/>
      <w:r w:rsidRPr="00451598">
        <w:rPr>
          <w:rFonts w:cs="Arial"/>
          <w:color w:val="222222"/>
          <w:shd w:val="clear" w:color="auto" w:fill="FFFFFF"/>
        </w:rPr>
        <w:t>Hariyadi</w:t>
      </w:r>
      <w:proofErr w:type="spellEnd"/>
      <w:r w:rsidRPr="00451598">
        <w:rPr>
          <w:rFonts w:cs="Arial"/>
          <w:color w:val="222222"/>
          <w:shd w:val="clear" w:color="auto" w:fill="FFFFFF"/>
        </w:rPr>
        <w:t>, A., (2021). The Influence of 4C (Constructive, Critical, Creativity, Collaborative) Learning Model on Students' Learning Outcomes. </w:t>
      </w:r>
      <w:r w:rsidRPr="00451598">
        <w:rPr>
          <w:rFonts w:cs="Arial"/>
          <w:i/>
          <w:iCs/>
          <w:color w:val="222222"/>
          <w:shd w:val="clear" w:color="auto" w:fill="FFFFFF"/>
        </w:rPr>
        <w:t>International Journal of Instruction</w:t>
      </w:r>
      <w:r w:rsidRPr="00451598">
        <w:rPr>
          <w:rFonts w:cs="Arial"/>
          <w:color w:val="222222"/>
          <w:shd w:val="clear" w:color="auto" w:fill="FFFFFF"/>
        </w:rPr>
        <w:t>, </w:t>
      </w:r>
      <w:r w:rsidRPr="00451598">
        <w:rPr>
          <w:rFonts w:cs="Arial"/>
          <w:i/>
          <w:iCs/>
          <w:color w:val="222222"/>
          <w:shd w:val="clear" w:color="auto" w:fill="FFFFFF"/>
        </w:rPr>
        <w:t>14</w:t>
      </w:r>
      <w:r w:rsidRPr="00451598">
        <w:rPr>
          <w:rFonts w:cs="Arial"/>
          <w:color w:val="222222"/>
          <w:shd w:val="clear" w:color="auto" w:fill="FFFFFF"/>
        </w:rPr>
        <w:t>(3), pp.873-892.</w:t>
      </w:r>
    </w:p>
    <w:p w14:paraId="0B9DEB92"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Susanto</w:t>
      </w:r>
      <w:proofErr w:type="spellEnd"/>
      <w:r w:rsidRPr="00451598">
        <w:rPr>
          <w:rFonts w:cs="Arial"/>
          <w:color w:val="222222"/>
          <w:shd w:val="clear" w:color="auto" w:fill="FFFFFF"/>
        </w:rPr>
        <w:t xml:space="preserve">, S., Lim, B., Linda, T., </w:t>
      </w:r>
      <w:proofErr w:type="spellStart"/>
      <w:r w:rsidRPr="00451598">
        <w:rPr>
          <w:rFonts w:cs="Arial"/>
          <w:color w:val="222222"/>
          <w:shd w:val="clear" w:color="auto" w:fill="FFFFFF"/>
        </w:rPr>
        <w:t>Tarigan</w:t>
      </w:r>
      <w:proofErr w:type="spellEnd"/>
      <w:r w:rsidRPr="00451598">
        <w:rPr>
          <w:rFonts w:cs="Arial"/>
          <w:color w:val="222222"/>
          <w:shd w:val="clear" w:color="auto" w:fill="FFFFFF"/>
        </w:rPr>
        <w:t xml:space="preserve">, S.A. and </w:t>
      </w:r>
      <w:proofErr w:type="spellStart"/>
      <w:r w:rsidRPr="00451598">
        <w:rPr>
          <w:rFonts w:cs="Arial"/>
          <w:color w:val="222222"/>
          <w:shd w:val="clear" w:color="auto" w:fill="FFFFFF"/>
        </w:rPr>
        <w:t>Wijaya</w:t>
      </w:r>
      <w:proofErr w:type="spellEnd"/>
      <w:r w:rsidRPr="00451598">
        <w:rPr>
          <w:rFonts w:cs="Arial"/>
          <w:color w:val="222222"/>
          <w:shd w:val="clear" w:color="auto" w:fill="FFFFFF"/>
        </w:rPr>
        <w:t>, E., (2021). ANTECEDENTS EMPLOYEE PERFORMANCE: A PERSPECTIVE REINFORCEMENT THEORY. </w:t>
      </w:r>
      <w:r w:rsidRPr="00451598">
        <w:rPr>
          <w:rFonts w:cs="Arial"/>
          <w:i/>
          <w:iCs/>
          <w:color w:val="222222"/>
          <w:shd w:val="clear" w:color="auto" w:fill="FFFFFF"/>
        </w:rPr>
        <w:t>Journal of Industrial Engineering &amp; Management Research</w:t>
      </w:r>
      <w:r w:rsidRPr="00451598">
        <w:rPr>
          <w:rFonts w:cs="Arial"/>
          <w:color w:val="222222"/>
          <w:shd w:val="clear" w:color="auto" w:fill="FFFFFF"/>
        </w:rPr>
        <w:t>, </w:t>
      </w:r>
      <w:r w:rsidRPr="00451598">
        <w:rPr>
          <w:rFonts w:cs="Arial"/>
          <w:i/>
          <w:iCs/>
          <w:color w:val="222222"/>
          <w:shd w:val="clear" w:color="auto" w:fill="FFFFFF"/>
        </w:rPr>
        <w:t>2</w:t>
      </w:r>
      <w:r w:rsidRPr="00451598">
        <w:rPr>
          <w:rFonts w:cs="Arial"/>
          <w:color w:val="222222"/>
          <w:shd w:val="clear" w:color="auto" w:fill="FFFFFF"/>
        </w:rPr>
        <w:t>(4), pp.1-14.</w:t>
      </w:r>
    </w:p>
    <w:p w14:paraId="4462EDD2" w14:textId="77777777" w:rsidR="00076660" w:rsidRPr="00451598" w:rsidRDefault="00076660" w:rsidP="00076660">
      <w:pPr>
        <w:rPr>
          <w:rFonts w:cs="Arial"/>
          <w:color w:val="222222"/>
          <w:shd w:val="clear" w:color="auto" w:fill="FFFFFF"/>
        </w:rPr>
      </w:pPr>
      <w:proofErr w:type="spellStart"/>
      <w:r w:rsidRPr="00451598">
        <w:rPr>
          <w:rFonts w:cs="Arial"/>
          <w:color w:val="222222"/>
          <w:shd w:val="clear" w:color="auto" w:fill="FFFFFF"/>
        </w:rPr>
        <w:t>Warsah</w:t>
      </w:r>
      <w:proofErr w:type="spellEnd"/>
      <w:r w:rsidRPr="00451598">
        <w:rPr>
          <w:rFonts w:cs="Arial"/>
          <w:color w:val="222222"/>
          <w:shd w:val="clear" w:color="auto" w:fill="FFFFFF"/>
        </w:rPr>
        <w:t xml:space="preserve">, I., </w:t>
      </w:r>
      <w:proofErr w:type="spellStart"/>
      <w:r w:rsidRPr="00451598">
        <w:rPr>
          <w:rFonts w:cs="Arial"/>
          <w:color w:val="222222"/>
          <w:shd w:val="clear" w:color="auto" w:fill="FFFFFF"/>
        </w:rPr>
        <w:t>Morganna</w:t>
      </w:r>
      <w:proofErr w:type="spellEnd"/>
      <w:r w:rsidRPr="00451598">
        <w:rPr>
          <w:rFonts w:cs="Arial"/>
          <w:color w:val="222222"/>
          <w:shd w:val="clear" w:color="auto" w:fill="FFFFFF"/>
        </w:rPr>
        <w:t xml:space="preserve">, R., </w:t>
      </w:r>
      <w:proofErr w:type="spellStart"/>
      <w:r w:rsidRPr="00451598">
        <w:rPr>
          <w:rFonts w:cs="Arial"/>
          <w:color w:val="222222"/>
          <w:shd w:val="clear" w:color="auto" w:fill="FFFFFF"/>
        </w:rPr>
        <w:t>Uyun</w:t>
      </w:r>
      <w:proofErr w:type="spellEnd"/>
      <w:r w:rsidRPr="00451598">
        <w:rPr>
          <w:rFonts w:cs="Arial"/>
          <w:color w:val="222222"/>
          <w:shd w:val="clear" w:color="auto" w:fill="FFFFFF"/>
        </w:rPr>
        <w:t xml:space="preserve">, M. and </w:t>
      </w:r>
      <w:proofErr w:type="spellStart"/>
      <w:r w:rsidRPr="00451598">
        <w:rPr>
          <w:rFonts w:cs="Arial"/>
          <w:color w:val="222222"/>
          <w:shd w:val="clear" w:color="auto" w:fill="FFFFFF"/>
        </w:rPr>
        <w:t>Afandi</w:t>
      </w:r>
      <w:proofErr w:type="spellEnd"/>
      <w:r w:rsidRPr="00451598">
        <w:rPr>
          <w:rFonts w:cs="Arial"/>
          <w:color w:val="222222"/>
          <w:shd w:val="clear" w:color="auto" w:fill="FFFFFF"/>
        </w:rPr>
        <w:t>, M., (2021). The Impact of Collaborative Learning on Learners' Critical Thinking Skills. </w:t>
      </w:r>
      <w:r w:rsidRPr="00451598">
        <w:rPr>
          <w:rFonts w:cs="Arial"/>
          <w:i/>
          <w:iCs/>
          <w:color w:val="222222"/>
          <w:shd w:val="clear" w:color="auto" w:fill="FFFFFF"/>
        </w:rPr>
        <w:t>International Journal of Instruction</w:t>
      </w:r>
      <w:r w:rsidRPr="00451598">
        <w:rPr>
          <w:rFonts w:cs="Arial"/>
          <w:color w:val="222222"/>
          <w:shd w:val="clear" w:color="auto" w:fill="FFFFFF"/>
        </w:rPr>
        <w:t>, </w:t>
      </w:r>
      <w:r w:rsidRPr="00451598">
        <w:rPr>
          <w:rFonts w:cs="Arial"/>
          <w:i/>
          <w:iCs/>
          <w:color w:val="222222"/>
          <w:shd w:val="clear" w:color="auto" w:fill="FFFFFF"/>
        </w:rPr>
        <w:t>14</w:t>
      </w:r>
      <w:r w:rsidRPr="00451598">
        <w:rPr>
          <w:rFonts w:cs="Arial"/>
          <w:color w:val="222222"/>
          <w:shd w:val="clear" w:color="auto" w:fill="FFFFFF"/>
        </w:rPr>
        <w:t>(2), pp.443-460.</w:t>
      </w:r>
    </w:p>
    <w:p w14:paraId="224A6A75" w14:textId="77777777" w:rsidR="00076660" w:rsidRPr="00076660" w:rsidRDefault="00076660" w:rsidP="00076660"/>
    <w:sectPr w:rsidR="00076660" w:rsidRPr="00076660" w:rsidSect="00D2518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C8D15" w14:textId="77777777" w:rsidR="00F31EC1" w:rsidRDefault="00F31EC1" w:rsidP="00D25187">
      <w:pPr>
        <w:spacing w:after="0" w:line="240" w:lineRule="auto"/>
      </w:pPr>
      <w:r>
        <w:separator/>
      </w:r>
    </w:p>
  </w:endnote>
  <w:endnote w:type="continuationSeparator" w:id="0">
    <w:p w14:paraId="2B70E800" w14:textId="77777777" w:rsidR="00F31EC1" w:rsidRDefault="00F31EC1" w:rsidP="00D25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935014"/>
      <w:docPartObj>
        <w:docPartGallery w:val="Page Numbers (Bottom of Page)"/>
        <w:docPartUnique/>
      </w:docPartObj>
    </w:sdtPr>
    <w:sdtEndPr>
      <w:rPr>
        <w:color w:val="7F7F7F" w:themeColor="background1" w:themeShade="7F"/>
        <w:spacing w:val="60"/>
      </w:rPr>
    </w:sdtEndPr>
    <w:sdtContent>
      <w:p w14:paraId="62A36D51" w14:textId="77777777" w:rsidR="00582C3A" w:rsidRDefault="00F31EC1">
        <w:pPr>
          <w:pStyle w:val="Footer"/>
          <w:pBdr>
            <w:top w:val="single" w:sz="4" w:space="1" w:color="D9D9D9" w:themeColor="background1" w:themeShade="D9"/>
          </w:pBdr>
          <w:jc w:val="right"/>
        </w:pPr>
        <w:r>
          <w:fldChar w:fldCharType="begin"/>
        </w:r>
        <w:r>
          <w:instrText xml:space="preserve"> PAGE   \* MERGEFORMAT </w:instrText>
        </w:r>
        <w:r>
          <w:fldChar w:fldCharType="separate"/>
        </w:r>
        <w:r w:rsidR="004C231B">
          <w:rPr>
            <w:noProof/>
          </w:rPr>
          <w:t>3</w:t>
        </w:r>
        <w:r>
          <w:rPr>
            <w:noProof/>
          </w:rPr>
          <w:fldChar w:fldCharType="end"/>
        </w:r>
        <w:r w:rsidR="00582C3A">
          <w:t xml:space="preserve"> | </w:t>
        </w:r>
        <w:r w:rsidR="00582C3A">
          <w:rPr>
            <w:color w:val="7F7F7F" w:themeColor="background1" w:themeShade="7F"/>
            <w:spacing w:val="60"/>
          </w:rPr>
          <w:t>Page</w:t>
        </w:r>
      </w:p>
    </w:sdtContent>
  </w:sdt>
  <w:p w14:paraId="32A59644" w14:textId="77777777" w:rsidR="00582C3A" w:rsidRDefault="00582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F4DC4" w14:textId="77777777" w:rsidR="00F31EC1" w:rsidRDefault="00F31EC1" w:rsidP="00D25187">
      <w:pPr>
        <w:spacing w:after="0" w:line="240" w:lineRule="auto"/>
      </w:pPr>
      <w:r>
        <w:separator/>
      </w:r>
    </w:p>
  </w:footnote>
  <w:footnote w:type="continuationSeparator" w:id="0">
    <w:p w14:paraId="61287951" w14:textId="77777777" w:rsidR="00F31EC1" w:rsidRDefault="00F31EC1" w:rsidP="00D251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226"/>
    <w:multiLevelType w:val="hybridMultilevel"/>
    <w:tmpl w:val="764E0BC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2259B7"/>
    <w:multiLevelType w:val="hybridMultilevel"/>
    <w:tmpl w:val="37ECE5B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B47347"/>
    <w:multiLevelType w:val="hybridMultilevel"/>
    <w:tmpl w:val="025E110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454CC"/>
    <w:multiLevelType w:val="hybridMultilevel"/>
    <w:tmpl w:val="2B606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A75D5A"/>
    <w:multiLevelType w:val="hybridMultilevel"/>
    <w:tmpl w:val="9A44D29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DD2BCA"/>
    <w:multiLevelType w:val="hybridMultilevel"/>
    <w:tmpl w:val="5C78C18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6C11D0"/>
    <w:multiLevelType w:val="hybridMultilevel"/>
    <w:tmpl w:val="28AA7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FF04B8"/>
    <w:multiLevelType w:val="hybridMultilevel"/>
    <w:tmpl w:val="1B10A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45172C"/>
    <w:multiLevelType w:val="hybridMultilevel"/>
    <w:tmpl w:val="7390E13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179394">
    <w:abstractNumId w:val="3"/>
  </w:num>
  <w:num w:numId="2" w16cid:durableId="1740054183">
    <w:abstractNumId w:val="7"/>
  </w:num>
  <w:num w:numId="3" w16cid:durableId="1103916110">
    <w:abstractNumId w:val="4"/>
  </w:num>
  <w:num w:numId="4" w16cid:durableId="945575290">
    <w:abstractNumId w:val="2"/>
  </w:num>
  <w:num w:numId="5" w16cid:durableId="599794913">
    <w:abstractNumId w:val="6"/>
  </w:num>
  <w:num w:numId="6" w16cid:durableId="966741259">
    <w:abstractNumId w:val="5"/>
  </w:num>
  <w:num w:numId="7" w16cid:durableId="117530168">
    <w:abstractNumId w:val="0"/>
  </w:num>
  <w:num w:numId="8" w16cid:durableId="1127893298">
    <w:abstractNumId w:val="8"/>
  </w:num>
  <w:num w:numId="9" w16cid:durableId="21786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80E"/>
    <w:rsid w:val="0006421D"/>
    <w:rsid w:val="00076660"/>
    <w:rsid w:val="000A43BC"/>
    <w:rsid w:val="000C20B7"/>
    <w:rsid w:val="000D0448"/>
    <w:rsid w:val="001068CA"/>
    <w:rsid w:val="001D50D2"/>
    <w:rsid w:val="002539CF"/>
    <w:rsid w:val="002E67D3"/>
    <w:rsid w:val="00332F31"/>
    <w:rsid w:val="003842EE"/>
    <w:rsid w:val="003D4733"/>
    <w:rsid w:val="00424A70"/>
    <w:rsid w:val="004C156D"/>
    <w:rsid w:val="004C231B"/>
    <w:rsid w:val="004F6BF4"/>
    <w:rsid w:val="005729E7"/>
    <w:rsid w:val="00582C3A"/>
    <w:rsid w:val="005B480E"/>
    <w:rsid w:val="006A4CFB"/>
    <w:rsid w:val="0071133E"/>
    <w:rsid w:val="008756B3"/>
    <w:rsid w:val="008D6E54"/>
    <w:rsid w:val="00AF32B6"/>
    <w:rsid w:val="00AF4F9B"/>
    <w:rsid w:val="00B5082E"/>
    <w:rsid w:val="00BC24F3"/>
    <w:rsid w:val="00C17653"/>
    <w:rsid w:val="00CC4AD9"/>
    <w:rsid w:val="00CE4BDA"/>
    <w:rsid w:val="00D25187"/>
    <w:rsid w:val="00EC0AA8"/>
    <w:rsid w:val="00F31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95836"/>
  <w15:docId w15:val="{3FBC5C2B-3709-4A0E-AEEA-28226F46D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80E"/>
    <w:pPr>
      <w:spacing w:line="360" w:lineRule="auto"/>
      <w:jc w:val="both"/>
    </w:pPr>
    <w:rPr>
      <w:rFonts w:ascii="Arial" w:hAnsi="Arial"/>
    </w:rPr>
  </w:style>
  <w:style w:type="paragraph" w:styleId="Heading1">
    <w:name w:val="heading 1"/>
    <w:basedOn w:val="Normal"/>
    <w:next w:val="Normal"/>
    <w:link w:val="Heading1Char"/>
    <w:uiPriority w:val="9"/>
    <w:qFormat/>
    <w:rsid w:val="005B480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B480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80E"/>
    <w:rPr>
      <w:rFonts w:ascii="Arial" w:eastAsiaTheme="majorEastAsia" w:hAnsi="Arial" w:cstheme="majorBidi"/>
      <w:b/>
      <w:bCs/>
      <w:szCs w:val="28"/>
    </w:rPr>
  </w:style>
  <w:style w:type="character" w:customStyle="1" w:styleId="Heading2Char">
    <w:name w:val="Heading 2 Char"/>
    <w:basedOn w:val="DefaultParagraphFont"/>
    <w:link w:val="Heading2"/>
    <w:uiPriority w:val="9"/>
    <w:rsid w:val="005B480E"/>
    <w:rPr>
      <w:rFonts w:ascii="Arial" w:eastAsiaTheme="majorEastAsia" w:hAnsi="Arial" w:cstheme="majorBidi"/>
      <w:b/>
      <w:bCs/>
      <w:szCs w:val="26"/>
    </w:rPr>
  </w:style>
  <w:style w:type="paragraph" w:styleId="Header">
    <w:name w:val="header"/>
    <w:basedOn w:val="Normal"/>
    <w:link w:val="HeaderChar"/>
    <w:uiPriority w:val="99"/>
    <w:semiHidden/>
    <w:unhideWhenUsed/>
    <w:rsid w:val="00D2518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25187"/>
    <w:rPr>
      <w:rFonts w:ascii="Arial" w:hAnsi="Arial"/>
    </w:rPr>
  </w:style>
  <w:style w:type="paragraph" w:styleId="Footer">
    <w:name w:val="footer"/>
    <w:basedOn w:val="Normal"/>
    <w:link w:val="FooterChar"/>
    <w:uiPriority w:val="99"/>
    <w:unhideWhenUsed/>
    <w:rsid w:val="00D25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187"/>
    <w:rPr>
      <w:rFonts w:ascii="Arial" w:hAnsi="Arial"/>
    </w:rPr>
  </w:style>
  <w:style w:type="paragraph" w:styleId="ListParagraph">
    <w:name w:val="List Paragraph"/>
    <w:basedOn w:val="Normal"/>
    <w:uiPriority w:val="34"/>
    <w:qFormat/>
    <w:rsid w:val="00D25187"/>
    <w:pPr>
      <w:ind w:left="720"/>
      <w:contextualSpacing/>
    </w:pPr>
  </w:style>
  <w:style w:type="table" w:styleId="TableGrid">
    <w:name w:val="Table Grid"/>
    <w:basedOn w:val="TableNormal"/>
    <w:uiPriority w:val="59"/>
    <w:rsid w:val="00D2518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076660"/>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076660"/>
    <w:pPr>
      <w:spacing w:after="100"/>
    </w:pPr>
  </w:style>
  <w:style w:type="paragraph" w:styleId="TOC2">
    <w:name w:val="toc 2"/>
    <w:basedOn w:val="Normal"/>
    <w:next w:val="Normal"/>
    <w:autoRedefine/>
    <w:uiPriority w:val="39"/>
    <w:unhideWhenUsed/>
    <w:rsid w:val="00076660"/>
    <w:pPr>
      <w:spacing w:after="100"/>
      <w:ind w:left="220"/>
    </w:pPr>
  </w:style>
  <w:style w:type="character" w:styleId="Hyperlink">
    <w:name w:val="Hyperlink"/>
    <w:basedOn w:val="DefaultParagraphFont"/>
    <w:uiPriority w:val="99"/>
    <w:unhideWhenUsed/>
    <w:rsid w:val="00076660"/>
    <w:rPr>
      <w:color w:val="0000FF" w:themeColor="hyperlink"/>
      <w:u w:val="single"/>
    </w:rPr>
  </w:style>
  <w:style w:type="paragraph" w:styleId="BalloonText">
    <w:name w:val="Balloon Text"/>
    <w:basedOn w:val="Normal"/>
    <w:link w:val="BalloonTextChar"/>
    <w:uiPriority w:val="99"/>
    <w:semiHidden/>
    <w:unhideWhenUsed/>
    <w:rsid w:val="000766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66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Leeds.XSL" StyleName="Harvard - Leeds*"/>
</file>

<file path=customXml/itemProps1.xml><?xml version="1.0" encoding="utf-8"?>
<ds:datastoreItem xmlns:ds="http://schemas.openxmlformats.org/officeDocument/2006/customXml" ds:itemID="{FB0520CE-FEA3-4113-AB4F-7A3D6A2567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3013</Words>
  <Characters>17177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Vasile Emanuel Dumitru (2026658)</cp:lastModifiedBy>
  <cp:revision>2</cp:revision>
  <dcterms:created xsi:type="dcterms:W3CDTF">2022-04-08T16:05:00Z</dcterms:created>
  <dcterms:modified xsi:type="dcterms:W3CDTF">2022-04-08T16:05:00Z</dcterms:modified>
</cp:coreProperties>
</file>