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51894505"/>
        <w:docPartObj>
          <w:docPartGallery w:val="Cover Pages"/>
          <w:docPartUnique/>
        </w:docPartObj>
      </w:sdtPr>
      <w:sdtContent>
        <w:p w:rsidR="00E62D49" w:rsidRDefault="00E62D49">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818ED" w:rsidRDefault="003818ED">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p w:rsidR="003818ED" w:rsidRDefault="003818ED">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818ED" w:rsidRDefault="003818ED">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EVANS Owen (SAFRAN SEATS)</w:t>
                                    </w:r>
                                  </w:sdtContent>
                                </w:sdt>
                              </w:p>
                              <w:p w:rsidR="003818ED" w:rsidRDefault="003818E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2011680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3818ED" w:rsidRDefault="003818ED">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EVANS Owen (SAFRAN SEATS)</w:t>
                              </w:r>
                            </w:sdtContent>
                          </w:sdt>
                        </w:p>
                        <w:p w:rsidR="003818ED" w:rsidRDefault="003818E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2011680</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GoBack"/>
                              <w:p w:rsidR="003818ED" w:rsidRPr="00E62D49" w:rsidRDefault="003818ED">
                                <w:pPr>
                                  <w:pStyle w:val="NoSpacing"/>
                                  <w:rPr>
                                    <w:rFonts w:asciiTheme="majorHAnsi" w:eastAsiaTheme="majorEastAsia" w:hAnsiTheme="majorHAnsi" w:cstheme="majorBidi"/>
                                    <w:color w:val="262626" w:themeColor="text1" w:themeTint="D9"/>
                                    <w:sz w:val="200"/>
                                  </w:rPr>
                                </w:pPr>
                                <w:sdt>
                                  <w:sdtPr>
                                    <w:rPr>
                                      <w:rFonts w:ascii="Arial" w:hAnsi="Arial" w:cs="Arial"/>
                                      <w:b/>
                                      <w:sz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62D49">
                                      <w:rPr>
                                        <w:rFonts w:ascii="Arial" w:hAnsi="Arial" w:cs="Arial"/>
                                        <w:b/>
                                        <w:sz w:val="40"/>
                                      </w:rPr>
                                      <w:t>Evaluating the Effectiveness of Chosen Maintenance Strategies for Dedicated Equipment</w:t>
                                    </w:r>
                                  </w:sdtContent>
                                </w:sdt>
                              </w:p>
                              <w:bookmarkEnd w:id="0"/>
                              <w:p w:rsidR="003818ED" w:rsidRDefault="003818ED">
                                <w:pPr>
                                  <w:spacing w:before="120"/>
                                  <w:rPr>
                                    <w:color w:val="404040" w:themeColor="text1" w:themeTint="BF"/>
                                    <w:sz w:val="36"/>
                                    <w:szCs w:val="36"/>
                                  </w:rPr>
                                </w:pPr>
                                <w:sdt>
                                  <w:sdtPr>
                                    <w:rPr>
                                      <w:rFonts w:ascii="Arial" w:hAnsi="Arial" w:cs="Arial"/>
                                      <w: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26D92">
                                      <w:rPr>
                                        <w:rFonts w:ascii="Arial" w:hAnsi="Arial" w:cs="Arial"/>
                                        <w:b/>
                                      </w:rPr>
                                      <w:t>ACMA 6007</w:t>
                                    </w:r>
                                    <w:r>
                                      <w:rPr>
                                        <w:rFonts w:ascii="Arial" w:hAnsi="Arial" w:cs="Arial"/>
                                        <w:b/>
                                      </w:rPr>
                                      <w:t xml:space="preserve"> </w:t>
                                    </w:r>
                                    <w:r w:rsidRPr="00E62D49">
                                      <w:rPr>
                                        <w:rFonts w:ascii="Arial" w:hAnsi="Arial" w:cs="Arial"/>
                                        <w:b/>
                                      </w:rPr>
                                      <w:t>Plant and Asset Engineering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bookmarkStart w:id="1" w:name="_GoBack"/>
                        <w:p w:rsidR="003818ED" w:rsidRPr="00E62D49" w:rsidRDefault="003818ED">
                          <w:pPr>
                            <w:pStyle w:val="NoSpacing"/>
                            <w:rPr>
                              <w:rFonts w:asciiTheme="majorHAnsi" w:eastAsiaTheme="majorEastAsia" w:hAnsiTheme="majorHAnsi" w:cstheme="majorBidi"/>
                              <w:color w:val="262626" w:themeColor="text1" w:themeTint="D9"/>
                              <w:sz w:val="200"/>
                            </w:rPr>
                          </w:pPr>
                          <w:sdt>
                            <w:sdtPr>
                              <w:rPr>
                                <w:rFonts w:ascii="Arial" w:hAnsi="Arial" w:cs="Arial"/>
                                <w:b/>
                                <w:sz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62D49">
                                <w:rPr>
                                  <w:rFonts w:ascii="Arial" w:hAnsi="Arial" w:cs="Arial"/>
                                  <w:b/>
                                  <w:sz w:val="40"/>
                                </w:rPr>
                                <w:t>Evaluating the Effectiveness of Chosen Maintenance Strategies for Dedicated Equipment</w:t>
                              </w:r>
                            </w:sdtContent>
                          </w:sdt>
                        </w:p>
                        <w:bookmarkEnd w:id="1"/>
                        <w:p w:rsidR="003818ED" w:rsidRDefault="003818ED">
                          <w:pPr>
                            <w:spacing w:before="120"/>
                            <w:rPr>
                              <w:color w:val="404040" w:themeColor="text1" w:themeTint="BF"/>
                              <w:sz w:val="36"/>
                              <w:szCs w:val="36"/>
                            </w:rPr>
                          </w:pPr>
                          <w:sdt>
                            <w:sdtPr>
                              <w:rPr>
                                <w:rFonts w:ascii="Arial" w:hAnsi="Arial" w:cs="Arial"/>
                                <w: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26D92">
                                <w:rPr>
                                  <w:rFonts w:ascii="Arial" w:hAnsi="Arial" w:cs="Arial"/>
                                  <w:b/>
                                </w:rPr>
                                <w:t>ACMA 6007</w:t>
                              </w:r>
                              <w:r>
                                <w:rPr>
                                  <w:rFonts w:ascii="Arial" w:hAnsi="Arial" w:cs="Arial"/>
                                  <w:b/>
                                </w:rPr>
                                <w:t xml:space="preserve"> </w:t>
                              </w:r>
                              <w:r w:rsidRPr="00E62D49">
                                <w:rPr>
                                  <w:rFonts w:ascii="Arial" w:hAnsi="Arial" w:cs="Arial"/>
                                  <w:b/>
                                </w:rPr>
                                <w:t>Plant and Asset Engineering</w:t>
                              </w:r>
                            </w:sdtContent>
                          </w:sdt>
                        </w:p>
                      </w:txbxContent>
                    </v:textbox>
                    <w10:wrap anchorx="page" anchory="page"/>
                  </v:shape>
                </w:pict>
              </mc:Fallback>
            </mc:AlternateContent>
          </w:r>
        </w:p>
        <w:p w:rsidR="00E62D49" w:rsidRDefault="00E62D49">
          <w:r>
            <w:br w:type="page"/>
          </w:r>
        </w:p>
      </w:sdtContent>
    </w:sdt>
    <w:sdt>
      <w:sdtPr>
        <w:rPr>
          <w:rFonts w:asciiTheme="minorHAnsi" w:eastAsiaTheme="minorHAnsi" w:hAnsiTheme="minorHAnsi" w:cstheme="minorBidi"/>
          <w:color w:val="auto"/>
          <w:sz w:val="22"/>
          <w:szCs w:val="22"/>
          <w:lang w:val="en-GB"/>
        </w:rPr>
        <w:id w:val="1446349557"/>
        <w:docPartObj>
          <w:docPartGallery w:val="Table of Contents"/>
          <w:docPartUnique/>
        </w:docPartObj>
      </w:sdtPr>
      <w:sdtEndPr>
        <w:rPr>
          <w:b/>
          <w:bCs/>
          <w:noProof/>
        </w:rPr>
      </w:sdtEndPr>
      <w:sdtContent>
        <w:p w:rsidR="00E62D49" w:rsidRDefault="00E62D49">
          <w:pPr>
            <w:pStyle w:val="TOCHeading"/>
          </w:pPr>
          <w:r>
            <w:t>Table of Contents</w:t>
          </w:r>
        </w:p>
        <w:p w:rsidR="003142B1" w:rsidRPr="003142B1" w:rsidRDefault="003142B1" w:rsidP="003142B1">
          <w:pPr>
            <w:rPr>
              <w:lang w:val="en-US"/>
            </w:rPr>
          </w:pPr>
        </w:p>
        <w:p w:rsidR="0041558C" w:rsidRDefault="00E62D49">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31362499" w:history="1">
            <w:r w:rsidR="0041558C" w:rsidRPr="009F7F43">
              <w:rPr>
                <w:rStyle w:val="Hyperlink"/>
                <w:noProof/>
              </w:rPr>
              <w:t>List of Figures</w:t>
            </w:r>
            <w:r w:rsidR="0041558C">
              <w:rPr>
                <w:noProof/>
                <w:webHidden/>
              </w:rPr>
              <w:tab/>
            </w:r>
            <w:r w:rsidR="0041558C">
              <w:rPr>
                <w:noProof/>
                <w:webHidden/>
              </w:rPr>
              <w:fldChar w:fldCharType="begin"/>
            </w:r>
            <w:r w:rsidR="0041558C">
              <w:rPr>
                <w:noProof/>
                <w:webHidden/>
              </w:rPr>
              <w:instrText xml:space="preserve"> PAGEREF _Toc131362499 \h </w:instrText>
            </w:r>
            <w:r w:rsidR="0041558C">
              <w:rPr>
                <w:noProof/>
                <w:webHidden/>
              </w:rPr>
            </w:r>
            <w:r w:rsidR="0041558C">
              <w:rPr>
                <w:noProof/>
                <w:webHidden/>
              </w:rPr>
              <w:fldChar w:fldCharType="separate"/>
            </w:r>
            <w:r w:rsidR="0041558C">
              <w:rPr>
                <w:noProof/>
                <w:webHidden/>
              </w:rPr>
              <w:t>2</w:t>
            </w:r>
            <w:r w:rsidR="0041558C">
              <w:rPr>
                <w:noProof/>
                <w:webHidden/>
              </w:rPr>
              <w:fldChar w:fldCharType="end"/>
            </w:r>
          </w:hyperlink>
        </w:p>
        <w:p w:rsidR="0041558C" w:rsidRDefault="0041558C">
          <w:pPr>
            <w:pStyle w:val="TOC1"/>
            <w:tabs>
              <w:tab w:val="left" w:pos="440"/>
              <w:tab w:val="right" w:leader="dot" w:pos="10456"/>
            </w:tabs>
            <w:rPr>
              <w:rFonts w:eastAsiaTheme="minorEastAsia"/>
              <w:noProof/>
              <w:lang w:eastAsia="en-GB"/>
            </w:rPr>
          </w:pPr>
          <w:hyperlink w:anchor="_Toc131362500" w:history="1">
            <w:r w:rsidRPr="009F7F43">
              <w:rPr>
                <w:rStyle w:val="Hyperlink"/>
                <w:noProof/>
              </w:rPr>
              <w:t>1.</w:t>
            </w:r>
            <w:r>
              <w:rPr>
                <w:rFonts w:eastAsiaTheme="minorEastAsia"/>
                <w:noProof/>
                <w:lang w:eastAsia="en-GB"/>
              </w:rPr>
              <w:tab/>
            </w:r>
            <w:r w:rsidRPr="009F7F43">
              <w:rPr>
                <w:rStyle w:val="Hyperlink"/>
                <w:noProof/>
              </w:rPr>
              <w:t>Introduction</w:t>
            </w:r>
            <w:r>
              <w:rPr>
                <w:noProof/>
                <w:webHidden/>
              </w:rPr>
              <w:tab/>
            </w:r>
            <w:r>
              <w:rPr>
                <w:noProof/>
                <w:webHidden/>
              </w:rPr>
              <w:fldChar w:fldCharType="begin"/>
            </w:r>
            <w:r>
              <w:rPr>
                <w:noProof/>
                <w:webHidden/>
              </w:rPr>
              <w:instrText xml:space="preserve"> PAGEREF _Toc131362500 \h </w:instrText>
            </w:r>
            <w:r>
              <w:rPr>
                <w:noProof/>
                <w:webHidden/>
              </w:rPr>
            </w:r>
            <w:r>
              <w:rPr>
                <w:noProof/>
                <w:webHidden/>
              </w:rPr>
              <w:fldChar w:fldCharType="separate"/>
            </w:r>
            <w:r>
              <w:rPr>
                <w:noProof/>
                <w:webHidden/>
              </w:rPr>
              <w:t>3</w:t>
            </w:r>
            <w:r>
              <w:rPr>
                <w:noProof/>
                <w:webHidden/>
              </w:rPr>
              <w:fldChar w:fldCharType="end"/>
            </w:r>
          </w:hyperlink>
        </w:p>
        <w:p w:rsidR="0041558C" w:rsidRDefault="0041558C">
          <w:pPr>
            <w:pStyle w:val="TOC1"/>
            <w:tabs>
              <w:tab w:val="left" w:pos="440"/>
              <w:tab w:val="right" w:leader="dot" w:pos="10456"/>
            </w:tabs>
            <w:rPr>
              <w:rFonts w:eastAsiaTheme="minorEastAsia"/>
              <w:noProof/>
              <w:lang w:eastAsia="en-GB"/>
            </w:rPr>
          </w:pPr>
          <w:hyperlink w:anchor="_Toc131362501" w:history="1">
            <w:r w:rsidRPr="009F7F43">
              <w:rPr>
                <w:rStyle w:val="Hyperlink"/>
                <w:noProof/>
              </w:rPr>
              <w:t>2.</w:t>
            </w:r>
            <w:r>
              <w:rPr>
                <w:rFonts w:eastAsiaTheme="minorEastAsia"/>
                <w:noProof/>
                <w:lang w:eastAsia="en-GB"/>
              </w:rPr>
              <w:tab/>
            </w:r>
            <w:r w:rsidRPr="009F7F43">
              <w:rPr>
                <w:rStyle w:val="Hyperlink"/>
                <w:noProof/>
              </w:rPr>
              <w:t>Current Maintenance Practices</w:t>
            </w:r>
            <w:r>
              <w:rPr>
                <w:noProof/>
                <w:webHidden/>
              </w:rPr>
              <w:tab/>
            </w:r>
            <w:r>
              <w:rPr>
                <w:noProof/>
                <w:webHidden/>
              </w:rPr>
              <w:fldChar w:fldCharType="begin"/>
            </w:r>
            <w:r>
              <w:rPr>
                <w:noProof/>
                <w:webHidden/>
              </w:rPr>
              <w:instrText xml:space="preserve"> PAGEREF _Toc131362501 \h </w:instrText>
            </w:r>
            <w:r>
              <w:rPr>
                <w:noProof/>
                <w:webHidden/>
              </w:rPr>
            </w:r>
            <w:r>
              <w:rPr>
                <w:noProof/>
                <w:webHidden/>
              </w:rPr>
              <w:fldChar w:fldCharType="separate"/>
            </w:r>
            <w:r>
              <w:rPr>
                <w:noProof/>
                <w:webHidden/>
              </w:rPr>
              <w:t>5</w:t>
            </w:r>
            <w:r>
              <w:rPr>
                <w:noProof/>
                <w:webHidden/>
              </w:rPr>
              <w:fldChar w:fldCharType="end"/>
            </w:r>
          </w:hyperlink>
        </w:p>
        <w:p w:rsidR="0041558C" w:rsidRDefault="0041558C">
          <w:pPr>
            <w:pStyle w:val="TOC1"/>
            <w:tabs>
              <w:tab w:val="left" w:pos="440"/>
              <w:tab w:val="right" w:leader="dot" w:pos="10456"/>
            </w:tabs>
            <w:rPr>
              <w:rFonts w:eastAsiaTheme="minorEastAsia"/>
              <w:noProof/>
              <w:lang w:eastAsia="en-GB"/>
            </w:rPr>
          </w:pPr>
          <w:hyperlink w:anchor="_Toc131362502" w:history="1">
            <w:r w:rsidRPr="009F7F43">
              <w:rPr>
                <w:rStyle w:val="Hyperlink"/>
                <w:noProof/>
              </w:rPr>
              <w:t>3.</w:t>
            </w:r>
            <w:r>
              <w:rPr>
                <w:rFonts w:eastAsiaTheme="minorEastAsia"/>
                <w:noProof/>
                <w:lang w:eastAsia="en-GB"/>
              </w:rPr>
              <w:tab/>
            </w:r>
            <w:r w:rsidRPr="009F7F43">
              <w:rPr>
                <w:rStyle w:val="Hyperlink"/>
                <w:noProof/>
              </w:rPr>
              <w:t>Potential Improvements</w:t>
            </w:r>
            <w:r>
              <w:rPr>
                <w:noProof/>
                <w:webHidden/>
              </w:rPr>
              <w:tab/>
            </w:r>
            <w:r>
              <w:rPr>
                <w:noProof/>
                <w:webHidden/>
              </w:rPr>
              <w:fldChar w:fldCharType="begin"/>
            </w:r>
            <w:r>
              <w:rPr>
                <w:noProof/>
                <w:webHidden/>
              </w:rPr>
              <w:instrText xml:space="preserve"> PAGEREF _Toc131362502 \h </w:instrText>
            </w:r>
            <w:r>
              <w:rPr>
                <w:noProof/>
                <w:webHidden/>
              </w:rPr>
            </w:r>
            <w:r>
              <w:rPr>
                <w:noProof/>
                <w:webHidden/>
              </w:rPr>
              <w:fldChar w:fldCharType="separate"/>
            </w:r>
            <w:r>
              <w:rPr>
                <w:noProof/>
                <w:webHidden/>
              </w:rPr>
              <w:t>8</w:t>
            </w:r>
            <w:r>
              <w:rPr>
                <w:noProof/>
                <w:webHidden/>
              </w:rPr>
              <w:fldChar w:fldCharType="end"/>
            </w:r>
          </w:hyperlink>
        </w:p>
        <w:p w:rsidR="0041558C" w:rsidRDefault="0041558C">
          <w:pPr>
            <w:pStyle w:val="TOC1"/>
            <w:tabs>
              <w:tab w:val="left" w:pos="440"/>
              <w:tab w:val="right" w:leader="dot" w:pos="10456"/>
            </w:tabs>
            <w:rPr>
              <w:rFonts w:eastAsiaTheme="minorEastAsia"/>
              <w:noProof/>
              <w:lang w:eastAsia="en-GB"/>
            </w:rPr>
          </w:pPr>
          <w:hyperlink w:anchor="_Toc131362503" w:history="1">
            <w:r w:rsidRPr="009F7F43">
              <w:rPr>
                <w:rStyle w:val="Hyperlink"/>
                <w:noProof/>
              </w:rPr>
              <w:t>4.</w:t>
            </w:r>
            <w:r>
              <w:rPr>
                <w:rFonts w:eastAsiaTheme="minorEastAsia"/>
                <w:noProof/>
                <w:lang w:eastAsia="en-GB"/>
              </w:rPr>
              <w:tab/>
            </w:r>
            <w:r w:rsidRPr="009F7F43">
              <w:rPr>
                <w:rStyle w:val="Hyperlink"/>
                <w:noProof/>
              </w:rPr>
              <w:t>Considerations</w:t>
            </w:r>
            <w:r>
              <w:rPr>
                <w:noProof/>
                <w:webHidden/>
              </w:rPr>
              <w:tab/>
            </w:r>
            <w:r>
              <w:rPr>
                <w:noProof/>
                <w:webHidden/>
              </w:rPr>
              <w:fldChar w:fldCharType="begin"/>
            </w:r>
            <w:r>
              <w:rPr>
                <w:noProof/>
                <w:webHidden/>
              </w:rPr>
              <w:instrText xml:space="preserve"> PAGEREF _Toc131362503 \h </w:instrText>
            </w:r>
            <w:r>
              <w:rPr>
                <w:noProof/>
                <w:webHidden/>
              </w:rPr>
            </w:r>
            <w:r>
              <w:rPr>
                <w:noProof/>
                <w:webHidden/>
              </w:rPr>
              <w:fldChar w:fldCharType="separate"/>
            </w:r>
            <w:r>
              <w:rPr>
                <w:noProof/>
                <w:webHidden/>
              </w:rPr>
              <w:t>10</w:t>
            </w:r>
            <w:r>
              <w:rPr>
                <w:noProof/>
                <w:webHidden/>
              </w:rPr>
              <w:fldChar w:fldCharType="end"/>
            </w:r>
          </w:hyperlink>
        </w:p>
        <w:p w:rsidR="0041558C" w:rsidRDefault="0041558C">
          <w:pPr>
            <w:pStyle w:val="TOC1"/>
            <w:tabs>
              <w:tab w:val="left" w:pos="440"/>
              <w:tab w:val="right" w:leader="dot" w:pos="10456"/>
            </w:tabs>
            <w:rPr>
              <w:rFonts w:eastAsiaTheme="minorEastAsia"/>
              <w:noProof/>
              <w:lang w:eastAsia="en-GB"/>
            </w:rPr>
          </w:pPr>
          <w:hyperlink w:anchor="_Toc131362504" w:history="1">
            <w:r w:rsidRPr="009F7F43">
              <w:rPr>
                <w:rStyle w:val="Hyperlink"/>
                <w:noProof/>
              </w:rPr>
              <w:t>5.</w:t>
            </w:r>
            <w:r>
              <w:rPr>
                <w:rFonts w:eastAsiaTheme="minorEastAsia"/>
                <w:noProof/>
                <w:lang w:eastAsia="en-GB"/>
              </w:rPr>
              <w:tab/>
            </w:r>
            <w:r w:rsidRPr="009F7F43">
              <w:rPr>
                <w:rStyle w:val="Hyperlink"/>
                <w:noProof/>
              </w:rPr>
              <w:t>Conclusions/Recommendations</w:t>
            </w:r>
            <w:r>
              <w:rPr>
                <w:noProof/>
                <w:webHidden/>
              </w:rPr>
              <w:tab/>
            </w:r>
            <w:r>
              <w:rPr>
                <w:noProof/>
                <w:webHidden/>
              </w:rPr>
              <w:fldChar w:fldCharType="begin"/>
            </w:r>
            <w:r>
              <w:rPr>
                <w:noProof/>
                <w:webHidden/>
              </w:rPr>
              <w:instrText xml:space="preserve"> PAGEREF _Toc131362504 \h </w:instrText>
            </w:r>
            <w:r>
              <w:rPr>
                <w:noProof/>
                <w:webHidden/>
              </w:rPr>
            </w:r>
            <w:r>
              <w:rPr>
                <w:noProof/>
                <w:webHidden/>
              </w:rPr>
              <w:fldChar w:fldCharType="separate"/>
            </w:r>
            <w:r>
              <w:rPr>
                <w:noProof/>
                <w:webHidden/>
              </w:rPr>
              <w:t>11</w:t>
            </w:r>
            <w:r>
              <w:rPr>
                <w:noProof/>
                <w:webHidden/>
              </w:rPr>
              <w:fldChar w:fldCharType="end"/>
            </w:r>
          </w:hyperlink>
        </w:p>
        <w:p w:rsidR="0041558C" w:rsidRDefault="0041558C">
          <w:pPr>
            <w:pStyle w:val="TOC1"/>
            <w:tabs>
              <w:tab w:val="left" w:pos="440"/>
              <w:tab w:val="right" w:leader="dot" w:pos="10456"/>
            </w:tabs>
            <w:rPr>
              <w:rFonts w:eastAsiaTheme="minorEastAsia"/>
              <w:noProof/>
              <w:lang w:eastAsia="en-GB"/>
            </w:rPr>
          </w:pPr>
          <w:hyperlink w:anchor="_Toc131362505" w:history="1">
            <w:r w:rsidRPr="009F7F43">
              <w:rPr>
                <w:rStyle w:val="Hyperlink"/>
                <w:noProof/>
              </w:rPr>
              <w:t>6.</w:t>
            </w:r>
            <w:r>
              <w:rPr>
                <w:rFonts w:eastAsiaTheme="minorEastAsia"/>
                <w:noProof/>
                <w:lang w:eastAsia="en-GB"/>
              </w:rPr>
              <w:tab/>
            </w:r>
            <w:r w:rsidRPr="009F7F43">
              <w:rPr>
                <w:rStyle w:val="Hyperlink"/>
                <w:noProof/>
              </w:rPr>
              <w:t>References</w:t>
            </w:r>
            <w:r>
              <w:rPr>
                <w:noProof/>
                <w:webHidden/>
              </w:rPr>
              <w:tab/>
            </w:r>
            <w:r>
              <w:rPr>
                <w:noProof/>
                <w:webHidden/>
              </w:rPr>
              <w:fldChar w:fldCharType="begin"/>
            </w:r>
            <w:r>
              <w:rPr>
                <w:noProof/>
                <w:webHidden/>
              </w:rPr>
              <w:instrText xml:space="preserve"> PAGEREF _Toc131362505 \h </w:instrText>
            </w:r>
            <w:r>
              <w:rPr>
                <w:noProof/>
                <w:webHidden/>
              </w:rPr>
            </w:r>
            <w:r>
              <w:rPr>
                <w:noProof/>
                <w:webHidden/>
              </w:rPr>
              <w:fldChar w:fldCharType="separate"/>
            </w:r>
            <w:r>
              <w:rPr>
                <w:noProof/>
                <w:webHidden/>
              </w:rPr>
              <w:t>12</w:t>
            </w:r>
            <w:r>
              <w:rPr>
                <w:noProof/>
                <w:webHidden/>
              </w:rPr>
              <w:fldChar w:fldCharType="end"/>
            </w:r>
          </w:hyperlink>
        </w:p>
        <w:p w:rsidR="0041558C" w:rsidRDefault="0041558C">
          <w:pPr>
            <w:pStyle w:val="TOC1"/>
            <w:tabs>
              <w:tab w:val="left" w:pos="440"/>
              <w:tab w:val="right" w:leader="dot" w:pos="10456"/>
            </w:tabs>
            <w:rPr>
              <w:rFonts w:eastAsiaTheme="minorEastAsia"/>
              <w:noProof/>
              <w:lang w:eastAsia="en-GB"/>
            </w:rPr>
          </w:pPr>
          <w:hyperlink w:anchor="_Toc131362506" w:history="1">
            <w:r w:rsidRPr="009F7F43">
              <w:rPr>
                <w:rStyle w:val="Hyperlink"/>
                <w:noProof/>
              </w:rPr>
              <w:t>7.</w:t>
            </w:r>
            <w:r>
              <w:rPr>
                <w:rFonts w:eastAsiaTheme="minorEastAsia"/>
                <w:noProof/>
                <w:lang w:eastAsia="en-GB"/>
              </w:rPr>
              <w:tab/>
            </w:r>
            <w:r w:rsidRPr="009F7F43">
              <w:rPr>
                <w:rStyle w:val="Hyperlink"/>
                <w:noProof/>
              </w:rPr>
              <w:t>Appendix</w:t>
            </w:r>
            <w:r>
              <w:rPr>
                <w:noProof/>
                <w:webHidden/>
              </w:rPr>
              <w:tab/>
            </w:r>
            <w:r>
              <w:rPr>
                <w:noProof/>
                <w:webHidden/>
              </w:rPr>
              <w:fldChar w:fldCharType="begin"/>
            </w:r>
            <w:r>
              <w:rPr>
                <w:noProof/>
                <w:webHidden/>
              </w:rPr>
              <w:instrText xml:space="preserve"> PAGEREF _Toc131362506 \h </w:instrText>
            </w:r>
            <w:r>
              <w:rPr>
                <w:noProof/>
                <w:webHidden/>
              </w:rPr>
            </w:r>
            <w:r>
              <w:rPr>
                <w:noProof/>
                <w:webHidden/>
              </w:rPr>
              <w:fldChar w:fldCharType="separate"/>
            </w:r>
            <w:r>
              <w:rPr>
                <w:noProof/>
                <w:webHidden/>
              </w:rPr>
              <w:t>13</w:t>
            </w:r>
            <w:r>
              <w:rPr>
                <w:noProof/>
                <w:webHidden/>
              </w:rPr>
              <w:fldChar w:fldCharType="end"/>
            </w:r>
          </w:hyperlink>
        </w:p>
        <w:p w:rsidR="00E62D49" w:rsidRDefault="00E62D49">
          <w:r>
            <w:rPr>
              <w:b/>
              <w:bCs/>
              <w:noProof/>
            </w:rPr>
            <w:fldChar w:fldCharType="end"/>
          </w:r>
        </w:p>
      </w:sdtContent>
    </w:sdt>
    <w:p w:rsidR="00E62D49" w:rsidRDefault="00E62D49">
      <w:r>
        <w:br w:type="page"/>
      </w:r>
    </w:p>
    <w:p w:rsidR="00151962" w:rsidRDefault="00151962" w:rsidP="00151962">
      <w:pPr>
        <w:pStyle w:val="Heading1"/>
      </w:pPr>
      <w:bookmarkStart w:id="2" w:name="_Toc131362499"/>
      <w:r>
        <w:lastRenderedPageBreak/>
        <w:t>List of Figures</w:t>
      </w:r>
      <w:bookmarkEnd w:id="2"/>
    </w:p>
    <w:p w:rsidR="00440E97" w:rsidRPr="00440E97" w:rsidRDefault="00440E97" w:rsidP="00440E97"/>
    <w:p w:rsidR="00CB3E6D" w:rsidRDefault="00E62D49" w:rsidP="00CB3E6D">
      <w:pPr>
        <w:pStyle w:val="TableofFigures"/>
        <w:tabs>
          <w:tab w:val="right" w:leader="dot" w:pos="10456"/>
        </w:tabs>
        <w:spacing w:line="360" w:lineRule="auto"/>
        <w:rPr>
          <w:rFonts w:eastAsiaTheme="minorEastAsia"/>
          <w:noProof/>
          <w:lang w:eastAsia="en-GB"/>
        </w:rPr>
      </w:pPr>
      <w:r>
        <w:fldChar w:fldCharType="begin"/>
      </w:r>
      <w:r>
        <w:instrText xml:space="preserve"> TOC \h \z \c "Figure" </w:instrText>
      </w:r>
      <w:r>
        <w:fldChar w:fldCharType="separate"/>
      </w:r>
      <w:hyperlink w:anchor="_Toc131363398" w:history="1">
        <w:r w:rsidR="00CB3E6D" w:rsidRPr="00B56EFF">
          <w:rPr>
            <w:rStyle w:val="Hyperlink"/>
            <w:noProof/>
          </w:rPr>
          <w:t>Figure 1: Example of SGB catalogue products</w:t>
        </w:r>
        <w:r w:rsidR="00CB3E6D">
          <w:rPr>
            <w:noProof/>
            <w:webHidden/>
          </w:rPr>
          <w:tab/>
        </w:r>
        <w:r w:rsidR="00CB3E6D">
          <w:rPr>
            <w:noProof/>
            <w:webHidden/>
          </w:rPr>
          <w:fldChar w:fldCharType="begin"/>
        </w:r>
        <w:r w:rsidR="00CB3E6D">
          <w:rPr>
            <w:noProof/>
            <w:webHidden/>
          </w:rPr>
          <w:instrText xml:space="preserve"> PAGEREF _Toc131363398 \h </w:instrText>
        </w:r>
        <w:r w:rsidR="00CB3E6D">
          <w:rPr>
            <w:noProof/>
            <w:webHidden/>
          </w:rPr>
        </w:r>
        <w:r w:rsidR="00CB3E6D">
          <w:rPr>
            <w:noProof/>
            <w:webHidden/>
          </w:rPr>
          <w:fldChar w:fldCharType="separate"/>
        </w:r>
        <w:r w:rsidR="00CB3E6D">
          <w:rPr>
            <w:noProof/>
            <w:webHidden/>
          </w:rPr>
          <w:t>3</w:t>
        </w:r>
        <w:r w:rsidR="00CB3E6D">
          <w:rPr>
            <w:noProof/>
            <w:webHidden/>
          </w:rPr>
          <w:fldChar w:fldCharType="end"/>
        </w:r>
      </w:hyperlink>
    </w:p>
    <w:p w:rsidR="00CB3E6D" w:rsidRDefault="00CB3E6D" w:rsidP="00CB3E6D">
      <w:pPr>
        <w:pStyle w:val="TableofFigures"/>
        <w:tabs>
          <w:tab w:val="right" w:leader="dot" w:pos="10456"/>
        </w:tabs>
        <w:spacing w:line="360" w:lineRule="auto"/>
        <w:rPr>
          <w:rFonts w:eastAsiaTheme="minorEastAsia"/>
          <w:noProof/>
          <w:lang w:eastAsia="en-GB"/>
        </w:rPr>
      </w:pPr>
      <w:hyperlink w:anchor="_Toc131363399" w:history="1">
        <w:r w:rsidRPr="00B56EFF">
          <w:rPr>
            <w:rStyle w:val="Hyperlink"/>
            <w:noProof/>
          </w:rPr>
          <w:t>Figure 2: SGB Gravograph Laser Etcher LS100</w:t>
        </w:r>
        <w:r>
          <w:rPr>
            <w:noProof/>
            <w:webHidden/>
          </w:rPr>
          <w:tab/>
        </w:r>
        <w:r>
          <w:rPr>
            <w:noProof/>
            <w:webHidden/>
          </w:rPr>
          <w:fldChar w:fldCharType="begin"/>
        </w:r>
        <w:r>
          <w:rPr>
            <w:noProof/>
            <w:webHidden/>
          </w:rPr>
          <w:instrText xml:space="preserve"> PAGEREF _Toc131363399 \h </w:instrText>
        </w:r>
        <w:r>
          <w:rPr>
            <w:noProof/>
            <w:webHidden/>
          </w:rPr>
        </w:r>
        <w:r>
          <w:rPr>
            <w:noProof/>
            <w:webHidden/>
          </w:rPr>
          <w:fldChar w:fldCharType="separate"/>
        </w:r>
        <w:r>
          <w:rPr>
            <w:noProof/>
            <w:webHidden/>
          </w:rPr>
          <w:t>4</w:t>
        </w:r>
        <w:r>
          <w:rPr>
            <w:noProof/>
            <w:webHidden/>
          </w:rPr>
          <w:fldChar w:fldCharType="end"/>
        </w:r>
      </w:hyperlink>
    </w:p>
    <w:p w:rsidR="00CB3E6D" w:rsidRDefault="00CB3E6D" w:rsidP="00CB3E6D">
      <w:pPr>
        <w:pStyle w:val="TableofFigures"/>
        <w:tabs>
          <w:tab w:val="right" w:leader="dot" w:pos="10456"/>
        </w:tabs>
        <w:spacing w:line="360" w:lineRule="auto"/>
        <w:rPr>
          <w:rFonts w:eastAsiaTheme="minorEastAsia"/>
          <w:noProof/>
          <w:lang w:eastAsia="en-GB"/>
        </w:rPr>
      </w:pPr>
      <w:hyperlink w:anchor="_Toc131363400" w:history="1">
        <w:r w:rsidRPr="00B56EFF">
          <w:rPr>
            <w:rStyle w:val="Hyperlink"/>
            <w:noProof/>
          </w:rPr>
          <w:t>Figure 3: Gravograph data plate templates before being populated by the Excel spreadsheet</w:t>
        </w:r>
        <w:r>
          <w:rPr>
            <w:noProof/>
            <w:webHidden/>
          </w:rPr>
          <w:tab/>
        </w:r>
        <w:r>
          <w:rPr>
            <w:noProof/>
            <w:webHidden/>
          </w:rPr>
          <w:fldChar w:fldCharType="begin"/>
        </w:r>
        <w:r>
          <w:rPr>
            <w:noProof/>
            <w:webHidden/>
          </w:rPr>
          <w:instrText xml:space="preserve"> PAGEREF _Toc131363400 \h </w:instrText>
        </w:r>
        <w:r>
          <w:rPr>
            <w:noProof/>
            <w:webHidden/>
          </w:rPr>
        </w:r>
        <w:r>
          <w:rPr>
            <w:noProof/>
            <w:webHidden/>
          </w:rPr>
          <w:fldChar w:fldCharType="separate"/>
        </w:r>
        <w:r>
          <w:rPr>
            <w:noProof/>
            <w:webHidden/>
          </w:rPr>
          <w:t>5</w:t>
        </w:r>
        <w:r>
          <w:rPr>
            <w:noProof/>
            <w:webHidden/>
          </w:rPr>
          <w:fldChar w:fldCharType="end"/>
        </w:r>
      </w:hyperlink>
    </w:p>
    <w:p w:rsidR="00CB3E6D" w:rsidRDefault="00CB3E6D" w:rsidP="00CB3E6D">
      <w:pPr>
        <w:pStyle w:val="TableofFigures"/>
        <w:tabs>
          <w:tab w:val="right" w:leader="dot" w:pos="10456"/>
        </w:tabs>
        <w:spacing w:line="360" w:lineRule="auto"/>
        <w:rPr>
          <w:rFonts w:eastAsiaTheme="minorEastAsia"/>
          <w:noProof/>
          <w:lang w:eastAsia="en-GB"/>
        </w:rPr>
      </w:pPr>
      <w:hyperlink w:anchor="_Toc131363401" w:history="1">
        <w:r w:rsidRPr="00B56EFF">
          <w:rPr>
            <w:rStyle w:val="Hyperlink"/>
            <w:noProof/>
          </w:rPr>
          <w:t>Figure 4: SIPOC of the Data Plate etching process</w:t>
        </w:r>
        <w:r>
          <w:rPr>
            <w:noProof/>
            <w:webHidden/>
          </w:rPr>
          <w:tab/>
        </w:r>
        <w:r>
          <w:rPr>
            <w:noProof/>
            <w:webHidden/>
          </w:rPr>
          <w:fldChar w:fldCharType="begin"/>
        </w:r>
        <w:r>
          <w:rPr>
            <w:noProof/>
            <w:webHidden/>
          </w:rPr>
          <w:instrText xml:space="preserve"> PAGEREF _Toc131363401 \h </w:instrText>
        </w:r>
        <w:r>
          <w:rPr>
            <w:noProof/>
            <w:webHidden/>
          </w:rPr>
        </w:r>
        <w:r>
          <w:rPr>
            <w:noProof/>
            <w:webHidden/>
          </w:rPr>
          <w:fldChar w:fldCharType="separate"/>
        </w:r>
        <w:r>
          <w:rPr>
            <w:noProof/>
            <w:webHidden/>
          </w:rPr>
          <w:t>6</w:t>
        </w:r>
        <w:r>
          <w:rPr>
            <w:noProof/>
            <w:webHidden/>
          </w:rPr>
          <w:fldChar w:fldCharType="end"/>
        </w:r>
      </w:hyperlink>
    </w:p>
    <w:p w:rsidR="00CB3E6D" w:rsidRDefault="00CB3E6D" w:rsidP="00CB3E6D">
      <w:pPr>
        <w:pStyle w:val="TableofFigures"/>
        <w:tabs>
          <w:tab w:val="right" w:leader="dot" w:pos="10456"/>
        </w:tabs>
        <w:spacing w:line="360" w:lineRule="auto"/>
        <w:rPr>
          <w:rFonts w:eastAsiaTheme="minorEastAsia"/>
          <w:noProof/>
          <w:lang w:eastAsia="en-GB"/>
        </w:rPr>
      </w:pPr>
      <w:hyperlink w:anchor="_Toc131363402" w:history="1">
        <w:r w:rsidRPr="00B56EFF">
          <w:rPr>
            <w:rStyle w:val="Hyperlink"/>
            <w:noProof/>
          </w:rPr>
          <w:t>Figure 5: Internal mechanism of the Gravograph etcher with broken sensor visible</w:t>
        </w:r>
        <w:r>
          <w:rPr>
            <w:noProof/>
            <w:webHidden/>
          </w:rPr>
          <w:tab/>
        </w:r>
        <w:r>
          <w:rPr>
            <w:noProof/>
            <w:webHidden/>
          </w:rPr>
          <w:fldChar w:fldCharType="begin"/>
        </w:r>
        <w:r>
          <w:rPr>
            <w:noProof/>
            <w:webHidden/>
          </w:rPr>
          <w:instrText xml:space="preserve"> PAGEREF _Toc131363402 \h </w:instrText>
        </w:r>
        <w:r>
          <w:rPr>
            <w:noProof/>
            <w:webHidden/>
          </w:rPr>
        </w:r>
        <w:r>
          <w:rPr>
            <w:noProof/>
            <w:webHidden/>
          </w:rPr>
          <w:fldChar w:fldCharType="separate"/>
        </w:r>
        <w:r>
          <w:rPr>
            <w:noProof/>
            <w:webHidden/>
          </w:rPr>
          <w:t>8</w:t>
        </w:r>
        <w:r>
          <w:rPr>
            <w:noProof/>
            <w:webHidden/>
          </w:rPr>
          <w:fldChar w:fldCharType="end"/>
        </w:r>
      </w:hyperlink>
    </w:p>
    <w:p w:rsidR="00CB3E6D" w:rsidRDefault="00CB3E6D" w:rsidP="00CB3E6D">
      <w:pPr>
        <w:pStyle w:val="TableofFigures"/>
        <w:tabs>
          <w:tab w:val="right" w:leader="dot" w:pos="10456"/>
        </w:tabs>
        <w:spacing w:line="360" w:lineRule="auto"/>
        <w:rPr>
          <w:rFonts w:eastAsiaTheme="minorEastAsia"/>
          <w:noProof/>
          <w:lang w:eastAsia="en-GB"/>
        </w:rPr>
      </w:pPr>
      <w:hyperlink w:anchor="_Toc131363403" w:history="1">
        <w:r w:rsidRPr="00B56EFF">
          <w:rPr>
            <w:rStyle w:val="Hyperlink"/>
            <w:noProof/>
          </w:rPr>
          <w:t>Figure 6: A heavily contaminated Gravograph laser etching head</w:t>
        </w:r>
        <w:r>
          <w:rPr>
            <w:noProof/>
            <w:webHidden/>
          </w:rPr>
          <w:tab/>
        </w:r>
        <w:r>
          <w:rPr>
            <w:noProof/>
            <w:webHidden/>
          </w:rPr>
          <w:fldChar w:fldCharType="begin"/>
        </w:r>
        <w:r>
          <w:rPr>
            <w:noProof/>
            <w:webHidden/>
          </w:rPr>
          <w:instrText xml:space="preserve"> PAGEREF _Toc131363403 \h </w:instrText>
        </w:r>
        <w:r>
          <w:rPr>
            <w:noProof/>
            <w:webHidden/>
          </w:rPr>
        </w:r>
        <w:r>
          <w:rPr>
            <w:noProof/>
            <w:webHidden/>
          </w:rPr>
          <w:fldChar w:fldCharType="separate"/>
        </w:r>
        <w:r>
          <w:rPr>
            <w:noProof/>
            <w:webHidden/>
          </w:rPr>
          <w:t>10</w:t>
        </w:r>
        <w:r>
          <w:rPr>
            <w:noProof/>
            <w:webHidden/>
          </w:rPr>
          <w:fldChar w:fldCharType="end"/>
        </w:r>
      </w:hyperlink>
    </w:p>
    <w:p w:rsidR="00E62D49" w:rsidRDefault="00E62D49">
      <w:r>
        <w:fldChar w:fldCharType="end"/>
      </w:r>
    </w:p>
    <w:p w:rsidR="00E62D49" w:rsidRDefault="00E62D49">
      <w:r>
        <w:br w:type="page"/>
      </w:r>
    </w:p>
    <w:p w:rsidR="00E62D49" w:rsidRPr="00E62D49" w:rsidRDefault="00E62D49" w:rsidP="00E62D49">
      <w:pPr>
        <w:pStyle w:val="Heading1"/>
        <w:numPr>
          <w:ilvl w:val="3"/>
          <w:numId w:val="1"/>
        </w:numPr>
        <w:ind w:left="709" w:hanging="425"/>
      </w:pPr>
      <w:bookmarkStart w:id="3" w:name="_Toc131362500"/>
      <w:r w:rsidRPr="00E62D49">
        <w:lastRenderedPageBreak/>
        <w:t>Introduction</w:t>
      </w:r>
      <w:bookmarkEnd w:id="3"/>
      <w:r w:rsidRPr="00E62D49">
        <w:t xml:space="preserve"> </w:t>
      </w:r>
    </w:p>
    <w:p w:rsidR="00E62D49" w:rsidRDefault="00E62D49"/>
    <w:p w:rsidR="00C908C0" w:rsidRDefault="00C908C0" w:rsidP="00D4106F">
      <w:pPr>
        <w:jc w:val="both"/>
      </w:pPr>
      <w:r>
        <w:t xml:space="preserve">As manufacturing companies adapt to Industry 4.0 requirements to stay competitive, </w:t>
      </w:r>
      <w:r w:rsidR="00207756">
        <w:t xml:space="preserve">ever-increasing amounts of tasks are being automated </w:t>
      </w:r>
      <w:r w:rsidR="00FF2EBA">
        <w:t>often-using</w:t>
      </w:r>
      <w:r w:rsidR="00207756">
        <w:t xml:space="preserve"> expensive and complex pieces of equipment</w:t>
      </w:r>
      <w:r w:rsidR="00CB3E6D">
        <w:t xml:space="preserve"> (</w:t>
      </w:r>
      <w:r w:rsidR="00CB3E6D" w:rsidRPr="00CB3E6D">
        <w:rPr>
          <w:noProof/>
          <w:szCs w:val="24"/>
        </w:rPr>
        <w:t>Matt, Matt, D. T., Modra</w:t>
      </w:r>
      <w:r w:rsidR="00CB3E6D">
        <w:rPr>
          <w:noProof/>
          <w:szCs w:val="24"/>
        </w:rPr>
        <w:t>́k, V., &amp; Zsifkovits, H., 2021)</w:t>
      </w:r>
      <w:r w:rsidR="00207756">
        <w:t xml:space="preserve">. When a machine fails, the impact to the company can be severe should the production line have to stop until the machine is repaired. </w:t>
      </w:r>
      <w:r w:rsidR="00FF2EBA">
        <w:t xml:space="preserve">The length of time that a machine is shutdown can also be impacted by the availability of spare parts and the lead-time in ordering replacements should insufficient stock be held by the company. To improve the health and longevity of machinery, companies </w:t>
      </w:r>
      <w:r w:rsidR="001513DD">
        <w:t>can introduce or improve their current maintenance activities by scheduling maintenance activities either periodically or a deviation from the normal operational performance of the machine is detected</w:t>
      </w:r>
      <w:r w:rsidR="003142B1">
        <w:t xml:space="preserve"> (</w:t>
      </w:r>
      <w:r w:rsidR="003142B1">
        <w:rPr>
          <w:noProof/>
          <w:szCs w:val="24"/>
        </w:rPr>
        <w:t>Gross., 2002)</w:t>
      </w:r>
      <w:r w:rsidR="001513DD">
        <w:t>. T</w:t>
      </w:r>
      <w:r w:rsidR="000C6BD2">
        <w:t>his report assesses the maintenance approach for a</w:t>
      </w:r>
      <w:r w:rsidR="0054647A">
        <w:t xml:space="preserve"> machine used by Safran Seats Great Britain (SGB) in the manufacture of their products</w:t>
      </w:r>
      <w:r w:rsidR="000C6BD2">
        <w:t xml:space="preserve"> and identifies potential improvements</w:t>
      </w:r>
      <w:r w:rsidR="0054647A">
        <w:t>.</w:t>
      </w:r>
    </w:p>
    <w:p w:rsidR="00C908C0" w:rsidRDefault="00C908C0" w:rsidP="00D4106F">
      <w:pPr>
        <w:jc w:val="both"/>
      </w:pPr>
    </w:p>
    <w:p w:rsidR="002E426E" w:rsidRDefault="002E426E" w:rsidP="00D4106F">
      <w:pPr>
        <w:jc w:val="both"/>
      </w:pPr>
      <w:r>
        <w:t>SGB is part of the larger Safran Group, who specialise in the manufacture of aerospace components for both military and civil</w:t>
      </w:r>
      <w:r w:rsidR="00995388">
        <w:t>ian</w:t>
      </w:r>
      <w:r>
        <w:t xml:space="preserve"> aircraft. SGB’s area of expertise is the manufacture of Business and First Class seating configurations for civil</w:t>
      </w:r>
      <w:r w:rsidR="00995388">
        <w:t>ian</w:t>
      </w:r>
      <w:r>
        <w:t xml:space="preserve"> passenger aircraft. </w:t>
      </w:r>
      <w:r w:rsidR="00995388">
        <w:t xml:space="preserve">SGB offer a range of catalogue products, as well as a bespoke design service across multiple aircraft types and customers from around the world. The catalogue products from SGB are shown in </w:t>
      </w:r>
      <w:r w:rsidR="00995388">
        <w:fldChar w:fldCharType="begin"/>
      </w:r>
      <w:r w:rsidR="00995388">
        <w:instrText xml:space="preserve"> REF _Ref131250270 \h </w:instrText>
      </w:r>
      <w:r w:rsidR="00D4106F">
        <w:instrText xml:space="preserve"> \* MERGEFORMAT </w:instrText>
      </w:r>
      <w:r w:rsidR="00995388">
        <w:fldChar w:fldCharType="separate"/>
      </w:r>
      <w:r w:rsidR="00995388">
        <w:t xml:space="preserve">Figure </w:t>
      </w:r>
      <w:r w:rsidR="00995388">
        <w:rPr>
          <w:noProof/>
        </w:rPr>
        <w:t>1</w:t>
      </w:r>
      <w:r w:rsidR="00995388">
        <w:fldChar w:fldCharType="end"/>
      </w:r>
      <w:r w:rsidR="00995388">
        <w:t>.</w:t>
      </w:r>
    </w:p>
    <w:p w:rsidR="00995388" w:rsidRDefault="00995388"/>
    <w:p w:rsidR="00995388" w:rsidRDefault="00995388" w:rsidP="00995388">
      <w:pPr>
        <w:keepNext/>
      </w:pPr>
      <w:r w:rsidRPr="00995388">
        <w:drawing>
          <wp:inline distT="0" distB="0" distL="0" distR="0" wp14:anchorId="68243996" wp14:editId="11423859">
            <wp:extent cx="6645910" cy="2319655"/>
            <wp:effectExtent l="0" t="0" r="254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645910" cy="2319655"/>
                    </a:xfrm>
                    <a:prstGeom prst="rect">
                      <a:avLst/>
                    </a:prstGeom>
                  </pic:spPr>
                </pic:pic>
              </a:graphicData>
            </a:graphic>
          </wp:inline>
        </w:drawing>
      </w:r>
    </w:p>
    <w:p w:rsidR="00995388" w:rsidRDefault="00995388" w:rsidP="00995388">
      <w:pPr>
        <w:pStyle w:val="Caption"/>
      </w:pPr>
      <w:bookmarkStart w:id="4" w:name="_Ref131250270"/>
      <w:bookmarkStart w:id="5" w:name="_Toc131363398"/>
      <w:r>
        <w:t xml:space="preserve">Figure </w:t>
      </w:r>
      <w:r>
        <w:fldChar w:fldCharType="begin"/>
      </w:r>
      <w:r>
        <w:instrText xml:space="preserve"> SEQ Figure \* ARABIC </w:instrText>
      </w:r>
      <w:r>
        <w:fldChar w:fldCharType="separate"/>
      </w:r>
      <w:r w:rsidR="00CB3E6D">
        <w:rPr>
          <w:noProof/>
        </w:rPr>
        <w:t>1</w:t>
      </w:r>
      <w:r>
        <w:fldChar w:fldCharType="end"/>
      </w:r>
      <w:bookmarkEnd w:id="4"/>
      <w:r>
        <w:t>: Example of SGB catalogue products</w:t>
      </w:r>
      <w:bookmarkEnd w:id="5"/>
    </w:p>
    <w:p w:rsidR="002E426E" w:rsidRDefault="002E426E"/>
    <w:p w:rsidR="000C6BD2" w:rsidRDefault="001445A3" w:rsidP="00D4106F">
      <w:pPr>
        <w:jc w:val="both"/>
      </w:pPr>
      <w:r>
        <w:t xml:space="preserve">The machine that forms the basis of this report is the Gravograph LS100 Laser Etcher, shown in </w:t>
      </w:r>
      <w:r w:rsidR="00D4106F">
        <w:fldChar w:fldCharType="begin"/>
      </w:r>
      <w:r w:rsidR="00D4106F">
        <w:instrText xml:space="preserve"> REF _Ref131330834 \h </w:instrText>
      </w:r>
      <w:r w:rsidR="00D4106F">
        <w:instrText xml:space="preserve"> \* MERGEFORMAT </w:instrText>
      </w:r>
      <w:r w:rsidR="00D4106F">
        <w:fldChar w:fldCharType="separate"/>
      </w:r>
      <w:r w:rsidR="00D4106F">
        <w:t xml:space="preserve">Figure </w:t>
      </w:r>
      <w:r w:rsidR="00D4106F">
        <w:rPr>
          <w:noProof/>
        </w:rPr>
        <w:t>2</w:t>
      </w:r>
      <w:r w:rsidR="00D4106F">
        <w:fldChar w:fldCharType="end"/>
      </w:r>
      <w:r>
        <w:t>. It is used to etch data plates that are attached to a completed product to provide pertinent part information, such as Part Number, Serial Number, weight etc.</w:t>
      </w:r>
      <w:r w:rsidR="00E034A8">
        <w:t xml:space="preserve"> The machine is used at the last stage in the manufacturing process and a product cannot </w:t>
      </w:r>
      <w:r w:rsidR="00D4106F">
        <w:t>be dispatched</w:t>
      </w:r>
      <w:r w:rsidR="00E034A8">
        <w:t xml:space="preserve"> without the data label</w:t>
      </w:r>
      <w:r w:rsidR="00D4106F">
        <w:t>s</w:t>
      </w:r>
      <w:r w:rsidR="00E034A8">
        <w:t xml:space="preserve"> being fitted.</w:t>
      </w:r>
      <w:r w:rsidR="00245AE4">
        <w:t xml:space="preserve"> An example of the data plates produced by the machine is shown in </w:t>
      </w:r>
      <w:r w:rsidR="00245AE4">
        <w:fldChar w:fldCharType="begin"/>
      </w:r>
      <w:r w:rsidR="00245AE4">
        <w:instrText xml:space="preserve"> REF _Ref131331814 \h </w:instrText>
      </w:r>
      <w:r w:rsidR="00245AE4">
        <w:fldChar w:fldCharType="separate"/>
      </w:r>
      <w:r w:rsidR="00245AE4">
        <w:t xml:space="preserve">Appendix </w:t>
      </w:r>
      <w:r w:rsidR="00245AE4">
        <w:rPr>
          <w:noProof/>
        </w:rPr>
        <w:t>1</w:t>
      </w:r>
      <w:r w:rsidR="00245AE4">
        <w:fldChar w:fldCharType="end"/>
      </w:r>
      <w:r w:rsidR="00245AE4">
        <w:t>.</w:t>
      </w:r>
    </w:p>
    <w:p w:rsidR="00D4106F" w:rsidRDefault="00D4106F" w:rsidP="00D4106F">
      <w:pPr>
        <w:keepNext/>
        <w:jc w:val="center"/>
      </w:pPr>
      <w:r w:rsidRPr="00D4106F">
        <w:lastRenderedPageBreak/>
        <w:drawing>
          <wp:inline distT="0" distB="0" distL="0" distR="0" wp14:anchorId="5A50A7CD" wp14:editId="1325D9F2">
            <wp:extent cx="4130040" cy="2790717"/>
            <wp:effectExtent l="0" t="0" r="381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50601" cy="2804610"/>
                    </a:xfrm>
                    <a:prstGeom prst="rect">
                      <a:avLst/>
                    </a:prstGeom>
                  </pic:spPr>
                </pic:pic>
              </a:graphicData>
            </a:graphic>
          </wp:inline>
        </w:drawing>
      </w:r>
    </w:p>
    <w:p w:rsidR="001445A3" w:rsidRDefault="00D4106F" w:rsidP="00D4106F">
      <w:pPr>
        <w:pStyle w:val="Caption"/>
        <w:jc w:val="center"/>
      </w:pPr>
      <w:bookmarkStart w:id="6" w:name="_Ref131330834"/>
      <w:bookmarkStart w:id="7" w:name="_Toc131363399"/>
      <w:r>
        <w:t xml:space="preserve">Figure </w:t>
      </w:r>
      <w:r>
        <w:fldChar w:fldCharType="begin"/>
      </w:r>
      <w:r>
        <w:instrText xml:space="preserve"> SEQ Figure \* ARABIC </w:instrText>
      </w:r>
      <w:r>
        <w:fldChar w:fldCharType="separate"/>
      </w:r>
      <w:r w:rsidR="00CB3E6D">
        <w:rPr>
          <w:noProof/>
        </w:rPr>
        <w:t>2</w:t>
      </w:r>
      <w:r>
        <w:fldChar w:fldCharType="end"/>
      </w:r>
      <w:bookmarkEnd w:id="6"/>
      <w:r>
        <w:t>: SGB Gravograph Laser Etcher LS100</w:t>
      </w:r>
      <w:bookmarkEnd w:id="7"/>
    </w:p>
    <w:p w:rsidR="001445A3" w:rsidRDefault="001445A3"/>
    <w:p w:rsidR="00E62D49" w:rsidRPr="00E62D49" w:rsidRDefault="00E62D49">
      <w:r>
        <w:br w:type="page"/>
      </w:r>
    </w:p>
    <w:p w:rsidR="00E62D49" w:rsidRDefault="00E62D49" w:rsidP="00E62D49">
      <w:pPr>
        <w:pStyle w:val="Heading1"/>
        <w:numPr>
          <w:ilvl w:val="3"/>
          <w:numId w:val="1"/>
        </w:numPr>
        <w:ind w:left="709" w:hanging="425"/>
      </w:pPr>
      <w:bookmarkStart w:id="8" w:name="_Toc131362501"/>
      <w:r>
        <w:lastRenderedPageBreak/>
        <w:t>Current Maintenance Practices</w:t>
      </w:r>
      <w:bookmarkEnd w:id="8"/>
      <w:r>
        <w:t xml:space="preserve"> </w:t>
      </w:r>
    </w:p>
    <w:p w:rsidR="00E62D49" w:rsidRDefault="00E62D49" w:rsidP="00E62D49"/>
    <w:p w:rsidR="00B63CD3" w:rsidRDefault="00B63CD3" w:rsidP="00713E0F">
      <w:pPr>
        <w:jc w:val="both"/>
      </w:pPr>
      <w:r>
        <w:t>The Gravograph machine works by taking data stored in a ‘Serial Numbers and Weight Matrix’ Excel spreadsheet and transposing the data onto data plate templates within the Gravograph software</w:t>
      </w:r>
      <w:r w:rsidR="0041558C">
        <w:t xml:space="preserve"> (</w:t>
      </w:r>
      <w:r w:rsidR="0041558C">
        <w:rPr>
          <w:noProof/>
          <w:szCs w:val="24"/>
        </w:rPr>
        <w:t>Gravotech, 2018a)</w:t>
      </w:r>
      <w:r w:rsidR="00713E0F">
        <w:t xml:space="preserve">, </w:t>
      </w:r>
      <w:r w:rsidR="00713E0F">
        <w:fldChar w:fldCharType="begin"/>
      </w:r>
      <w:r w:rsidR="00713E0F">
        <w:instrText xml:space="preserve"> REF _Ref131333225 \h </w:instrText>
      </w:r>
      <w:r w:rsidR="00713E0F">
        <w:instrText xml:space="preserve"> \* MERGEFORMAT </w:instrText>
      </w:r>
      <w:r w:rsidR="00713E0F">
        <w:fldChar w:fldCharType="separate"/>
      </w:r>
      <w:r w:rsidR="00713E0F">
        <w:t xml:space="preserve">Figure </w:t>
      </w:r>
      <w:r w:rsidR="00713E0F">
        <w:rPr>
          <w:noProof/>
        </w:rPr>
        <w:t>3</w:t>
      </w:r>
      <w:r w:rsidR="00713E0F">
        <w:fldChar w:fldCharType="end"/>
      </w:r>
      <w:r>
        <w:t xml:space="preserve">. The machine then uses a laser to etch the populated template into thin sheets of adhesive backed metal. </w:t>
      </w:r>
      <w:r w:rsidR="001272CD">
        <w:t>Once etched, t</w:t>
      </w:r>
      <w:r>
        <w:t xml:space="preserve">he data plates are then cut out of the material and issued to the operators to install in the correct position </w:t>
      </w:r>
      <w:r w:rsidR="00713E0F">
        <w:t>of the completed product.</w:t>
      </w:r>
    </w:p>
    <w:p w:rsidR="00713E0F" w:rsidRDefault="00713E0F" w:rsidP="00E62D49"/>
    <w:p w:rsidR="00713E0F" w:rsidRDefault="00713E0F" w:rsidP="00713E0F">
      <w:pPr>
        <w:keepNext/>
        <w:jc w:val="center"/>
      </w:pPr>
      <w:r w:rsidRPr="00861134">
        <w:rPr>
          <w:noProof/>
        </w:rPr>
        <w:drawing>
          <wp:inline distT="0" distB="0" distL="0" distR="0" wp14:anchorId="2827E694" wp14:editId="1DC578E9">
            <wp:extent cx="5732145" cy="2559685"/>
            <wp:effectExtent l="0" t="0" r="1905" b="0"/>
            <wp:docPr id="45" name="Picture 7"/>
            <wp:cNvGraphicFramePr/>
            <a:graphic xmlns:a="http://schemas.openxmlformats.org/drawingml/2006/main">
              <a:graphicData uri="http://schemas.openxmlformats.org/drawingml/2006/picture">
                <pic:pic xmlns:pic="http://schemas.openxmlformats.org/drawingml/2006/picture">
                  <pic:nvPicPr>
                    <pic:cNvPr id="8" name="Picture 7"/>
                    <pic:cNvPicPr/>
                  </pic:nvPicPr>
                  <pic:blipFill>
                    <a:blip r:embed="rId11" cstate="print"/>
                    <a:srcRect/>
                    <a:stretch>
                      <a:fillRect/>
                    </a:stretch>
                  </pic:blipFill>
                  <pic:spPr bwMode="auto">
                    <a:xfrm>
                      <a:off x="0" y="0"/>
                      <a:ext cx="5732145" cy="2559685"/>
                    </a:xfrm>
                    <a:prstGeom prst="rect">
                      <a:avLst/>
                    </a:prstGeom>
                    <a:noFill/>
                    <a:ln w="9525">
                      <a:noFill/>
                      <a:miter lim="800000"/>
                      <a:headEnd/>
                      <a:tailEnd/>
                    </a:ln>
                  </pic:spPr>
                </pic:pic>
              </a:graphicData>
            </a:graphic>
          </wp:inline>
        </w:drawing>
      </w:r>
    </w:p>
    <w:p w:rsidR="00713E0F" w:rsidRDefault="00713E0F" w:rsidP="00713E0F">
      <w:pPr>
        <w:pStyle w:val="Caption"/>
        <w:jc w:val="center"/>
      </w:pPr>
      <w:bookmarkStart w:id="9" w:name="_Ref131333225"/>
      <w:bookmarkStart w:id="10" w:name="_Toc131363400"/>
      <w:r>
        <w:t xml:space="preserve">Figure </w:t>
      </w:r>
      <w:r>
        <w:fldChar w:fldCharType="begin"/>
      </w:r>
      <w:r>
        <w:instrText xml:space="preserve"> SEQ Figure \* ARABIC </w:instrText>
      </w:r>
      <w:r>
        <w:fldChar w:fldCharType="separate"/>
      </w:r>
      <w:r w:rsidR="00CB3E6D">
        <w:rPr>
          <w:noProof/>
        </w:rPr>
        <w:t>3</w:t>
      </w:r>
      <w:r>
        <w:fldChar w:fldCharType="end"/>
      </w:r>
      <w:bookmarkEnd w:id="9"/>
      <w:r>
        <w:t>: Gravograph data plate templates before being populated by the Excel spreadsheet</w:t>
      </w:r>
      <w:bookmarkEnd w:id="10"/>
    </w:p>
    <w:p w:rsidR="00B63CD3" w:rsidRDefault="00B63CD3" w:rsidP="00E62D49"/>
    <w:p w:rsidR="00CB3E6D" w:rsidRDefault="00CB3E6D" w:rsidP="00CB3E6D">
      <w:r>
        <w:t xml:space="preserve">A top-level macro view of the process provides clarity of the operations required to complete the process from start to finish, without exploring the individual steps within each operation </w:t>
      </w:r>
      <w:r>
        <w:fldChar w:fldCharType="begin" w:fldLock="1"/>
      </w:r>
      <w:r>
        <w:instrText>ADDIN CSL_CITATION {"citationItems":[{"id":"ITEM-1","itemData":{"ISSN":"17499216","PMID":"30857579","abstract":"Within the business continuity industry, the debate regarding the business impact analysis (BIA) shows no sign of being resolved. Fervent discussions online, at conferences and in businesses around the world continue to promote or dispute its value. This paper does not pretend to resolve that debate but offers a compelling alternative to achieve the outcomes entrusted to the BIA and overcome the challenges in obtaining them. Business disruptions, both from natural occurrences and manmade, are occurring more frequently at the same time as business continues to get more complex. To exacerbate the issue, business continuity practitioners are increasingly expected to do more, and often with fewer resources and in condensed timeframes. The SIPOC tool from Lean and Six Sigma, which considers suppliers, inputs, process, outputs and customers, gives business continuity practitioners a practical alternative. By using the experiences, expertise and tools of other professions in a transdisciplinary approach, it is possible to accomplish the continuity imperatives of the business while adding value to the organisation when resources available to the practitioner are constantly being compressed.","author":[{"dropping-particle":"","family":"Brown","given":"Charlie","non-dropping-particle":"","parse-names":false,"suffix":""}],"container-title":"Journal of business continuity &amp; emergency planning","id":"ITEM-1","issue":"3","issued":{"date-parts":[["2019"]]},"page":"198-210","title":"Why and how to employ the SIPOC model","type":"article-journal","volume":"12"},"uris":["http://www.mendeley.com/documents/?uuid=074001db-b93b-4407-8f58-0e68c681cc33"]}],"mendeley":{"formattedCitation":"(Brown, 2019)","plainTextFormattedCitation":"(Brown, 2019)","previouslyFormattedCitation":"(Brown, 2019)"},"properties":{"noteIndex":0},"schema":"https://github.com/citation-style-language/schema/raw/master/csl-citation.json"}</w:instrText>
      </w:r>
      <w:r>
        <w:fldChar w:fldCharType="separate"/>
      </w:r>
      <w:r w:rsidRPr="00E63DC7">
        <w:rPr>
          <w:noProof/>
        </w:rPr>
        <w:t>(Brown, 2019)</w:t>
      </w:r>
      <w:r>
        <w:fldChar w:fldCharType="end"/>
      </w:r>
      <w:r>
        <w:t xml:space="preserve">. The SIPOC below, </w:t>
      </w:r>
      <w:r>
        <w:fldChar w:fldCharType="begin"/>
      </w:r>
      <w:r>
        <w:instrText xml:space="preserve"> REF _Ref131363371 \h </w:instrText>
      </w:r>
      <w:r>
        <w:fldChar w:fldCharType="separate"/>
      </w:r>
      <w:r>
        <w:t xml:space="preserve">Figure </w:t>
      </w:r>
      <w:r>
        <w:rPr>
          <w:noProof/>
        </w:rPr>
        <w:t>4</w:t>
      </w:r>
      <w:r>
        <w:fldChar w:fldCharType="end"/>
      </w:r>
      <w:r>
        <w:t>, provides this information.</w:t>
      </w:r>
    </w:p>
    <w:p w:rsidR="00CB3E6D" w:rsidRDefault="00CB3E6D" w:rsidP="00CB3E6D"/>
    <w:p w:rsidR="00CB3E6D" w:rsidRDefault="00CB3E6D" w:rsidP="00E62D49"/>
    <w:p w:rsidR="00CB3E6D" w:rsidRDefault="00CB3E6D" w:rsidP="00CB3E6D">
      <w:pPr>
        <w:keepNext/>
        <w:jc w:val="center"/>
      </w:pPr>
      <w:r>
        <w:object w:dxaOrig="13111" w:dyaOrig="108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pt;height:372.55pt" o:ole="">
            <v:imagedata r:id="rId12" o:title=""/>
          </v:shape>
          <o:OLEObject Type="Embed" ProgID="Visio.Drawing.15" ShapeID="_x0000_i1025" DrawAspect="Content" ObjectID="_1741978729" r:id="rId13"/>
        </w:object>
      </w:r>
    </w:p>
    <w:p w:rsidR="00CB3E6D" w:rsidRDefault="00CB3E6D" w:rsidP="00CB3E6D">
      <w:pPr>
        <w:pStyle w:val="Caption"/>
        <w:jc w:val="center"/>
      </w:pPr>
      <w:bookmarkStart w:id="11" w:name="_Ref131363371"/>
      <w:bookmarkStart w:id="12" w:name="_Toc131363401"/>
      <w:r>
        <w:t xml:space="preserve">Figure </w:t>
      </w:r>
      <w:r>
        <w:fldChar w:fldCharType="begin"/>
      </w:r>
      <w:r>
        <w:instrText xml:space="preserve"> SEQ Figure \* ARABIC </w:instrText>
      </w:r>
      <w:r>
        <w:fldChar w:fldCharType="separate"/>
      </w:r>
      <w:r>
        <w:rPr>
          <w:noProof/>
        </w:rPr>
        <w:t>4</w:t>
      </w:r>
      <w:r>
        <w:fldChar w:fldCharType="end"/>
      </w:r>
      <w:bookmarkEnd w:id="11"/>
      <w:r>
        <w:t>: SIPOC of the Data Plate etching process</w:t>
      </w:r>
      <w:bookmarkEnd w:id="12"/>
    </w:p>
    <w:p w:rsidR="00CB3E6D" w:rsidRDefault="00CB3E6D" w:rsidP="006464F7">
      <w:pPr>
        <w:jc w:val="both"/>
      </w:pPr>
    </w:p>
    <w:p w:rsidR="009255D9" w:rsidRDefault="009255D9" w:rsidP="006464F7">
      <w:pPr>
        <w:jc w:val="both"/>
      </w:pPr>
      <w:r>
        <w:t>SGB currently owns two Gravograph machines as manufacturing was spread across two different buildings at opposite ends of the same industrial estate.</w:t>
      </w:r>
      <w:r w:rsidR="00A0189D">
        <w:t xml:space="preserve"> SGB have now relocated all manufacturing into a single building where both machines are used in tandem to support the assembly line demand.</w:t>
      </w:r>
    </w:p>
    <w:p w:rsidR="00A0189D" w:rsidRDefault="00A0189D" w:rsidP="006464F7">
      <w:pPr>
        <w:jc w:val="both"/>
      </w:pPr>
    </w:p>
    <w:p w:rsidR="00C678E7" w:rsidRDefault="00C678E7" w:rsidP="006464F7">
      <w:pPr>
        <w:jc w:val="both"/>
      </w:pPr>
      <w:r>
        <w:t>Although the plant assets</w:t>
      </w:r>
      <w:r w:rsidR="00903829">
        <w:t xml:space="preserve"> at SGB</w:t>
      </w:r>
      <w:r>
        <w:t xml:space="preserve"> would typically be controlled by the ‘Shared Services’ department covering all Safran UK sites, the Gravograph machines exist outside of their control as they were purchased and operated by the Quality department through their budget, rather than the central plant asset budget. This is due to historic decision making under a different company before </w:t>
      </w:r>
      <w:r w:rsidR="006464F7">
        <w:t>its</w:t>
      </w:r>
      <w:r>
        <w:t xml:space="preserve"> acquisition by Safran. As such, there are no overarching processes within the department that mandate a set approach for maintenance based on the machines characteristics</w:t>
      </w:r>
      <w:r w:rsidR="0070371A">
        <w:t>.</w:t>
      </w:r>
    </w:p>
    <w:p w:rsidR="00C678E7" w:rsidRDefault="00C678E7" w:rsidP="006464F7">
      <w:pPr>
        <w:jc w:val="both"/>
      </w:pPr>
    </w:p>
    <w:p w:rsidR="00A0189D" w:rsidRDefault="00A0189D" w:rsidP="006464F7">
      <w:pPr>
        <w:jc w:val="both"/>
      </w:pPr>
      <w:r>
        <w:t xml:space="preserve">Prior to 2020, SGB carried out zero maintenance activities on the Gravograph machine, but relied instead on an annual service by the manufacturer to carry out all cleaning and </w:t>
      </w:r>
      <w:r w:rsidR="00C678E7">
        <w:t>fault identification. This approach could be described as ‘</w:t>
      </w:r>
      <w:r w:rsidR="006464F7">
        <w:t xml:space="preserve">Outsourced </w:t>
      </w:r>
      <w:r w:rsidR="00C678E7">
        <w:t>Maintenance’</w:t>
      </w:r>
      <w:r w:rsidR="006464F7">
        <w:t>, with a ‘Preventative Maintenance’ angle as the machines were i</w:t>
      </w:r>
      <w:r w:rsidR="00903829">
        <w:t>nspected to identify failures</w:t>
      </w:r>
      <w:r w:rsidR="006464F7">
        <w:t xml:space="preserve"> before they occurred. A summary of the maintenance provided by the manufacture is shown in </w:t>
      </w:r>
      <w:r w:rsidR="00440E97">
        <w:fldChar w:fldCharType="begin"/>
      </w:r>
      <w:r w:rsidR="00440E97">
        <w:instrText xml:space="preserve"> REF _Ref131341209 \h </w:instrText>
      </w:r>
      <w:r w:rsidR="00440E97">
        <w:fldChar w:fldCharType="separate"/>
      </w:r>
      <w:r w:rsidR="00440E97">
        <w:t xml:space="preserve">Table </w:t>
      </w:r>
      <w:r w:rsidR="00440E97">
        <w:rPr>
          <w:noProof/>
        </w:rPr>
        <w:t>1</w:t>
      </w:r>
      <w:r w:rsidR="00440E97">
        <w:fldChar w:fldCharType="end"/>
      </w:r>
      <w:r w:rsidR="006464F7">
        <w:t xml:space="preserve">, derived from the inspection sheets in </w:t>
      </w:r>
      <w:r w:rsidR="006464F7">
        <w:fldChar w:fldCharType="begin"/>
      </w:r>
      <w:r w:rsidR="006464F7">
        <w:instrText xml:space="preserve"> REF _Ref131340146 \h </w:instrText>
      </w:r>
      <w:r w:rsidR="006464F7">
        <w:fldChar w:fldCharType="separate"/>
      </w:r>
      <w:r w:rsidR="006464F7">
        <w:t xml:space="preserve">Appendix </w:t>
      </w:r>
      <w:r w:rsidR="006464F7">
        <w:rPr>
          <w:noProof/>
        </w:rPr>
        <w:t>2</w:t>
      </w:r>
      <w:r w:rsidR="006464F7">
        <w:fldChar w:fldCharType="end"/>
      </w:r>
      <w:r w:rsidR="006464F7">
        <w:t>.</w:t>
      </w:r>
    </w:p>
    <w:p w:rsidR="006464F7" w:rsidRDefault="006464F7">
      <w:r>
        <w:br w:type="page"/>
      </w:r>
    </w:p>
    <w:tbl>
      <w:tblPr>
        <w:tblStyle w:val="TableGrid"/>
        <w:tblW w:w="0" w:type="auto"/>
        <w:tblLook w:val="04A0" w:firstRow="1" w:lastRow="0" w:firstColumn="1" w:lastColumn="0" w:noHBand="0" w:noVBand="1"/>
      </w:tblPr>
      <w:tblGrid>
        <w:gridCol w:w="2091"/>
        <w:gridCol w:w="2091"/>
        <w:gridCol w:w="4318"/>
        <w:gridCol w:w="1418"/>
      </w:tblGrid>
      <w:tr w:rsidR="006464F7" w:rsidTr="00440E97">
        <w:tc>
          <w:tcPr>
            <w:tcW w:w="2091" w:type="dxa"/>
            <w:shd w:val="clear" w:color="auto" w:fill="BFBFBF" w:themeFill="background1" w:themeFillShade="BF"/>
          </w:tcPr>
          <w:p w:rsidR="006464F7" w:rsidRDefault="006464F7" w:rsidP="001B316C">
            <w:r>
              <w:lastRenderedPageBreak/>
              <w:t>Year</w:t>
            </w:r>
          </w:p>
        </w:tc>
        <w:tc>
          <w:tcPr>
            <w:tcW w:w="2091" w:type="dxa"/>
            <w:shd w:val="clear" w:color="auto" w:fill="BFBFBF" w:themeFill="background1" w:themeFillShade="BF"/>
          </w:tcPr>
          <w:p w:rsidR="006464F7" w:rsidRDefault="006464F7" w:rsidP="006464F7">
            <w:pPr>
              <w:jc w:val="both"/>
            </w:pPr>
            <w:r>
              <w:t>Machine</w:t>
            </w:r>
          </w:p>
        </w:tc>
        <w:tc>
          <w:tcPr>
            <w:tcW w:w="4318" w:type="dxa"/>
            <w:shd w:val="clear" w:color="auto" w:fill="BFBFBF" w:themeFill="background1" w:themeFillShade="BF"/>
          </w:tcPr>
          <w:p w:rsidR="006464F7" w:rsidRDefault="006464F7" w:rsidP="006464F7">
            <w:pPr>
              <w:jc w:val="both"/>
            </w:pPr>
            <w:r>
              <w:t>Summary of Work</w:t>
            </w:r>
          </w:p>
        </w:tc>
        <w:tc>
          <w:tcPr>
            <w:tcW w:w="1418" w:type="dxa"/>
            <w:shd w:val="clear" w:color="auto" w:fill="BFBFBF" w:themeFill="background1" w:themeFillShade="BF"/>
          </w:tcPr>
          <w:p w:rsidR="006464F7" w:rsidRDefault="006464F7" w:rsidP="006464F7">
            <w:pPr>
              <w:jc w:val="both"/>
            </w:pPr>
            <w:r>
              <w:t>Cost</w:t>
            </w:r>
          </w:p>
        </w:tc>
      </w:tr>
      <w:tr w:rsidR="00E00268" w:rsidTr="006464F7">
        <w:tc>
          <w:tcPr>
            <w:tcW w:w="2091" w:type="dxa"/>
            <w:vMerge w:val="restart"/>
          </w:tcPr>
          <w:p w:rsidR="00E00268" w:rsidRDefault="00E00268" w:rsidP="001B316C">
            <w:r>
              <w:t>2020</w:t>
            </w:r>
          </w:p>
        </w:tc>
        <w:tc>
          <w:tcPr>
            <w:tcW w:w="2091" w:type="dxa"/>
          </w:tcPr>
          <w:p w:rsidR="00E00268" w:rsidRDefault="00E00268" w:rsidP="006464F7">
            <w:pPr>
              <w:jc w:val="both"/>
            </w:pPr>
            <w:r>
              <w:t>81740-18</w:t>
            </w:r>
          </w:p>
        </w:tc>
        <w:tc>
          <w:tcPr>
            <w:tcW w:w="4318" w:type="dxa"/>
          </w:tcPr>
          <w:p w:rsidR="00E00268" w:rsidRDefault="00E00268" w:rsidP="006464F7">
            <w:pPr>
              <w:jc w:val="both"/>
            </w:pPr>
            <w:r>
              <w:t>Service, Clean &amp; Test</w:t>
            </w:r>
          </w:p>
        </w:tc>
        <w:tc>
          <w:tcPr>
            <w:tcW w:w="1418" w:type="dxa"/>
            <w:vMerge w:val="restart"/>
          </w:tcPr>
          <w:p w:rsidR="00E00268" w:rsidRDefault="00E00268" w:rsidP="006464F7">
            <w:pPr>
              <w:jc w:val="both"/>
            </w:pPr>
            <w:r>
              <w:t>£300.00</w:t>
            </w:r>
          </w:p>
        </w:tc>
      </w:tr>
      <w:tr w:rsidR="00E00268" w:rsidTr="006464F7">
        <w:tc>
          <w:tcPr>
            <w:tcW w:w="2091" w:type="dxa"/>
            <w:vMerge/>
          </w:tcPr>
          <w:p w:rsidR="00E00268" w:rsidRDefault="00E00268" w:rsidP="001B316C"/>
        </w:tc>
        <w:tc>
          <w:tcPr>
            <w:tcW w:w="2091" w:type="dxa"/>
          </w:tcPr>
          <w:p w:rsidR="00E00268" w:rsidRDefault="00E00268" w:rsidP="006464F7">
            <w:pPr>
              <w:jc w:val="both"/>
            </w:pPr>
            <w:r>
              <w:t>145507</w:t>
            </w:r>
          </w:p>
        </w:tc>
        <w:tc>
          <w:tcPr>
            <w:tcW w:w="4318" w:type="dxa"/>
          </w:tcPr>
          <w:p w:rsidR="00E00268" w:rsidRDefault="00E00268" w:rsidP="006464F7">
            <w:pPr>
              <w:jc w:val="both"/>
            </w:pPr>
            <w:r>
              <w:t>Service, Clean &amp; Test</w:t>
            </w:r>
          </w:p>
        </w:tc>
        <w:tc>
          <w:tcPr>
            <w:tcW w:w="1418" w:type="dxa"/>
            <w:vMerge/>
          </w:tcPr>
          <w:p w:rsidR="00E00268" w:rsidRDefault="00E00268" w:rsidP="006464F7">
            <w:pPr>
              <w:jc w:val="both"/>
            </w:pPr>
          </w:p>
        </w:tc>
      </w:tr>
      <w:tr w:rsidR="006464F7" w:rsidTr="006464F7">
        <w:tc>
          <w:tcPr>
            <w:tcW w:w="2091" w:type="dxa"/>
          </w:tcPr>
          <w:p w:rsidR="006464F7" w:rsidRDefault="00E00268" w:rsidP="001B316C">
            <w:r>
              <w:t>2019</w:t>
            </w:r>
          </w:p>
        </w:tc>
        <w:tc>
          <w:tcPr>
            <w:tcW w:w="2091" w:type="dxa"/>
          </w:tcPr>
          <w:p w:rsidR="006464F7" w:rsidRDefault="00E00268" w:rsidP="006464F7">
            <w:pPr>
              <w:jc w:val="both"/>
            </w:pPr>
            <w:r>
              <w:t>81740-18</w:t>
            </w:r>
          </w:p>
        </w:tc>
        <w:tc>
          <w:tcPr>
            <w:tcW w:w="4318" w:type="dxa"/>
          </w:tcPr>
          <w:p w:rsidR="006464F7" w:rsidRDefault="00E00268" w:rsidP="006464F7">
            <w:pPr>
              <w:jc w:val="both"/>
            </w:pPr>
            <w:r>
              <w:t>Service, Clean &amp; Sensor Replacement</w:t>
            </w:r>
          </w:p>
        </w:tc>
        <w:tc>
          <w:tcPr>
            <w:tcW w:w="1418" w:type="dxa"/>
          </w:tcPr>
          <w:p w:rsidR="006464F7" w:rsidRDefault="00E00268" w:rsidP="006464F7">
            <w:pPr>
              <w:jc w:val="both"/>
            </w:pPr>
            <w:r>
              <w:t>£549.96</w:t>
            </w:r>
          </w:p>
        </w:tc>
      </w:tr>
      <w:tr w:rsidR="00440E97" w:rsidTr="006464F7">
        <w:tc>
          <w:tcPr>
            <w:tcW w:w="2091" w:type="dxa"/>
            <w:vMerge w:val="restart"/>
          </w:tcPr>
          <w:p w:rsidR="00440E97" w:rsidRDefault="00440E97" w:rsidP="001B316C">
            <w:r>
              <w:t>2018</w:t>
            </w:r>
          </w:p>
        </w:tc>
        <w:tc>
          <w:tcPr>
            <w:tcW w:w="2091" w:type="dxa"/>
            <w:vMerge w:val="restart"/>
          </w:tcPr>
          <w:p w:rsidR="00440E97" w:rsidRDefault="00440E97" w:rsidP="006464F7">
            <w:pPr>
              <w:jc w:val="both"/>
            </w:pPr>
            <w:r>
              <w:t>72535-10</w:t>
            </w:r>
          </w:p>
        </w:tc>
        <w:tc>
          <w:tcPr>
            <w:tcW w:w="4318" w:type="dxa"/>
          </w:tcPr>
          <w:p w:rsidR="00440E97" w:rsidRDefault="00440E97" w:rsidP="006464F7">
            <w:pPr>
              <w:jc w:val="both"/>
            </w:pPr>
            <w:r>
              <w:t>Service, Clean &amp; Test + Lens Cleaning Kit</w:t>
            </w:r>
          </w:p>
        </w:tc>
        <w:tc>
          <w:tcPr>
            <w:tcW w:w="1418" w:type="dxa"/>
          </w:tcPr>
          <w:p w:rsidR="00440E97" w:rsidRDefault="00440E97" w:rsidP="006464F7">
            <w:pPr>
              <w:jc w:val="both"/>
            </w:pPr>
            <w:r>
              <w:t>£509.40</w:t>
            </w:r>
          </w:p>
        </w:tc>
      </w:tr>
      <w:tr w:rsidR="00440E97" w:rsidTr="006464F7">
        <w:tc>
          <w:tcPr>
            <w:tcW w:w="2091" w:type="dxa"/>
            <w:vMerge/>
          </w:tcPr>
          <w:p w:rsidR="00440E97" w:rsidRDefault="00440E97" w:rsidP="001B316C"/>
        </w:tc>
        <w:tc>
          <w:tcPr>
            <w:tcW w:w="2091" w:type="dxa"/>
            <w:vMerge/>
          </w:tcPr>
          <w:p w:rsidR="00440E97" w:rsidRDefault="00440E97" w:rsidP="006464F7">
            <w:pPr>
              <w:jc w:val="both"/>
            </w:pPr>
          </w:p>
        </w:tc>
        <w:tc>
          <w:tcPr>
            <w:tcW w:w="4318" w:type="dxa"/>
          </w:tcPr>
          <w:p w:rsidR="00440E97" w:rsidRDefault="00440E97" w:rsidP="006464F7">
            <w:pPr>
              <w:jc w:val="both"/>
            </w:pPr>
            <w:r>
              <w:t>Replaced Guideway, Motor &amp; Bearing</w:t>
            </w:r>
          </w:p>
        </w:tc>
        <w:tc>
          <w:tcPr>
            <w:tcW w:w="1418" w:type="dxa"/>
          </w:tcPr>
          <w:p w:rsidR="00440E97" w:rsidRDefault="00440E97" w:rsidP="006464F7">
            <w:pPr>
              <w:jc w:val="both"/>
            </w:pPr>
            <w:r>
              <w:t>£1228.56</w:t>
            </w:r>
          </w:p>
        </w:tc>
      </w:tr>
      <w:tr w:rsidR="00440E97" w:rsidTr="006464F7">
        <w:tc>
          <w:tcPr>
            <w:tcW w:w="2091" w:type="dxa"/>
            <w:vMerge/>
          </w:tcPr>
          <w:p w:rsidR="00440E97" w:rsidRDefault="00440E97" w:rsidP="001B316C"/>
        </w:tc>
        <w:tc>
          <w:tcPr>
            <w:tcW w:w="2091" w:type="dxa"/>
            <w:vMerge/>
          </w:tcPr>
          <w:p w:rsidR="00440E97" w:rsidRDefault="00440E97" w:rsidP="006464F7">
            <w:pPr>
              <w:jc w:val="both"/>
            </w:pPr>
          </w:p>
        </w:tc>
        <w:tc>
          <w:tcPr>
            <w:tcW w:w="4318" w:type="dxa"/>
          </w:tcPr>
          <w:p w:rsidR="00440E97" w:rsidRDefault="00440E97" w:rsidP="006464F7">
            <w:pPr>
              <w:jc w:val="both"/>
            </w:pPr>
            <w:r>
              <w:t>End of Travel Error investigation</w:t>
            </w:r>
          </w:p>
        </w:tc>
        <w:tc>
          <w:tcPr>
            <w:tcW w:w="1418" w:type="dxa"/>
          </w:tcPr>
          <w:p w:rsidR="00440E97" w:rsidRDefault="00440E97" w:rsidP="006464F7">
            <w:pPr>
              <w:jc w:val="both"/>
            </w:pPr>
            <w:r>
              <w:t>£267.00</w:t>
            </w:r>
          </w:p>
        </w:tc>
      </w:tr>
      <w:tr w:rsidR="00440E97" w:rsidTr="006464F7">
        <w:tc>
          <w:tcPr>
            <w:tcW w:w="2091" w:type="dxa"/>
            <w:vMerge/>
          </w:tcPr>
          <w:p w:rsidR="00440E97" w:rsidRDefault="00440E97" w:rsidP="001B316C"/>
        </w:tc>
        <w:tc>
          <w:tcPr>
            <w:tcW w:w="2091" w:type="dxa"/>
            <w:vMerge w:val="restart"/>
          </w:tcPr>
          <w:p w:rsidR="00440E97" w:rsidRDefault="00440E97" w:rsidP="006464F7">
            <w:pPr>
              <w:jc w:val="both"/>
            </w:pPr>
            <w:r>
              <w:t>81740-18</w:t>
            </w:r>
          </w:p>
        </w:tc>
        <w:tc>
          <w:tcPr>
            <w:tcW w:w="4318" w:type="dxa"/>
          </w:tcPr>
          <w:p w:rsidR="00440E97" w:rsidRDefault="00440E97" w:rsidP="006464F7">
            <w:pPr>
              <w:jc w:val="both"/>
            </w:pPr>
            <w:r>
              <w:t>Service, Clean &amp; Test + USB Board Replaced</w:t>
            </w:r>
          </w:p>
        </w:tc>
        <w:tc>
          <w:tcPr>
            <w:tcW w:w="1418" w:type="dxa"/>
          </w:tcPr>
          <w:p w:rsidR="00440E97" w:rsidRDefault="00440E97" w:rsidP="006464F7">
            <w:pPr>
              <w:jc w:val="both"/>
            </w:pPr>
            <w:r>
              <w:t>£987.19</w:t>
            </w:r>
          </w:p>
        </w:tc>
      </w:tr>
      <w:tr w:rsidR="00440E97" w:rsidTr="006464F7">
        <w:tc>
          <w:tcPr>
            <w:tcW w:w="2091" w:type="dxa"/>
            <w:vMerge/>
          </w:tcPr>
          <w:p w:rsidR="00440E97" w:rsidRDefault="00440E97" w:rsidP="001B316C"/>
        </w:tc>
        <w:tc>
          <w:tcPr>
            <w:tcW w:w="2091" w:type="dxa"/>
            <w:vMerge/>
          </w:tcPr>
          <w:p w:rsidR="00440E97" w:rsidRDefault="00440E97" w:rsidP="006464F7">
            <w:pPr>
              <w:jc w:val="both"/>
            </w:pPr>
          </w:p>
        </w:tc>
        <w:tc>
          <w:tcPr>
            <w:tcW w:w="4318" w:type="dxa"/>
          </w:tcPr>
          <w:p w:rsidR="00440E97" w:rsidRDefault="00440E97" w:rsidP="006464F7">
            <w:pPr>
              <w:jc w:val="both"/>
            </w:pPr>
            <w:r>
              <w:t>Service, Clean &amp; Test + Right side inner casing</w:t>
            </w:r>
          </w:p>
        </w:tc>
        <w:tc>
          <w:tcPr>
            <w:tcW w:w="1418" w:type="dxa"/>
          </w:tcPr>
          <w:p w:rsidR="00440E97" w:rsidRDefault="00440E97" w:rsidP="00440E97">
            <w:pPr>
              <w:keepNext/>
              <w:jc w:val="both"/>
            </w:pPr>
            <w:r>
              <w:t>£478.08</w:t>
            </w:r>
          </w:p>
        </w:tc>
      </w:tr>
    </w:tbl>
    <w:p w:rsidR="006464F7" w:rsidRDefault="00440E97" w:rsidP="00440E97">
      <w:pPr>
        <w:pStyle w:val="Caption"/>
      </w:pPr>
      <w:bookmarkStart w:id="13" w:name="_Ref131341209"/>
      <w:r>
        <w:t xml:space="preserve">Table </w:t>
      </w:r>
      <w:r>
        <w:fldChar w:fldCharType="begin"/>
      </w:r>
      <w:r>
        <w:instrText xml:space="preserve"> SEQ Table \* ARABIC </w:instrText>
      </w:r>
      <w:r>
        <w:fldChar w:fldCharType="separate"/>
      </w:r>
      <w:r>
        <w:rPr>
          <w:noProof/>
        </w:rPr>
        <w:t>1</w:t>
      </w:r>
      <w:r>
        <w:fldChar w:fldCharType="end"/>
      </w:r>
      <w:bookmarkEnd w:id="13"/>
      <w:r>
        <w:t>: Summary of 'Outsourced Maintenance' by Gravograph at SGB</w:t>
      </w:r>
    </w:p>
    <w:p w:rsidR="009255D9" w:rsidRDefault="009255D9" w:rsidP="00E62D49"/>
    <w:p w:rsidR="00440E97" w:rsidRDefault="00440E97" w:rsidP="00440E97">
      <w:pPr>
        <w:jc w:val="both"/>
      </w:pPr>
      <w:r>
        <w:t>The summary shows that SGB spent a total of £4,320.19 over 3 years for maintenance of the two machines. It is worth noting that the equipment failure of Serial Number ‘72535-10’ in 2018 resulted in the purchase of a new machine, as the parts to repair the old machine were no longer obtainable, as the manufacturer had made the model obsolete.</w:t>
      </w:r>
      <w:r w:rsidR="009613C4">
        <w:t xml:space="preserve"> Unfortunately, SGB had not been made aware of this prior to spending £2004.96 on maintenance of the machine that year.</w:t>
      </w:r>
    </w:p>
    <w:p w:rsidR="009613C4" w:rsidRDefault="009613C4" w:rsidP="00440E97">
      <w:pPr>
        <w:jc w:val="both"/>
      </w:pPr>
    </w:p>
    <w:p w:rsidR="009613C4" w:rsidRDefault="009613C4" w:rsidP="00440E97">
      <w:pPr>
        <w:jc w:val="both"/>
      </w:pPr>
      <w:r>
        <w:t>By using the ‘Outsourced Maintenance’ model, SGB benefits by:</w:t>
      </w:r>
    </w:p>
    <w:p w:rsidR="009613C4" w:rsidRDefault="009613C4" w:rsidP="00440E97">
      <w:pPr>
        <w:jc w:val="both"/>
      </w:pPr>
    </w:p>
    <w:p w:rsidR="009613C4" w:rsidRDefault="009613C4" w:rsidP="009613C4">
      <w:pPr>
        <w:pStyle w:val="ListParagraph"/>
        <w:numPr>
          <w:ilvl w:val="0"/>
          <w:numId w:val="5"/>
        </w:numPr>
        <w:jc w:val="both"/>
      </w:pPr>
      <w:r>
        <w:t>Utilising the manufacturer to provide specialist knowledge for servicing and diagnostics</w:t>
      </w:r>
    </w:p>
    <w:p w:rsidR="009613C4" w:rsidRDefault="009613C4" w:rsidP="009613C4">
      <w:pPr>
        <w:pStyle w:val="ListParagraph"/>
        <w:numPr>
          <w:ilvl w:val="0"/>
          <w:numId w:val="5"/>
        </w:numPr>
        <w:jc w:val="both"/>
      </w:pPr>
      <w:r>
        <w:t>Cheaper than training company employees in niche equipment maintenance</w:t>
      </w:r>
    </w:p>
    <w:p w:rsidR="009613C4" w:rsidRDefault="009613C4" w:rsidP="009613C4">
      <w:pPr>
        <w:pStyle w:val="ListParagraph"/>
        <w:numPr>
          <w:ilvl w:val="0"/>
          <w:numId w:val="5"/>
        </w:numPr>
        <w:jc w:val="both"/>
      </w:pPr>
      <w:r>
        <w:t>Allows staff resources to be allocated to activities that provide more value</w:t>
      </w:r>
    </w:p>
    <w:p w:rsidR="009613C4" w:rsidRDefault="009613C4" w:rsidP="009613C4">
      <w:pPr>
        <w:pStyle w:val="ListParagraph"/>
        <w:numPr>
          <w:ilvl w:val="0"/>
          <w:numId w:val="5"/>
        </w:numPr>
        <w:jc w:val="both"/>
      </w:pPr>
      <w:r>
        <w:t>No requirement to carry stock of spare parts</w:t>
      </w:r>
    </w:p>
    <w:p w:rsidR="009613C4" w:rsidRDefault="009613C4" w:rsidP="009613C4">
      <w:pPr>
        <w:jc w:val="both"/>
      </w:pPr>
    </w:p>
    <w:p w:rsidR="009613C4" w:rsidRDefault="009613C4" w:rsidP="009613C4">
      <w:pPr>
        <w:jc w:val="both"/>
      </w:pPr>
      <w:r>
        <w:t xml:space="preserve">Although benefitting from these advantages, there are disadvantages to this approach. SGB must pay Gravograph a ‘callout’ fee for each service, adding £185 to the cost each year. The cost of the service is £225 per machine. </w:t>
      </w:r>
      <w:r w:rsidR="00F854E6">
        <w:t xml:space="preserve">By relying solely on Gravograph for all maintenance, the company would have to pay at least £635 per year for the cleaning of the machines. This is particularly pertinent when the last two services resulted in only a clean, including a service for the machine bought that year. The ‘Visit Reports’, </w:t>
      </w:r>
      <w:r w:rsidR="00F854E6">
        <w:fldChar w:fldCharType="begin"/>
      </w:r>
      <w:r w:rsidR="00F854E6">
        <w:instrText xml:space="preserve"> REF _Ref131340146 \h </w:instrText>
      </w:r>
      <w:r w:rsidR="00F854E6">
        <w:fldChar w:fldCharType="separate"/>
      </w:r>
      <w:r w:rsidR="00F854E6">
        <w:t xml:space="preserve">Appendix </w:t>
      </w:r>
      <w:r w:rsidR="00F854E6">
        <w:rPr>
          <w:noProof/>
        </w:rPr>
        <w:t>2</w:t>
      </w:r>
      <w:r w:rsidR="00F854E6">
        <w:fldChar w:fldCharType="end"/>
      </w:r>
      <w:r w:rsidR="00F854E6">
        <w:t>, repeatedly state that the machines are found in dirty conditions, with advice to clean the machine regularly included.</w:t>
      </w:r>
    </w:p>
    <w:p w:rsidR="00F854E6" w:rsidRDefault="00F854E6" w:rsidP="009613C4">
      <w:pPr>
        <w:jc w:val="both"/>
      </w:pPr>
    </w:p>
    <w:p w:rsidR="00F854E6" w:rsidRDefault="00F854E6" w:rsidP="009613C4">
      <w:pPr>
        <w:jc w:val="both"/>
      </w:pPr>
      <w:r>
        <w:t>Since 2020, SGB has decided to move away from annual servicing of these machines as the previous Vice President of Quality determined that service &amp; maintenance contracts are a wasteful use of resources. As no internal maintenance plan has been devised, the company is now using a ‘Breakdown Maintenance’ approach, where the only interaction is when a machine becomes inoperable</w:t>
      </w:r>
      <w:r w:rsidR="00B84EF9">
        <w:t xml:space="preserve"> (</w:t>
      </w:r>
      <w:r w:rsidR="00B84EF9">
        <w:rPr>
          <w:noProof/>
          <w:szCs w:val="24"/>
        </w:rPr>
        <w:t xml:space="preserve">Christer, &amp; Whitelaw, J., </w:t>
      </w:r>
      <w:r w:rsidR="00B84EF9" w:rsidRPr="00B84EF9">
        <w:rPr>
          <w:noProof/>
          <w:szCs w:val="24"/>
        </w:rPr>
        <w:t>1983).</w:t>
      </w:r>
      <w:r>
        <w:t>.</w:t>
      </w:r>
      <w:r w:rsidR="00C348AB">
        <w:t xml:space="preserve"> This approach is higher risk for the following reasons:</w:t>
      </w:r>
    </w:p>
    <w:p w:rsidR="00C348AB" w:rsidRDefault="00C348AB" w:rsidP="009613C4">
      <w:pPr>
        <w:jc w:val="both"/>
      </w:pPr>
    </w:p>
    <w:p w:rsidR="00C348AB" w:rsidRDefault="00C348AB" w:rsidP="00C348AB">
      <w:pPr>
        <w:pStyle w:val="ListParagraph"/>
        <w:numPr>
          <w:ilvl w:val="0"/>
          <w:numId w:val="6"/>
        </w:numPr>
        <w:jc w:val="both"/>
      </w:pPr>
      <w:r>
        <w:t>SGB hold no stock of spare parts</w:t>
      </w:r>
    </w:p>
    <w:p w:rsidR="00C348AB" w:rsidRDefault="00C348AB" w:rsidP="00C348AB">
      <w:pPr>
        <w:pStyle w:val="ListParagraph"/>
        <w:numPr>
          <w:ilvl w:val="0"/>
          <w:numId w:val="6"/>
        </w:numPr>
        <w:jc w:val="both"/>
      </w:pPr>
      <w:r>
        <w:t>SGB is completely reliant on Gravograph service technician availability</w:t>
      </w:r>
    </w:p>
    <w:p w:rsidR="00C348AB" w:rsidRDefault="00C348AB" w:rsidP="00C348AB">
      <w:pPr>
        <w:pStyle w:val="ListParagraph"/>
        <w:numPr>
          <w:ilvl w:val="0"/>
          <w:numId w:val="6"/>
        </w:numPr>
        <w:jc w:val="both"/>
      </w:pPr>
      <w:r>
        <w:t>No training for SGB staff to carry out repairs is in place</w:t>
      </w:r>
    </w:p>
    <w:p w:rsidR="00C348AB" w:rsidRDefault="00C348AB" w:rsidP="00C348AB">
      <w:pPr>
        <w:jc w:val="both"/>
      </w:pPr>
    </w:p>
    <w:p w:rsidR="00C348AB" w:rsidRDefault="00C348AB" w:rsidP="00C348AB">
      <w:pPr>
        <w:jc w:val="both"/>
      </w:pPr>
      <w:r>
        <w:lastRenderedPageBreak/>
        <w:t xml:space="preserve">Although SGB can somewhat mitigate the risk as it has two of these machines, there is a risk that the production demand can outstrip the supply rate that a single machine can provide. For this approach to be successful, repairs must be initiated on the broken machine as soon as it goes offline or the company is operating with a single point failure. This is currently the case at SGB as one of the Gravograph machines became inoperable in June 2022. SGB decided not to carry out the repair as the business is currently in a downturn in </w:t>
      </w:r>
      <w:r w:rsidR="00DA0EC3">
        <w:t xml:space="preserve">production and the former Vice President of Quality disagreed with the ‘callout’ and service fees charged by Gravograph. The cause of the defect is a broken sensor that detects the height of the bed of the etcher from the laser, which is important to set the laser to the correct power setting and focus the print to ensure a clear, legible finish. The broken part is shown in </w:t>
      </w:r>
      <w:r w:rsidR="00DA0EC3">
        <w:fldChar w:fldCharType="begin"/>
      </w:r>
      <w:r w:rsidR="00DA0EC3">
        <w:instrText xml:space="preserve"> REF _Ref131344471 \h </w:instrText>
      </w:r>
      <w:r w:rsidR="00DA0EC3">
        <w:fldChar w:fldCharType="separate"/>
      </w:r>
      <w:r w:rsidR="00CB3E6D">
        <w:t xml:space="preserve">Figure </w:t>
      </w:r>
      <w:r w:rsidR="00CB3E6D">
        <w:rPr>
          <w:noProof/>
        </w:rPr>
        <w:t>5</w:t>
      </w:r>
      <w:r w:rsidR="00DA0EC3">
        <w:fldChar w:fldCharType="end"/>
      </w:r>
      <w:r w:rsidR="00DA0EC3">
        <w:t>.</w:t>
      </w:r>
    </w:p>
    <w:p w:rsidR="00DA0EC3" w:rsidRDefault="00DA0EC3" w:rsidP="00C348AB">
      <w:pPr>
        <w:jc w:val="both"/>
      </w:pPr>
    </w:p>
    <w:p w:rsidR="00DA0EC3" w:rsidRDefault="00DA0EC3" w:rsidP="00DA0EC3">
      <w:pPr>
        <w:keepNext/>
        <w:jc w:val="center"/>
      </w:pPr>
      <w:r w:rsidRPr="00DA0EC3">
        <w:drawing>
          <wp:inline distT="0" distB="0" distL="0" distR="0" wp14:anchorId="06823B99" wp14:editId="4FA8B54B">
            <wp:extent cx="3733800" cy="2763783"/>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52349" cy="2777513"/>
                    </a:xfrm>
                    <a:prstGeom prst="rect">
                      <a:avLst/>
                    </a:prstGeom>
                  </pic:spPr>
                </pic:pic>
              </a:graphicData>
            </a:graphic>
          </wp:inline>
        </w:drawing>
      </w:r>
    </w:p>
    <w:p w:rsidR="00DA0EC3" w:rsidRDefault="00DA0EC3" w:rsidP="00DA0EC3">
      <w:pPr>
        <w:pStyle w:val="Caption"/>
        <w:jc w:val="center"/>
      </w:pPr>
      <w:bookmarkStart w:id="14" w:name="_Ref131344471"/>
      <w:bookmarkStart w:id="15" w:name="_Toc131363402"/>
      <w:r>
        <w:t xml:space="preserve">Figure </w:t>
      </w:r>
      <w:r>
        <w:fldChar w:fldCharType="begin"/>
      </w:r>
      <w:r>
        <w:instrText xml:space="preserve"> SEQ Figure \* ARABIC </w:instrText>
      </w:r>
      <w:r>
        <w:fldChar w:fldCharType="separate"/>
      </w:r>
      <w:r w:rsidR="00CB3E6D">
        <w:rPr>
          <w:noProof/>
        </w:rPr>
        <w:t>5</w:t>
      </w:r>
      <w:r>
        <w:fldChar w:fldCharType="end"/>
      </w:r>
      <w:bookmarkEnd w:id="14"/>
      <w:r>
        <w:t>: Internal mechanism of the Gravograph etcher with broken sensor visible</w:t>
      </w:r>
      <w:bookmarkEnd w:id="15"/>
    </w:p>
    <w:p w:rsidR="00E62D49" w:rsidRPr="00031823" w:rsidRDefault="00E62D49" w:rsidP="00E62D49">
      <w:pPr>
        <w:spacing w:after="0" w:line="240" w:lineRule="auto"/>
        <w:ind w:left="720"/>
        <w:jc w:val="both"/>
        <w:rPr>
          <w:rFonts w:ascii="Arial" w:hAnsi="Arial" w:cs="Arial"/>
          <w:b/>
          <w:sz w:val="24"/>
          <w:szCs w:val="24"/>
        </w:rPr>
      </w:pPr>
    </w:p>
    <w:p w:rsidR="00E62D49" w:rsidRDefault="00E62D49">
      <w:pPr>
        <w:rPr>
          <w:rFonts w:asciiTheme="majorHAnsi" w:eastAsiaTheme="majorEastAsia" w:hAnsiTheme="majorHAnsi" w:cstheme="majorBidi"/>
          <w:color w:val="2E74B5" w:themeColor="accent1" w:themeShade="BF"/>
          <w:sz w:val="32"/>
          <w:szCs w:val="32"/>
        </w:rPr>
      </w:pPr>
      <w:r>
        <w:br w:type="page"/>
      </w:r>
    </w:p>
    <w:p w:rsidR="00E62D49" w:rsidRDefault="00E62D49" w:rsidP="00E62D49">
      <w:pPr>
        <w:pStyle w:val="Heading1"/>
        <w:numPr>
          <w:ilvl w:val="3"/>
          <w:numId w:val="1"/>
        </w:numPr>
        <w:ind w:left="709" w:hanging="425"/>
      </w:pPr>
      <w:bookmarkStart w:id="16" w:name="_Toc131362502"/>
      <w:r>
        <w:lastRenderedPageBreak/>
        <w:t>Potential Improvements</w:t>
      </w:r>
      <w:bookmarkEnd w:id="16"/>
    </w:p>
    <w:p w:rsidR="00C407A1" w:rsidRDefault="00C407A1" w:rsidP="00C407A1"/>
    <w:p w:rsidR="00C407A1" w:rsidRDefault="00C407A1" w:rsidP="00EE6A0E">
      <w:pPr>
        <w:jc w:val="both"/>
      </w:pPr>
      <w:r>
        <w:t xml:space="preserve">To improve the current approach to maintenance, the asset should be transferred across to the ‘Shared Services’ department so they can manage the asset in line with Safran processes. This will ensure that the staff who are more knowledgeable about the Safran requirements for asset maintenance, with the staff, budget and expertise to carry out the activities can provide this function. </w:t>
      </w:r>
      <w:r w:rsidR="00EE6A0E">
        <w:t>Such an approach</w:t>
      </w:r>
      <w:r>
        <w:t xml:space="preserve"> would help to ensure that the machine is kept in a better condition, whilst releasing Quality Technicians to carry out their roles, rather than dealing with breakdowns.</w:t>
      </w:r>
      <w:r w:rsidR="008E180D">
        <w:t xml:space="preserve"> The ‘Shared Services’ team would also have the potential to carry out repairs themselves, removing the Gravograph ‘callout’ fee and service charges.</w:t>
      </w:r>
      <w:r w:rsidR="00C744E3">
        <w:t xml:space="preserve"> Upon further investigation, the damaged part of the broken Gravograph is an easily replaceable part, with full instructions contained within the Gravograph manual</w:t>
      </w:r>
      <w:r w:rsidR="003142B1">
        <w:t xml:space="preserve"> (</w:t>
      </w:r>
      <w:r w:rsidR="003142B1">
        <w:rPr>
          <w:noProof/>
          <w:szCs w:val="24"/>
        </w:rPr>
        <w:t xml:space="preserve">Gravotech, </w:t>
      </w:r>
      <w:r w:rsidR="003142B1" w:rsidRPr="00740441">
        <w:rPr>
          <w:noProof/>
          <w:szCs w:val="24"/>
        </w:rPr>
        <w:t>2018b)</w:t>
      </w:r>
      <w:r w:rsidR="00C744E3">
        <w:t xml:space="preserve">, </w:t>
      </w:r>
      <w:r w:rsidR="00C744E3">
        <w:fldChar w:fldCharType="begin"/>
      </w:r>
      <w:r w:rsidR="00C744E3">
        <w:instrText xml:space="preserve"> REF _Ref131352732 \h </w:instrText>
      </w:r>
      <w:r w:rsidR="00C744E3">
        <w:fldChar w:fldCharType="separate"/>
      </w:r>
      <w:r w:rsidR="00C744E3">
        <w:t xml:space="preserve">Appendix </w:t>
      </w:r>
      <w:r w:rsidR="00C744E3">
        <w:rPr>
          <w:noProof/>
        </w:rPr>
        <w:t>3</w:t>
      </w:r>
      <w:r w:rsidR="00C744E3">
        <w:fldChar w:fldCharType="end"/>
      </w:r>
      <w:r w:rsidR="00C744E3">
        <w:t>.</w:t>
      </w:r>
    </w:p>
    <w:p w:rsidR="00C407A1" w:rsidRDefault="00C407A1" w:rsidP="00C407A1"/>
    <w:p w:rsidR="002047EA" w:rsidRDefault="00714631" w:rsidP="00EE6A0E">
      <w:pPr>
        <w:jc w:val="both"/>
      </w:pPr>
      <w:r>
        <w:t xml:space="preserve">Although this approach would remove organising and financing repairs, the performance and longevity of the machines can be improved by </w:t>
      </w:r>
      <w:r w:rsidR="002047EA">
        <w:t xml:space="preserve">the users of the machine carrying out general maintenance tasks, such as cleaning. By using the Quality Technicians who carry out the data plate etching to become more involved with maintaining the equipment, they are more likely to look after that asset in a better condition than they currently do. </w:t>
      </w:r>
    </w:p>
    <w:p w:rsidR="00E1048B" w:rsidRDefault="00E1048B" w:rsidP="00EE6A0E">
      <w:pPr>
        <w:jc w:val="both"/>
      </w:pPr>
    </w:p>
    <w:p w:rsidR="00C407A1" w:rsidRDefault="002047EA" w:rsidP="00EE6A0E">
      <w:pPr>
        <w:jc w:val="both"/>
      </w:pPr>
      <w:r>
        <w:t>The Gravograph manual</w:t>
      </w:r>
      <w:r w:rsidR="00A47BD4">
        <w:t xml:space="preserve"> (</w:t>
      </w:r>
      <w:r w:rsidR="00A47BD4">
        <w:rPr>
          <w:noProof/>
          <w:szCs w:val="24"/>
        </w:rPr>
        <w:t xml:space="preserve">Gravotech, </w:t>
      </w:r>
      <w:r w:rsidR="00A47BD4" w:rsidRPr="00740441">
        <w:rPr>
          <w:noProof/>
          <w:szCs w:val="24"/>
        </w:rPr>
        <w:t>2018b)</w:t>
      </w:r>
      <w:r>
        <w:t xml:space="preserve"> indicates that cleaning and inspection is required every 8 hours. The </w:t>
      </w:r>
      <w:r w:rsidR="00E1048B">
        <w:t xml:space="preserve">requirement is a general one as the machine is capable of etching and cutting into multiple different materials and material thicknesses than the standard material used by SGB. As the usage of the machine varies depending on when product is completed, the </w:t>
      </w:r>
      <w:r w:rsidR="00D451F1">
        <w:t>setting of an arbitrary timeframe between maintenance cleaning is redundant. Therefore, the proposal is to move to a ‘Condition Based’ approach to maintenance</w:t>
      </w:r>
      <w:r w:rsidR="006C5F22">
        <w:t xml:space="preserve"> (</w:t>
      </w:r>
      <w:r w:rsidR="006C5F22" w:rsidRPr="00A47BD4">
        <w:rPr>
          <w:noProof/>
          <w:szCs w:val="24"/>
        </w:rPr>
        <w:t>Veldman, K</w:t>
      </w:r>
      <w:r w:rsidR="006C5F22">
        <w:rPr>
          <w:noProof/>
          <w:szCs w:val="24"/>
        </w:rPr>
        <w:t xml:space="preserve">lingenberg, W., &amp; Wortmann, H., </w:t>
      </w:r>
      <w:r w:rsidR="006C5F22" w:rsidRPr="00A47BD4">
        <w:rPr>
          <w:noProof/>
          <w:szCs w:val="24"/>
        </w:rPr>
        <w:t>2011)</w:t>
      </w:r>
      <w:r w:rsidR="00D451F1">
        <w:t>. As the machine becomes dirty, the quality of the print degrades and the text becomes harder to read. Based on conversations with the Quality Technicians, they compensate for this by increasing the power to the laser.</w:t>
      </w:r>
      <w:r w:rsidR="00BD78AD">
        <w:t xml:space="preserve"> This would increase the running costs for the machine and decrease the working life of the machine as it is pushed to its limits.</w:t>
      </w:r>
      <w:r w:rsidR="00D451F1">
        <w:t xml:space="preserve"> The manual for the material indicates that the power required to etch the material is 5-15W</w:t>
      </w:r>
      <w:r w:rsidR="00C744E3">
        <w:t>, so any power above this is unnecessary</w:t>
      </w:r>
      <w:r w:rsidR="00903829">
        <w:t xml:space="preserve"> (</w:t>
      </w:r>
      <w:r w:rsidR="00903829">
        <w:rPr>
          <w:noProof/>
          <w:szCs w:val="24"/>
        </w:rPr>
        <w:t>Alumamark</w:t>
      </w:r>
      <w:r w:rsidR="00903829">
        <w:rPr>
          <w:noProof/>
          <w:szCs w:val="24"/>
        </w:rPr>
        <w:t xml:space="preserve">, </w:t>
      </w:r>
      <w:r w:rsidR="00903829" w:rsidRPr="00740441">
        <w:rPr>
          <w:noProof/>
          <w:szCs w:val="24"/>
        </w:rPr>
        <w:t>201</w:t>
      </w:r>
      <w:r w:rsidR="00903829">
        <w:rPr>
          <w:noProof/>
          <w:szCs w:val="24"/>
        </w:rPr>
        <w:t>3</w:t>
      </w:r>
      <w:r w:rsidR="00903829" w:rsidRPr="00740441">
        <w:rPr>
          <w:noProof/>
          <w:szCs w:val="24"/>
        </w:rPr>
        <w:t>)</w:t>
      </w:r>
      <w:r w:rsidR="00C744E3">
        <w:t>.</w:t>
      </w:r>
    </w:p>
    <w:p w:rsidR="00C744E3" w:rsidRDefault="00C744E3" w:rsidP="00EE6A0E">
      <w:pPr>
        <w:jc w:val="both"/>
      </w:pPr>
    </w:p>
    <w:p w:rsidR="00C744E3" w:rsidRDefault="00C744E3" w:rsidP="00EE6A0E">
      <w:pPr>
        <w:jc w:val="both"/>
      </w:pPr>
      <w:r>
        <w:t xml:space="preserve">Instead, when the quality of the etch degrades, a cleaning cycle should be triggered. This would involve the Quality Technician cleaning the etching debris from the machine. An image of a heavily contaminated bed is shown in </w:t>
      </w:r>
      <w:r>
        <w:fldChar w:fldCharType="begin"/>
      </w:r>
      <w:r>
        <w:instrText xml:space="preserve"> REF _Ref131353042 \h </w:instrText>
      </w:r>
      <w:r>
        <w:fldChar w:fldCharType="separate"/>
      </w:r>
      <w:r>
        <w:t xml:space="preserve">Figure </w:t>
      </w:r>
      <w:r>
        <w:rPr>
          <w:noProof/>
        </w:rPr>
        <w:t>5</w:t>
      </w:r>
      <w:r>
        <w:fldChar w:fldCharType="end"/>
      </w:r>
      <w:r>
        <w:t>.</w:t>
      </w:r>
      <w:r w:rsidR="00F843FC">
        <w:t xml:space="preserve"> At this point, the corrective actions would be:</w:t>
      </w:r>
    </w:p>
    <w:p w:rsidR="00F843FC" w:rsidRDefault="00F843FC" w:rsidP="00EE6A0E">
      <w:pPr>
        <w:jc w:val="both"/>
      </w:pPr>
    </w:p>
    <w:p w:rsidR="00F843FC" w:rsidRDefault="00F843FC" w:rsidP="00F843FC">
      <w:pPr>
        <w:pStyle w:val="ListParagraph"/>
        <w:numPr>
          <w:ilvl w:val="0"/>
          <w:numId w:val="7"/>
        </w:numPr>
        <w:jc w:val="both"/>
      </w:pPr>
      <w:r>
        <w:t>Vacuum the bed of the Gravograph to remove debris</w:t>
      </w:r>
    </w:p>
    <w:p w:rsidR="00F843FC" w:rsidRDefault="00F843FC" w:rsidP="00F843FC">
      <w:pPr>
        <w:pStyle w:val="ListParagraph"/>
        <w:numPr>
          <w:ilvl w:val="0"/>
          <w:numId w:val="7"/>
        </w:numPr>
        <w:jc w:val="both"/>
      </w:pPr>
      <w:r>
        <w:t>Clean the mirrors of the Gravograph to allow the laser to focus the beam correctly on the material and prevent dispersion through the lens</w:t>
      </w:r>
    </w:p>
    <w:p w:rsidR="00F843FC" w:rsidRDefault="00F843FC" w:rsidP="00F843FC">
      <w:pPr>
        <w:pStyle w:val="ListParagraph"/>
        <w:numPr>
          <w:ilvl w:val="0"/>
          <w:numId w:val="7"/>
        </w:numPr>
        <w:jc w:val="both"/>
      </w:pPr>
      <w:r>
        <w:t>Clean the adhesive matt on the bed of the Gravograph with soapy water to remove any debris that reduces the adhesive property of the material and causes it to lift from the bed, changing the focus required from the machine</w:t>
      </w:r>
    </w:p>
    <w:p w:rsidR="00C744E3" w:rsidRDefault="00C744E3" w:rsidP="00EE6A0E">
      <w:pPr>
        <w:jc w:val="both"/>
      </w:pPr>
    </w:p>
    <w:p w:rsidR="00C744E3" w:rsidRDefault="00C744E3" w:rsidP="00C744E3">
      <w:pPr>
        <w:keepNext/>
        <w:jc w:val="center"/>
      </w:pPr>
      <w:r w:rsidRPr="00C744E3">
        <w:lastRenderedPageBreak/>
        <w:drawing>
          <wp:inline distT="0" distB="0" distL="0" distR="0" wp14:anchorId="6A4CE065" wp14:editId="03CFC2FB">
            <wp:extent cx="3402419" cy="2895600"/>
            <wp:effectExtent l="0" t="0" r="762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18453" cy="2909246"/>
                    </a:xfrm>
                    <a:prstGeom prst="rect">
                      <a:avLst/>
                    </a:prstGeom>
                  </pic:spPr>
                </pic:pic>
              </a:graphicData>
            </a:graphic>
          </wp:inline>
        </w:drawing>
      </w:r>
    </w:p>
    <w:p w:rsidR="00C744E3" w:rsidRDefault="00C744E3" w:rsidP="00C744E3">
      <w:pPr>
        <w:pStyle w:val="Caption"/>
        <w:jc w:val="center"/>
      </w:pPr>
      <w:bookmarkStart w:id="17" w:name="_Ref131353042"/>
      <w:bookmarkStart w:id="18" w:name="_Toc131363403"/>
      <w:r>
        <w:t xml:space="preserve">Figure </w:t>
      </w:r>
      <w:r>
        <w:fldChar w:fldCharType="begin"/>
      </w:r>
      <w:r>
        <w:instrText xml:space="preserve"> SEQ Figure \* ARABIC </w:instrText>
      </w:r>
      <w:r>
        <w:fldChar w:fldCharType="separate"/>
      </w:r>
      <w:r w:rsidR="00CB3E6D">
        <w:rPr>
          <w:noProof/>
        </w:rPr>
        <w:t>6</w:t>
      </w:r>
      <w:r>
        <w:fldChar w:fldCharType="end"/>
      </w:r>
      <w:bookmarkEnd w:id="17"/>
      <w:r>
        <w:t>: A heavily contaminated Gravograph laser etching head</w:t>
      </w:r>
      <w:bookmarkEnd w:id="18"/>
    </w:p>
    <w:p w:rsidR="00C407A1" w:rsidRDefault="00C407A1" w:rsidP="00C407A1">
      <w:r>
        <w:t xml:space="preserve"> </w:t>
      </w:r>
    </w:p>
    <w:p w:rsidR="00F843FC" w:rsidRDefault="00F843FC" w:rsidP="00C407A1">
      <w:r>
        <w:t>By adopting this approach, the benefits of the maintenance of the machine are:</w:t>
      </w:r>
    </w:p>
    <w:p w:rsidR="00F843FC" w:rsidRDefault="00F843FC" w:rsidP="00C407A1"/>
    <w:p w:rsidR="00F843FC" w:rsidRDefault="00F843FC" w:rsidP="00F843FC">
      <w:pPr>
        <w:pStyle w:val="ListParagraph"/>
        <w:numPr>
          <w:ilvl w:val="0"/>
          <w:numId w:val="8"/>
        </w:numPr>
      </w:pPr>
      <w:r>
        <w:t>Reduced costs as maintenance is only carried out when required</w:t>
      </w:r>
    </w:p>
    <w:p w:rsidR="00F843FC" w:rsidRDefault="00F843FC" w:rsidP="00F843FC">
      <w:pPr>
        <w:pStyle w:val="ListParagraph"/>
        <w:numPr>
          <w:ilvl w:val="0"/>
          <w:numId w:val="8"/>
        </w:numPr>
      </w:pPr>
      <w:r>
        <w:t>Reduced operating costs as the power of the laser remains at the optimum value</w:t>
      </w:r>
    </w:p>
    <w:p w:rsidR="00F843FC" w:rsidRDefault="00F843FC" w:rsidP="00F843FC">
      <w:pPr>
        <w:pStyle w:val="ListParagraph"/>
        <w:numPr>
          <w:ilvl w:val="0"/>
          <w:numId w:val="8"/>
        </w:numPr>
      </w:pPr>
      <w:r>
        <w:t>Quality Technicians are best placed to understand when the machine requires cleaning</w:t>
      </w:r>
    </w:p>
    <w:p w:rsidR="00F843FC" w:rsidRPr="00C407A1" w:rsidRDefault="00F843FC" w:rsidP="00F843FC">
      <w:pPr>
        <w:pStyle w:val="ListParagraph"/>
        <w:numPr>
          <w:ilvl w:val="0"/>
          <w:numId w:val="8"/>
        </w:numPr>
      </w:pPr>
      <w:r>
        <w:t>Prevents the ‘Shared Services’ team spending time on activities Quality Technicians can do themselves, allowing them to focus on more skilled tasks carried out by the maintenance team</w:t>
      </w:r>
    </w:p>
    <w:p w:rsidR="00E62D49" w:rsidRDefault="00E62D49">
      <w:pPr>
        <w:rPr>
          <w:rFonts w:asciiTheme="majorHAnsi" w:eastAsiaTheme="majorEastAsia" w:hAnsiTheme="majorHAnsi" w:cstheme="majorBidi"/>
          <w:color w:val="2E74B5" w:themeColor="accent1" w:themeShade="BF"/>
          <w:sz w:val="32"/>
          <w:szCs w:val="32"/>
        </w:rPr>
      </w:pPr>
      <w:r>
        <w:br w:type="page"/>
      </w:r>
    </w:p>
    <w:p w:rsidR="00E62D49" w:rsidRDefault="00E62D49" w:rsidP="00E62D49">
      <w:pPr>
        <w:pStyle w:val="Heading1"/>
        <w:numPr>
          <w:ilvl w:val="3"/>
          <w:numId w:val="1"/>
        </w:numPr>
        <w:ind w:left="709" w:hanging="425"/>
      </w:pPr>
      <w:bookmarkStart w:id="19" w:name="_Toc131362503"/>
      <w:r>
        <w:lastRenderedPageBreak/>
        <w:t>Considerations</w:t>
      </w:r>
      <w:bookmarkEnd w:id="19"/>
    </w:p>
    <w:p w:rsidR="00675CB6" w:rsidRDefault="00675CB6" w:rsidP="00675CB6"/>
    <w:p w:rsidR="00675CB6" w:rsidRDefault="00680336" w:rsidP="00680336">
      <w:pPr>
        <w:jc w:val="both"/>
      </w:pPr>
      <w:r>
        <w:t>To implement the proposed changes, the ‘Shared Services’ department would have to ensure that they have sufficient capacity to manage the maintenance of the Gravograph machine. Using the Quality Technicians to support the day-to-day running of the machine should mean that the only time that ‘Shared Services’ are required is for an annual check and to cover breakdowns. To help support the handover, the machines should be repaired to a working state. To achieve this, a replacement Z-Axis Lead Screw is required at a cost of £109.30. The Quality department in accordance with the manual can then replace the part. T</w:t>
      </w:r>
      <w:r w:rsidR="00BB23B5">
        <w:t>o facilitate an effective handover, the Quality department should provide a workshop/presentation on the machine and how it works. Once the annual savings of £635 have been confirmed by the finance department, the management team should support the transfer. A formal handover of the machine should then take place, including all manuals, documentation and Gravograph contacts. To help smooth the transition, a video call would be arranged between all parties to introduce the departments to each other.</w:t>
      </w:r>
    </w:p>
    <w:p w:rsidR="00BB23B5" w:rsidRDefault="00BB23B5" w:rsidP="00680336">
      <w:pPr>
        <w:jc w:val="both"/>
      </w:pPr>
    </w:p>
    <w:p w:rsidR="00BB23B5" w:rsidRDefault="00BB23B5" w:rsidP="00680336">
      <w:pPr>
        <w:jc w:val="both"/>
      </w:pPr>
      <w:r>
        <w:t xml:space="preserve">For the Quality department, the only additional demand would be an hour of cleaning the machine once a noticeable degradation in etching quality has occurred. To support this activity, a Work Instruction (WI) should be created for each of the maintenance steps required to clean the machine. This is essential to ensure safe working on the machine by isolating any potential hazards to providing the Personal Protective Equipment (PPE) required to carry out the job safely. </w:t>
      </w:r>
      <w:r w:rsidR="00CB203A">
        <w:t xml:space="preserve">With the WI in place, full training should be given to all persons expected to undertake the Gravograph cleaning including the completion of a maintenance log to understand how frequently cleaning occurs. Accurate records would allow the team to understand the effects that changes in the settings or frequency of use have on the frequency of the cleaning activities. </w:t>
      </w:r>
    </w:p>
    <w:p w:rsidR="00CB203A" w:rsidRDefault="00CB203A" w:rsidP="00680336">
      <w:pPr>
        <w:jc w:val="both"/>
      </w:pPr>
    </w:p>
    <w:p w:rsidR="00CB203A" w:rsidRDefault="00CB203A" w:rsidP="00680336">
      <w:pPr>
        <w:jc w:val="both"/>
      </w:pPr>
      <w:r>
        <w:t>To support the cleaning activities, a Gravograph cleaning kit would need to be purchased each year. The cost of the cleaning kit is £16.50.</w:t>
      </w:r>
      <w:r w:rsidR="003818ED">
        <w:t xml:space="preserve"> Therefore, the annual saving to the business after costs is £618.50.</w:t>
      </w:r>
    </w:p>
    <w:p w:rsidR="00BB23B5" w:rsidRDefault="00BB23B5" w:rsidP="00680336">
      <w:pPr>
        <w:jc w:val="both"/>
      </w:pPr>
    </w:p>
    <w:p w:rsidR="00BB23B5" w:rsidRDefault="00BB23B5" w:rsidP="00680336">
      <w:pPr>
        <w:jc w:val="both"/>
      </w:pPr>
    </w:p>
    <w:p w:rsidR="00675CB6" w:rsidRDefault="00675CB6" w:rsidP="00675CB6"/>
    <w:p w:rsidR="00675CB6" w:rsidRPr="00675CB6" w:rsidRDefault="00675CB6" w:rsidP="00675CB6"/>
    <w:p w:rsidR="00E62D49" w:rsidRDefault="00E62D49">
      <w:pPr>
        <w:rPr>
          <w:rFonts w:asciiTheme="majorHAnsi" w:eastAsiaTheme="majorEastAsia" w:hAnsiTheme="majorHAnsi" w:cstheme="majorBidi"/>
          <w:color w:val="2E74B5" w:themeColor="accent1" w:themeShade="BF"/>
          <w:sz w:val="32"/>
          <w:szCs w:val="32"/>
        </w:rPr>
      </w:pPr>
      <w:r>
        <w:br w:type="page"/>
      </w:r>
    </w:p>
    <w:p w:rsidR="00E62D49" w:rsidRDefault="00E62D49" w:rsidP="00E62D49">
      <w:pPr>
        <w:pStyle w:val="Heading1"/>
        <w:numPr>
          <w:ilvl w:val="3"/>
          <w:numId w:val="1"/>
        </w:numPr>
        <w:ind w:left="709" w:hanging="425"/>
      </w:pPr>
      <w:bookmarkStart w:id="20" w:name="_Toc131362504"/>
      <w:r>
        <w:lastRenderedPageBreak/>
        <w:t>Conclusions/Recommendations</w:t>
      </w:r>
      <w:bookmarkEnd w:id="20"/>
    </w:p>
    <w:p w:rsidR="00CB203A" w:rsidRDefault="00CB203A" w:rsidP="00CB203A"/>
    <w:p w:rsidR="00CB203A" w:rsidRDefault="00CB203A" w:rsidP="003818ED">
      <w:pPr>
        <w:jc w:val="both"/>
      </w:pPr>
      <w:r>
        <w:t xml:space="preserve">This report finds that the ‘Breakdown’ maintenance approach to the Gravograph machines is high risk. Without a robust ‘Condition Based’ maintenance approach and an understanding that there is an urgency to repair the machine as soon as it breaks, SGB could be subjected to a production stop scenario. As the </w:t>
      </w:r>
      <w:r w:rsidR="003818ED">
        <w:t>products SGB create are low batch, often-bespoke deliveries, they have very different shipping requirements and a comparison in shipping costs is not possible. If there is a delay in shipping the product, this could lead to a missed delivery slot, incurring additional costs, especially if the mode of transport changes from shipping by sea to airfreight. There is also the prospect of fines from the customer for late delivery.</w:t>
      </w:r>
    </w:p>
    <w:p w:rsidR="003818ED" w:rsidRDefault="003818ED" w:rsidP="003818ED">
      <w:pPr>
        <w:jc w:val="both"/>
      </w:pPr>
    </w:p>
    <w:p w:rsidR="003818ED" w:rsidRDefault="003818ED" w:rsidP="003818ED">
      <w:pPr>
        <w:jc w:val="both"/>
      </w:pPr>
      <w:r>
        <w:t>To implement a more effective approach, the following actions are required:</w:t>
      </w:r>
    </w:p>
    <w:p w:rsidR="003818ED" w:rsidRDefault="003818ED" w:rsidP="003818ED">
      <w:pPr>
        <w:jc w:val="both"/>
      </w:pPr>
    </w:p>
    <w:p w:rsidR="003818ED" w:rsidRDefault="003818ED" w:rsidP="003818ED">
      <w:pPr>
        <w:pStyle w:val="ListParagraph"/>
        <w:numPr>
          <w:ilvl w:val="0"/>
          <w:numId w:val="9"/>
        </w:numPr>
        <w:jc w:val="both"/>
      </w:pPr>
      <w:r>
        <w:t>Short term</w:t>
      </w:r>
    </w:p>
    <w:p w:rsidR="003818ED" w:rsidRDefault="003818ED" w:rsidP="003818ED">
      <w:pPr>
        <w:pStyle w:val="ListParagraph"/>
        <w:numPr>
          <w:ilvl w:val="1"/>
          <w:numId w:val="9"/>
        </w:numPr>
        <w:jc w:val="both"/>
      </w:pPr>
      <w:r>
        <w:t>Order of the Z-Axis Lead Screw is required at a cost of £109.30</w:t>
      </w:r>
    </w:p>
    <w:p w:rsidR="003818ED" w:rsidRDefault="003818ED" w:rsidP="003818ED">
      <w:pPr>
        <w:pStyle w:val="ListParagraph"/>
        <w:numPr>
          <w:ilvl w:val="1"/>
          <w:numId w:val="9"/>
        </w:numPr>
        <w:jc w:val="both"/>
      </w:pPr>
      <w:r>
        <w:t>Replacement in accordance with the Gravograph manual to remove single point failure</w:t>
      </w:r>
    </w:p>
    <w:p w:rsidR="003818ED" w:rsidRDefault="003818ED" w:rsidP="003818ED">
      <w:pPr>
        <w:pStyle w:val="ListParagraph"/>
        <w:numPr>
          <w:ilvl w:val="0"/>
          <w:numId w:val="9"/>
        </w:numPr>
        <w:jc w:val="both"/>
      </w:pPr>
      <w:r>
        <w:t>Medium term</w:t>
      </w:r>
    </w:p>
    <w:p w:rsidR="003818ED" w:rsidRDefault="0041558C" w:rsidP="003818ED">
      <w:pPr>
        <w:pStyle w:val="ListParagraph"/>
        <w:numPr>
          <w:ilvl w:val="1"/>
          <w:numId w:val="9"/>
        </w:numPr>
        <w:jc w:val="both"/>
      </w:pPr>
      <w:r>
        <w:t>Develop WI’s for Quality Technicians</w:t>
      </w:r>
    </w:p>
    <w:p w:rsidR="0041558C" w:rsidRDefault="0041558C" w:rsidP="003818ED">
      <w:pPr>
        <w:pStyle w:val="ListParagraph"/>
        <w:numPr>
          <w:ilvl w:val="1"/>
          <w:numId w:val="9"/>
        </w:numPr>
        <w:jc w:val="both"/>
      </w:pPr>
      <w:r>
        <w:t>Provide training on Gravograph cleaning methods</w:t>
      </w:r>
    </w:p>
    <w:p w:rsidR="0041558C" w:rsidRDefault="0041558C" w:rsidP="0041558C">
      <w:pPr>
        <w:pStyle w:val="ListParagraph"/>
        <w:numPr>
          <w:ilvl w:val="1"/>
          <w:numId w:val="9"/>
        </w:numPr>
        <w:jc w:val="both"/>
      </w:pPr>
      <w:r>
        <w:t>Create log sheet for recording of maintenance activities</w:t>
      </w:r>
    </w:p>
    <w:p w:rsidR="0041558C" w:rsidRDefault="0041558C" w:rsidP="0041558C">
      <w:pPr>
        <w:pStyle w:val="ListParagraph"/>
        <w:numPr>
          <w:ilvl w:val="0"/>
          <w:numId w:val="9"/>
        </w:numPr>
        <w:jc w:val="both"/>
      </w:pPr>
      <w:r>
        <w:t>Long term</w:t>
      </w:r>
    </w:p>
    <w:p w:rsidR="0041558C" w:rsidRDefault="0041558C" w:rsidP="0041558C">
      <w:pPr>
        <w:pStyle w:val="ListParagraph"/>
        <w:numPr>
          <w:ilvl w:val="1"/>
          <w:numId w:val="9"/>
        </w:numPr>
        <w:jc w:val="both"/>
      </w:pPr>
      <w:r>
        <w:t>Handover of asset control to ‘Shared Services’ department</w:t>
      </w:r>
    </w:p>
    <w:p w:rsidR="0041558C" w:rsidRDefault="0041558C" w:rsidP="0041558C">
      <w:pPr>
        <w:pStyle w:val="ListParagraph"/>
        <w:numPr>
          <w:ilvl w:val="1"/>
          <w:numId w:val="9"/>
        </w:numPr>
        <w:jc w:val="both"/>
      </w:pPr>
      <w:r>
        <w:t>Develop maintenance schedule based on number of cycles between cleans</w:t>
      </w:r>
    </w:p>
    <w:p w:rsidR="00CB203A" w:rsidRDefault="00CB203A" w:rsidP="00CB203A"/>
    <w:p w:rsidR="0041558C" w:rsidRDefault="0041558C" w:rsidP="00CB203A">
      <w:r>
        <w:t>Adopting this approach has the potential to save SGB £618.50 per year after costs, not including the potential fines for late delivery that have been avoided.</w:t>
      </w:r>
    </w:p>
    <w:p w:rsidR="00E62D49" w:rsidRDefault="00E62D49">
      <w:pPr>
        <w:rPr>
          <w:rFonts w:asciiTheme="majorHAnsi" w:eastAsiaTheme="majorEastAsia" w:hAnsiTheme="majorHAnsi" w:cstheme="majorBidi"/>
          <w:color w:val="2E74B5" w:themeColor="accent1" w:themeShade="BF"/>
          <w:sz w:val="32"/>
          <w:szCs w:val="32"/>
        </w:rPr>
      </w:pPr>
      <w:r>
        <w:br w:type="page"/>
      </w:r>
    </w:p>
    <w:p w:rsidR="00E62D49" w:rsidRDefault="00E62D49" w:rsidP="00E62D49">
      <w:pPr>
        <w:pStyle w:val="Heading1"/>
        <w:numPr>
          <w:ilvl w:val="3"/>
          <w:numId w:val="1"/>
        </w:numPr>
        <w:ind w:left="709" w:hanging="425"/>
      </w:pPr>
      <w:bookmarkStart w:id="21" w:name="_Toc131362505"/>
      <w:r>
        <w:lastRenderedPageBreak/>
        <w:t>References</w:t>
      </w:r>
      <w:bookmarkEnd w:id="21"/>
    </w:p>
    <w:p w:rsidR="00CB3E6D" w:rsidRPr="00CB3E6D" w:rsidRDefault="00CB3E6D" w:rsidP="00CB3E6D">
      <w:pPr>
        <w:rPr>
          <w:rFonts w:ascii="Arial" w:hAnsi="Arial" w:cs="Arial"/>
          <w:b/>
          <w:sz w:val="24"/>
        </w:rPr>
      </w:pPr>
    </w:p>
    <w:p w:rsidR="00CB3E6D" w:rsidRDefault="00CB3E6D" w:rsidP="00CB3E6D">
      <w:pPr>
        <w:autoSpaceDE w:val="0"/>
        <w:autoSpaceDN w:val="0"/>
        <w:spacing w:line="240" w:lineRule="atLeast"/>
        <w:rPr>
          <w:noProof/>
          <w:szCs w:val="24"/>
        </w:rPr>
      </w:pPr>
      <w:r w:rsidRPr="00CB3E6D">
        <w:rPr>
          <w:noProof/>
          <w:szCs w:val="24"/>
        </w:rPr>
        <w:t>Matt, Matt, D. T., Modrák, V., &amp; Zsifkovits, H. (2021). Implementing industry 4.0 in SMEs : concepts, examples and applications. Springer Nature.</w:t>
      </w:r>
    </w:p>
    <w:p w:rsidR="003142B1" w:rsidRDefault="003142B1" w:rsidP="003142B1">
      <w:pPr>
        <w:autoSpaceDE w:val="0"/>
        <w:autoSpaceDN w:val="0"/>
        <w:spacing w:line="240" w:lineRule="atLeast"/>
        <w:rPr>
          <w:rFonts w:ascii="Arial" w:hAnsi="Arial" w:cs="Arial"/>
          <w:b/>
          <w:sz w:val="24"/>
        </w:rPr>
      </w:pPr>
      <w:r w:rsidRPr="003142B1">
        <w:rPr>
          <w:noProof/>
          <w:szCs w:val="24"/>
        </w:rPr>
        <w:t>Gross. (2002). Fundamentals of preventive maintenance. American Management Association.</w:t>
      </w:r>
    </w:p>
    <w:p w:rsidR="00CB3E6D" w:rsidRPr="003142B1" w:rsidRDefault="00CB3E6D" w:rsidP="003142B1">
      <w:pPr>
        <w:autoSpaceDE w:val="0"/>
        <w:autoSpaceDN w:val="0"/>
        <w:spacing w:line="240" w:lineRule="atLeast"/>
        <w:rPr>
          <w:noProof/>
          <w:szCs w:val="24"/>
        </w:rPr>
      </w:pPr>
      <w:r w:rsidRPr="00740441">
        <w:rPr>
          <w:noProof/>
          <w:szCs w:val="24"/>
        </w:rPr>
        <w:t xml:space="preserve">Brown, C. (2019) ‘Why and how to employ the SIPOC model’, </w:t>
      </w:r>
      <w:r w:rsidRPr="00740441">
        <w:rPr>
          <w:i/>
          <w:iCs/>
          <w:noProof/>
          <w:szCs w:val="24"/>
        </w:rPr>
        <w:t>Journal of business continuity &amp; emergency planning</w:t>
      </w:r>
      <w:r w:rsidRPr="00740441">
        <w:rPr>
          <w:noProof/>
          <w:szCs w:val="24"/>
        </w:rPr>
        <w:t>, 12(3), pp. 198–210.</w:t>
      </w:r>
    </w:p>
    <w:p w:rsidR="0041558C" w:rsidRDefault="0041558C" w:rsidP="0041558C">
      <w:pPr>
        <w:autoSpaceDE w:val="0"/>
        <w:autoSpaceDN w:val="0"/>
        <w:spacing w:line="240" w:lineRule="atLeast"/>
        <w:rPr>
          <w:noProof/>
          <w:szCs w:val="24"/>
        </w:rPr>
      </w:pPr>
      <w:r w:rsidRPr="00740441">
        <w:rPr>
          <w:noProof/>
          <w:szCs w:val="24"/>
        </w:rPr>
        <w:t xml:space="preserve">Gravotech (2018a) </w:t>
      </w:r>
      <w:r w:rsidRPr="00740441">
        <w:rPr>
          <w:i/>
          <w:iCs/>
          <w:noProof/>
          <w:szCs w:val="24"/>
        </w:rPr>
        <w:t>Gravostyle 9 User Manual</w:t>
      </w:r>
      <w:r w:rsidRPr="00740441">
        <w:rPr>
          <w:noProof/>
          <w:szCs w:val="24"/>
        </w:rPr>
        <w:t xml:space="preserve">. Available at: </w:t>
      </w:r>
      <w:hyperlink r:id="rId16" w:history="1">
        <w:r w:rsidRPr="00F26E11">
          <w:rPr>
            <w:rStyle w:val="Hyperlink"/>
            <w:noProof/>
            <w:szCs w:val="24"/>
          </w:rPr>
          <w:t>https://www.gravosupport.com.au/wp-content/uploads/2022/05/GS9_US_Manual.pdf</w:t>
        </w:r>
      </w:hyperlink>
      <w:r w:rsidRPr="00740441">
        <w:rPr>
          <w:noProof/>
          <w:szCs w:val="24"/>
        </w:rPr>
        <w:t>.</w:t>
      </w:r>
    </w:p>
    <w:p w:rsidR="00A47BD4" w:rsidRPr="00A47BD4" w:rsidRDefault="0041558C" w:rsidP="00A47BD4">
      <w:pPr>
        <w:autoSpaceDE w:val="0"/>
        <w:autoSpaceDN w:val="0"/>
        <w:spacing w:line="240" w:lineRule="atLeast"/>
        <w:rPr>
          <w:noProof/>
          <w:szCs w:val="24"/>
        </w:rPr>
      </w:pPr>
      <w:r w:rsidRPr="00740441">
        <w:rPr>
          <w:noProof/>
          <w:szCs w:val="24"/>
        </w:rPr>
        <w:t xml:space="preserve">Gravotech (2018b) </w:t>
      </w:r>
      <w:r w:rsidRPr="00740441">
        <w:rPr>
          <w:i/>
          <w:iCs/>
          <w:noProof/>
          <w:szCs w:val="24"/>
        </w:rPr>
        <w:t>LS100 IQ - LS100 EX - LS100 ENERGY LS100 EX ENERGY Table of contents</w:t>
      </w:r>
      <w:r w:rsidRPr="00740441">
        <w:rPr>
          <w:noProof/>
          <w:szCs w:val="24"/>
        </w:rPr>
        <w:t>. Available at: https://www.manualslib.com/manual/2205104/Gravograph-Ls100-Iq.html.</w:t>
      </w:r>
    </w:p>
    <w:p w:rsidR="0041558C" w:rsidRDefault="00A47BD4" w:rsidP="00A47BD4">
      <w:pPr>
        <w:autoSpaceDE w:val="0"/>
        <w:autoSpaceDN w:val="0"/>
        <w:spacing w:line="240" w:lineRule="atLeast"/>
        <w:rPr>
          <w:noProof/>
          <w:szCs w:val="24"/>
        </w:rPr>
      </w:pPr>
      <w:r w:rsidRPr="00A47BD4">
        <w:rPr>
          <w:noProof/>
          <w:szCs w:val="24"/>
        </w:rPr>
        <w:t xml:space="preserve">Veldman, Klingenberg, W., &amp; Wortmann, H. (2011). Managing condition based maintenance technology: a multiple case study in the process industry. Journal of Quality in Maintenance Engineering, 17(1), 40–62. </w:t>
      </w:r>
      <w:hyperlink r:id="rId17" w:history="1">
        <w:r w:rsidR="006C5F22" w:rsidRPr="00F26E11">
          <w:rPr>
            <w:rStyle w:val="Hyperlink"/>
            <w:noProof/>
            <w:szCs w:val="24"/>
          </w:rPr>
          <w:t>https://doi.org/10.1108/13552511111116240</w:t>
        </w:r>
      </w:hyperlink>
    </w:p>
    <w:p w:rsidR="00B84EF9" w:rsidRDefault="00B84EF9" w:rsidP="00B84EF9">
      <w:pPr>
        <w:autoSpaceDE w:val="0"/>
        <w:autoSpaceDN w:val="0"/>
        <w:spacing w:line="240" w:lineRule="atLeast"/>
        <w:rPr>
          <w:noProof/>
          <w:szCs w:val="24"/>
        </w:rPr>
      </w:pPr>
      <w:r w:rsidRPr="00B84EF9">
        <w:rPr>
          <w:noProof/>
          <w:szCs w:val="24"/>
        </w:rPr>
        <w:t>Christer, &amp; Whitelaw, J. (1983). An Operational Research Approach to Breakdown Maintenance: Problem Recognition. The Journal of the Operational Research Society, 34(11), 1041–1052. https://doi.org/10.1057/jors.1983.235</w:t>
      </w:r>
    </w:p>
    <w:p w:rsidR="006C5F22" w:rsidRPr="00A47BD4" w:rsidRDefault="006C5F22" w:rsidP="006C5F22">
      <w:pPr>
        <w:autoSpaceDE w:val="0"/>
        <w:autoSpaceDN w:val="0"/>
        <w:spacing w:line="240" w:lineRule="atLeast"/>
        <w:rPr>
          <w:noProof/>
          <w:szCs w:val="24"/>
        </w:rPr>
      </w:pPr>
      <w:r>
        <w:rPr>
          <w:noProof/>
          <w:szCs w:val="24"/>
        </w:rPr>
        <w:t>Alumamark</w:t>
      </w:r>
      <w:r w:rsidRPr="00740441">
        <w:rPr>
          <w:noProof/>
          <w:szCs w:val="24"/>
        </w:rPr>
        <w:t xml:space="preserve"> (201</w:t>
      </w:r>
      <w:r w:rsidR="00903829">
        <w:rPr>
          <w:noProof/>
          <w:szCs w:val="24"/>
        </w:rPr>
        <w:t>3</w:t>
      </w:r>
      <w:r w:rsidRPr="00740441">
        <w:rPr>
          <w:noProof/>
          <w:szCs w:val="24"/>
        </w:rPr>
        <w:t xml:space="preserve">) </w:t>
      </w:r>
      <w:r>
        <w:rPr>
          <w:i/>
          <w:iCs/>
          <w:noProof/>
          <w:szCs w:val="24"/>
        </w:rPr>
        <w:t>Alumamark Data Sheet</w:t>
      </w:r>
      <w:r w:rsidRPr="00740441">
        <w:rPr>
          <w:noProof/>
          <w:szCs w:val="24"/>
        </w:rPr>
        <w:t xml:space="preserve">. Available at: </w:t>
      </w:r>
      <w:r w:rsidRPr="006C5F22">
        <w:rPr>
          <w:noProof/>
          <w:szCs w:val="24"/>
        </w:rPr>
        <w:t>https://alumamark.com/#durability</w:t>
      </w:r>
    </w:p>
    <w:p w:rsidR="006C5F22" w:rsidRDefault="006C5F22" w:rsidP="00A47BD4">
      <w:pPr>
        <w:autoSpaceDE w:val="0"/>
        <w:autoSpaceDN w:val="0"/>
        <w:spacing w:line="240" w:lineRule="atLeast"/>
        <w:rPr>
          <w:noProof/>
          <w:szCs w:val="24"/>
        </w:rPr>
      </w:pPr>
    </w:p>
    <w:p w:rsidR="0041558C" w:rsidRDefault="0041558C" w:rsidP="00E62D49">
      <w:pPr>
        <w:ind w:left="720"/>
      </w:pPr>
    </w:p>
    <w:p w:rsidR="00245AE4" w:rsidRDefault="00245AE4">
      <w:r>
        <w:br w:type="page"/>
      </w:r>
    </w:p>
    <w:p w:rsidR="00245AE4" w:rsidRDefault="00245AE4" w:rsidP="00245AE4">
      <w:pPr>
        <w:pStyle w:val="Heading1"/>
        <w:numPr>
          <w:ilvl w:val="3"/>
          <w:numId w:val="1"/>
        </w:numPr>
        <w:ind w:left="709" w:hanging="458"/>
      </w:pPr>
      <w:bookmarkStart w:id="22" w:name="_Toc131362506"/>
      <w:r>
        <w:lastRenderedPageBreak/>
        <w:t>Appendix</w:t>
      </w:r>
      <w:bookmarkEnd w:id="22"/>
    </w:p>
    <w:p w:rsidR="00245AE4" w:rsidRDefault="00245AE4" w:rsidP="00E62D49">
      <w:pPr>
        <w:ind w:left="720"/>
      </w:pPr>
    </w:p>
    <w:p w:rsidR="00245AE4" w:rsidRDefault="00245AE4" w:rsidP="00245AE4">
      <w:pPr>
        <w:keepNext/>
        <w:ind w:left="720"/>
      </w:pPr>
      <w:r>
        <w:rPr>
          <w:noProof/>
        </w:rPr>
        <w:drawing>
          <wp:inline distT="0" distB="0" distL="0" distR="0" wp14:anchorId="13C3EBDD" wp14:editId="5E3C3A0D">
            <wp:extent cx="5809266" cy="4025265"/>
            <wp:effectExtent l="0" t="0" r="127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43887" cy="4049254"/>
                    </a:xfrm>
                    <a:prstGeom prst="rect">
                      <a:avLst/>
                    </a:prstGeom>
                  </pic:spPr>
                </pic:pic>
              </a:graphicData>
            </a:graphic>
          </wp:inline>
        </w:drawing>
      </w:r>
    </w:p>
    <w:p w:rsidR="00245AE4" w:rsidRDefault="00245AE4" w:rsidP="00245AE4">
      <w:pPr>
        <w:pStyle w:val="Caption"/>
      </w:pPr>
      <w:bookmarkStart w:id="23" w:name="_Ref131331814"/>
      <w:r>
        <w:t xml:space="preserve">Appendix </w:t>
      </w:r>
      <w:r>
        <w:fldChar w:fldCharType="begin"/>
      </w:r>
      <w:r>
        <w:instrText xml:space="preserve"> SEQ Appendix \* ARABIC </w:instrText>
      </w:r>
      <w:r>
        <w:fldChar w:fldCharType="separate"/>
      </w:r>
      <w:r w:rsidR="00C744E3">
        <w:rPr>
          <w:noProof/>
        </w:rPr>
        <w:t>1</w:t>
      </w:r>
      <w:r>
        <w:fldChar w:fldCharType="end"/>
      </w:r>
      <w:bookmarkEnd w:id="23"/>
      <w:r>
        <w:t>: Example of printed data plates at various print resolutions</w:t>
      </w:r>
    </w:p>
    <w:p w:rsidR="009255D9" w:rsidRDefault="009255D9" w:rsidP="009255D9"/>
    <w:p w:rsidR="009255D9" w:rsidRDefault="009255D9">
      <w:r>
        <w:br w:type="page"/>
      </w:r>
    </w:p>
    <w:p w:rsidR="009255D9" w:rsidRDefault="009255D9" w:rsidP="009255D9">
      <w:r w:rsidRPr="009255D9">
        <w:lastRenderedPageBreak/>
        <w:drawing>
          <wp:inline distT="0" distB="0" distL="0" distR="0" wp14:anchorId="5F308E66" wp14:editId="2CB0551A">
            <wp:extent cx="2712720" cy="4052334"/>
            <wp:effectExtent l="0" t="0" r="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35523" cy="4086397"/>
                    </a:xfrm>
                    <a:prstGeom prst="rect">
                      <a:avLst/>
                    </a:prstGeom>
                  </pic:spPr>
                </pic:pic>
              </a:graphicData>
            </a:graphic>
          </wp:inline>
        </w:drawing>
      </w:r>
      <w:r w:rsidRPr="009255D9">
        <w:drawing>
          <wp:inline distT="0" distB="0" distL="0" distR="0" wp14:anchorId="16709DB1" wp14:editId="47C66169">
            <wp:extent cx="2616251" cy="4063366"/>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656656" cy="4126120"/>
                    </a:xfrm>
                    <a:prstGeom prst="rect">
                      <a:avLst/>
                    </a:prstGeom>
                  </pic:spPr>
                </pic:pic>
              </a:graphicData>
            </a:graphic>
          </wp:inline>
        </w:drawing>
      </w:r>
    </w:p>
    <w:p w:rsidR="009255D9" w:rsidRDefault="009255D9" w:rsidP="009255D9">
      <w:r w:rsidRPr="009255D9">
        <w:drawing>
          <wp:inline distT="0" distB="0" distL="0" distR="0" wp14:anchorId="09FDE097" wp14:editId="1CDC89E3">
            <wp:extent cx="2678557" cy="3992880"/>
            <wp:effectExtent l="0" t="0" r="7620" b="7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04745" cy="4031918"/>
                    </a:xfrm>
                    <a:prstGeom prst="rect">
                      <a:avLst/>
                    </a:prstGeom>
                  </pic:spPr>
                </pic:pic>
              </a:graphicData>
            </a:graphic>
          </wp:inline>
        </w:drawing>
      </w:r>
      <w:r w:rsidRPr="009255D9">
        <w:drawing>
          <wp:inline distT="0" distB="0" distL="0" distR="0" wp14:anchorId="6BA026A1" wp14:editId="0D86B836">
            <wp:extent cx="2688781" cy="400812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714993" cy="4047194"/>
                    </a:xfrm>
                    <a:prstGeom prst="rect">
                      <a:avLst/>
                    </a:prstGeom>
                  </pic:spPr>
                </pic:pic>
              </a:graphicData>
            </a:graphic>
          </wp:inline>
        </w:drawing>
      </w:r>
    </w:p>
    <w:p w:rsidR="009255D9" w:rsidRDefault="009255D9" w:rsidP="009255D9">
      <w:r w:rsidRPr="009255D9">
        <w:lastRenderedPageBreak/>
        <w:drawing>
          <wp:anchor distT="0" distB="0" distL="114300" distR="114300" simplePos="0" relativeHeight="251662336" behindDoc="0" locked="0" layoutInCell="1" allowOverlap="1">
            <wp:simplePos x="0" y="0"/>
            <wp:positionH relativeFrom="column">
              <wp:posOffset>2621280</wp:posOffset>
            </wp:positionH>
            <wp:positionV relativeFrom="paragraph">
              <wp:posOffset>4159250</wp:posOffset>
            </wp:positionV>
            <wp:extent cx="2586355" cy="3891915"/>
            <wp:effectExtent l="0" t="0" r="4445"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586355" cy="3891915"/>
                    </a:xfrm>
                    <a:prstGeom prst="rect">
                      <a:avLst/>
                    </a:prstGeom>
                  </pic:spPr>
                </pic:pic>
              </a:graphicData>
            </a:graphic>
          </wp:anchor>
        </w:drawing>
      </w:r>
      <w:r w:rsidRPr="009255D9">
        <w:drawing>
          <wp:inline distT="0" distB="0" distL="0" distR="0" wp14:anchorId="2342DEF1" wp14:editId="6DDF2F0D">
            <wp:extent cx="2665111" cy="4030980"/>
            <wp:effectExtent l="0" t="0" r="1905"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693963" cy="4074619"/>
                    </a:xfrm>
                    <a:prstGeom prst="rect">
                      <a:avLst/>
                    </a:prstGeom>
                  </pic:spPr>
                </pic:pic>
              </a:graphicData>
            </a:graphic>
          </wp:inline>
        </w:drawing>
      </w:r>
      <w:r w:rsidRPr="009255D9">
        <w:drawing>
          <wp:inline distT="0" distB="0" distL="0" distR="0" wp14:anchorId="7937E7DF" wp14:editId="00B46CE8">
            <wp:extent cx="2705100" cy="4040848"/>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729065" cy="4076647"/>
                    </a:xfrm>
                    <a:prstGeom prst="rect">
                      <a:avLst/>
                    </a:prstGeom>
                  </pic:spPr>
                </pic:pic>
              </a:graphicData>
            </a:graphic>
          </wp:inline>
        </w:drawing>
      </w:r>
    </w:p>
    <w:p w:rsidR="009255D9" w:rsidRDefault="009255D9" w:rsidP="009255D9">
      <w:pPr>
        <w:keepNext/>
      </w:pPr>
      <w:r w:rsidRPr="009255D9">
        <w:drawing>
          <wp:inline distT="0" distB="0" distL="0" distR="0" wp14:anchorId="33E2FFE7" wp14:editId="192831D4">
            <wp:extent cx="2612004" cy="389382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639710" cy="3935122"/>
                    </a:xfrm>
                    <a:prstGeom prst="rect">
                      <a:avLst/>
                    </a:prstGeom>
                  </pic:spPr>
                </pic:pic>
              </a:graphicData>
            </a:graphic>
          </wp:inline>
        </w:drawing>
      </w:r>
    </w:p>
    <w:p w:rsidR="009255D9" w:rsidRDefault="009255D9" w:rsidP="009255D9">
      <w:pPr>
        <w:pStyle w:val="Caption"/>
      </w:pPr>
      <w:bookmarkStart w:id="24" w:name="_Ref131340146"/>
      <w:r>
        <w:t xml:space="preserve">Appendix </w:t>
      </w:r>
      <w:r>
        <w:fldChar w:fldCharType="begin"/>
      </w:r>
      <w:r>
        <w:instrText xml:space="preserve"> SEQ Appendix \* ARABIC </w:instrText>
      </w:r>
      <w:r>
        <w:fldChar w:fldCharType="separate"/>
      </w:r>
      <w:r w:rsidR="00C744E3">
        <w:rPr>
          <w:noProof/>
        </w:rPr>
        <w:t>2</w:t>
      </w:r>
      <w:r>
        <w:fldChar w:fldCharType="end"/>
      </w:r>
      <w:bookmarkEnd w:id="24"/>
      <w:r>
        <w:t>: Service receipts for both Gravograph machines</w:t>
      </w:r>
    </w:p>
    <w:p w:rsidR="00C744E3" w:rsidRDefault="00C744E3">
      <w:r>
        <w:br w:type="page"/>
      </w:r>
    </w:p>
    <w:p w:rsidR="00C744E3" w:rsidRDefault="00C744E3" w:rsidP="00C744E3">
      <w:pPr>
        <w:keepNext/>
        <w:jc w:val="center"/>
      </w:pPr>
      <w:r w:rsidRPr="00C744E3">
        <w:lastRenderedPageBreak/>
        <w:drawing>
          <wp:inline distT="0" distB="0" distL="0" distR="0" wp14:anchorId="0D22FA97" wp14:editId="675E9AF8">
            <wp:extent cx="4972744" cy="7344800"/>
            <wp:effectExtent l="0" t="0" r="0" b="889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72744" cy="7344800"/>
                    </a:xfrm>
                    <a:prstGeom prst="rect">
                      <a:avLst/>
                    </a:prstGeom>
                  </pic:spPr>
                </pic:pic>
              </a:graphicData>
            </a:graphic>
          </wp:inline>
        </w:drawing>
      </w:r>
    </w:p>
    <w:p w:rsidR="009255D9" w:rsidRPr="009255D9" w:rsidRDefault="00C744E3" w:rsidP="00C744E3">
      <w:pPr>
        <w:pStyle w:val="Caption"/>
        <w:jc w:val="center"/>
      </w:pPr>
      <w:bookmarkStart w:id="25" w:name="_Ref131352732"/>
      <w:r>
        <w:t xml:space="preserve">Appendix </w:t>
      </w:r>
      <w:r>
        <w:fldChar w:fldCharType="begin"/>
      </w:r>
      <w:r>
        <w:instrText xml:space="preserve"> SEQ Appendix \* ARABIC </w:instrText>
      </w:r>
      <w:r>
        <w:fldChar w:fldCharType="separate"/>
      </w:r>
      <w:r>
        <w:rPr>
          <w:noProof/>
        </w:rPr>
        <w:t>3</w:t>
      </w:r>
      <w:r>
        <w:fldChar w:fldCharType="end"/>
      </w:r>
      <w:bookmarkEnd w:id="25"/>
      <w:r>
        <w:t>: Z Auto Sensor removal and installation instructions from the Gravograph manual</w:t>
      </w:r>
    </w:p>
    <w:sectPr w:rsidR="009255D9" w:rsidRPr="009255D9" w:rsidSect="00D273A1">
      <w:headerReference w:type="default" r:id="rId28"/>
      <w:footerReference w:type="default" r:id="rId29"/>
      <w:headerReference w:type="first" r:id="rId30"/>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25D2" w:rsidRDefault="00D825D2" w:rsidP="00173509">
      <w:pPr>
        <w:spacing w:after="0" w:line="240" w:lineRule="auto"/>
      </w:pPr>
      <w:r>
        <w:separator/>
      </w:r>
    </w:p>
  </w:endnote>
  <w:endnote w:type="continuationSeparator" w:id="0">
    <w:p w:rsidR="00D825D2" w:rsidRDefault="00D825D2" w:rsidP="00173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18ED" w:rsidRDefault="003818ED">
    <w:pPr>
      <w:pStyle w:val="Footer"/>
      <w:pBdr>
        <w:top w:val="single" w:sz="4" w:space="8" w:color="5B9BD5" w:themeColor="accent1"/>
      </w:pBdr>
      <w:spacing w:before="360"/>
      <w:contextualSpacing/>
      <w:jc w:val="right"/>
      <w:rPr>
        <w:noProof/>
        <w:color w:val="404040" w:themeColor="text1" w:themeTint="BF"/>
      </w:rPr>
    </w:pPr>
    <w:r>
      <w:rPr>
        <w:noProof/>
        <w:color w:val="404040" w:themeColor="text1" w:themeTint="BF"/>
      </w:rPr>
      <w:fldChar w:fldCharType="begin"/>
    </w:r>
    <w:r>
      <w:rPr>
        <w:noProof/>
        <w:color w:val="404040" w:themeColor="text1" w:themeTint="BF"/>
      </w:rPr>
      <w:instrText xml:space="preserve"> PAGE   \* MERGEFORMAT </w:instrText>
    </w:r>
    <w:r>
      <w:rPr>
        <w:noProof/>
        <w:color w:val="404040" w:themeColor="text1" w:themeTint="BF"/>
      </w:rPr>
      <w:fldChar w:fldCharType="separate"/>
    </w:r>
    <w:r w:rsidR="00C11E0B">
      <w:rPr>
        <w:noProof/>
        <w:color w:val="404040" w:themeColor="text1" w:themeTint="BF"/>
      </w:rPr>
      <w:t>17</w:t>
    </w:r>
    <w:r>
      <w:rPr>
        <w:noProof/>
        <w:color w:val="404040" w:themeColor="text1" w:themeTint="BF"/>
      </w:rPr>
      <w:fldChar w:fldCharType="end"/>
    </w:r>
  </w:p>
  <w:p w:rsidR="003818ED" w:rsidRDefault="00381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25D2" w:rsidRDefault="00D825D2" w:rsidP="00173509">
      <w:pPr>
        <w:spacing w:after="0" w:line="240" w:lineRule="auto"/>
      </w:pPr>
      <w:r>
        <w:separator/>
      </w:r>
    </w:p>
  </w:footnote>
  <w:footnote w:type="continuationSeparator" w:id="0">
    <w:p w:rsidR="00D825D2" w:rsidRDefault="00D825D2" w:rsidP="001735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18ED" w:rsidRDefault="003818ED">
    <w:pPr>
      <w:pStyle w:val="Header"/>
    </w:pPr>
    <w:r>
      <w:rPr>
        <w:noProof/>
        <w:lang w:eastAsia="en-GB"/>
      </w:rPr>
      <mc:AlternateContent>
        <mc:Choice Requires="wps">
          <w:drawing>
            <wp:anchor distT="0" distB="0" distL="114300" distR="114300" simplePos="0" relativeHeight="251659264" behindDoc="0" locked="0" layoutInCell="0" allowOverlap="1">
              <wp:simplePos x="0" y="0"/>
              <wp:positionH relativeFrom="page">
                <wp:posOffset>0</wp:posOffset>
              </wp:positionH>
              <wp:positionV relativeFrom="page">
                <wp:posOffset>190500</wp:posOffset>
              </wp:positionV>
              <wp:extent cx="7560310" cy="273050"/>
              <wp:effectExtent l="0" t="0" r="0" b="12700"/>
              <wp:wrapNone/>
              <wp:docPr id="11" name="MSIPCM807c4cb89d425475bb9c9cd8" descr="{&quot;HashCode&quot;:-148464456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3818ED" w:rsidRPr="00173509" w:rsidRDefault="003818ED" w:rsidP="00173509">
                          <w:pPr>
                            <w:spacing w:after="0"/>
                            <w:jc w:val="center"/>
                            <w:rPr>
                              <w:rFonts w:ascii="Calibri" w:hAnsi="Calibri" w:cs="Calibri"/>
                              <w:color w:val="FF8C00"/>
                              <w:sz w:val="20"/>
                            </w:rPr>
                          </w:pPr>
                          <w:r w:rsidRPr="00173509">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807c4cb89d425475bb9c9cd8" o:spid="_x0000_s1057" type="#_x0000_t202" alt="{&quot;HashCode&quot;:-1484644562,&quot;Height&quot;:841.0,&quot;Width&quot;:595.0,&quot;Placement&quot;:&quot;Header&quot;,&quot;Index&quot;:&quot;Primary&quot;,&quot;Section&quot;:1,&quot;Top&quot;:0.0,&quot;Left&quot;:0.0}" style="position:absolute;margin-left:0;margin-top:1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" o:allowincell="f" filled="f" stroked="f" strokeweight=".5pt">
              <v:textbox inset=",0,,0">
                <w:txbxContent>
                  <w:p w:rsidR="003818ED" w:rsidRPr="00173509" w:rsidRDefault="003818ED" w:rsidP="00173509">
                    <w:pPr>
                      <w:spacing w:after="0"/>
                      <w:jc w:val="center"/>
                      <w:rPr>
                        <w:rFonts w:ascii="Calibri" w:hAnsi="Calibri" w:cs="Calibri"/>
                        <w:color w:val="FF8C00"/>
                        <w:sz w:val="20"/>
                      </w:rPr>
                    </w:pPr>
                    <w:r w:rsidRPr="00173509">
                      <w:rPr>
                        <w:rFonts w:ascii="Calibri" w:hAnsi="Calibri" w:cs="Calibri"/>
                        <w:color w:val="FF8C00"/>
                        <w:sz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18ED" w:rsidRDefault="003818ED">
    <w:pPr>
      <w:pStyle w:val="Header"/>
    </w:pPr>
    <w:r>
      <w:rPr>
        <w:noProof/>
        <w:lang w:eastAsia="en-GB"/>
      </w:rPr>
      <mc:AlternateContent>
        <mc:Choice Requires="wps">
          <w:drawing>
            <wp:anchor distT="0" distB="0" distL="114300" distR="114300" simplePos="0" relativeHeight="251660288" behindDoc="0" locked="0" layoutInCell="0" allowOverlap="1">
              <wp:simplePos x="0" y="0"/>
              <wp:positionH relativeFrom="page">
                <wp:posOffset>0</wp:posOffset>
              </wp:positionH>
              <wp:positionV relativeFrom="page">
                <wp:posOffset>190500</wp:posOffset>
              </wp:positionV>
              <wp:extent cx="7560310" cy="273050"/>
              <wp:effectExtent l="0" t="0" r="0" b="12700"/>
              <wp:wrapNone/>
              <wp:docPr id="33" name="MSIPCMc9e4448fb9281962cf0a7b0a" descr="{&quot;HashCode&quot;:-1484644562,&quot;Height&quot;:841.0,&quot;Width&quot;:595.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3818ED" w:rsidRPr="00173509" w:rsidRDefault="003818ED" w:rsidP="00173509">
                          <w:pPr>
                            <w:spacing w:after="0"/>
                            <w:jc w:val="center"/>
                            <w:rPr>
                              <w:rFonts w:ascii="Calibri" w:hAnsi="Calibri" w:cs="Calibri"/>
                              <w:color w:val="FF8C00"/>
                              <w:sz w:val="20"/>
                            </w:rPr>
                          </w:pPr>
                          <w:r w:rsidRPr="00173509">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c9e4448fb9281962cf0a7b0a" o:spid="_x0000_s1058" type="#_x0000_t202" alt="{&quot;HashCode&quot;:-1484644562,&quot;Height&quot;:841.0,&quot;Width&quot;:595.0,&quot;Placement&quot;:&quot;Header&quot;,&quot;Index&quot;:&quot;FirstPage&quot;,&quot;Section&quot;:1,&quot;Top&quot;:0.0,&quot;Left&quot;:0.0}" style="position:absolute;margin-left:0;margin-top:15pt;width:595.3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" o:allowincell="f" filled="f" stroked="f" strokeweight=".5pt">
              <v:textbox inset=",0,,0">
                <w:txbxContent>
                  <w:p w:rsidR="003818ED" w:rsidRPr="00173509" w:rsidRDefault="003818ED" w:rsidP="00173509">
                    <w:pPr>
                      <w:spacing w:after="0"/>
                      <w:jc w:val="center"/>
                      <w:rPr>
                        <w:rFonts w:ascii="Calibri" w:hAnsi="Calibri" w:cs="Calibri"/>
                        <w:color w:val="FF8C00"/>
                        <w:sz w:val="20"/>
                      </w:rPr>
                    </w:pPr>
                    <w:r w:rsidRPr="00173509">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D2F21"/>
    <w:multiLevelType w:val="hybridMultilevel"/>
    <w:tmpl w:val="6EC88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A1615D"/>
    <w:multiLevelType w:val="hybridMultilevel"/>
    <w:tmpl w:val="D7DA83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8610DA"/>
    <w:multiLevelType w:val="multilevel"/>
    <w:tmpl w:val="4C920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B20DD8"/>
    <w:multiLevelType w:val="hybridMultilevel"/>
    <w:tmpl w:val="1BEC6F64"/>
    <w:lvl w:ilvl="0" w:tplc="3B88481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791689"/>
    <w:multiLevelType w:val="hybridMultilevel"/>
    <w:tmpl w:val="8D347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7D06C4"/>
    <w:multiLevelType w:val="hybridMultilevel"/>
    <w:tmpl w:val="67C08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507951"/>
    <w:multiLevelType w:val="hybridMultilevel"/>
    <w:tmpl w:val="24645C46"/>
    <w:lvl w:ilvl="0" w:tplc="A40CD1DA">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74BB0CED"/>
    <w:multiLevelType w:val="hybridMultilevel"/>
    <w:tmpl w:val="5008C5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E41449"/>
    <w:multiLevelType w:val="hybridMultilevel"/>
    <w:tmpl w:val="F4285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3"/>
  </w:num>
  <w:num w:numId="4">
    <w:abstractNumId w:val="2"/>
  </w:num>
  <w:num w:numId="5">
    <w:abstractNumId w:val="0"/>
  </w:num>
  <w:num w:numId="6">
    <w:abstractNumId w:val="4"/>
  </w:num>
  <w:num w:numId="7">
    <w:abstractNumId w:val="5"/>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2D49"/>
    <w:rsid w:val="000C6BD2"/>
    <w:rsid w:val="000E01B0"/>
    <w:rsid w:val="001272CD"/>
    <w:rsid w:val="001445A3"/>
    <w:rsid w:val="001513DD"/>
    <w:rsid w:val="00151962"/>
    <w:rsid w:val="001715F5"/>
    <w:rsid w:val="00173509"/>
    <w:rsid w:val="001B316C"/>
    <w:rsid w:val="001F0520"/>
    <w:rsid w:val="002047EA"/>
    <w:rsid w:val="00204CBB"/>
    <w:rsid w:val="00207756"/>
    <w:rsid w:val="00217058"/>
    <w:rsid w:val="00245AE4"/>
    <w:rsid w:val="002E426E"/>
    <w:rsid w:val="003142B1"/>
    <w:rsid w:val="003818ED"/>
    <w:rsid w:val="0041558C"/>
    <w:rsid w:val="00440E97"/>
    <w:rsid w:val="0054647A"/>
    <w:rsid w:val="006464F7"/>
    <w:rsid w:val="00675CB6"/>
    <w:rsid w:val="00680336"/>
    <w:rsid w:val="006C5F22"/>
    <w:rsid w:val="0070371A"/>
    <w:rsid w:val="00713E0F"/>
    <w:rsid w:val="00714631"/>
    <w:rsid w:val="00787BDD"/>
    <w:rsid w:val="007B7D60"/>
    <w:rsid w:val="008E180D"/>
    <w:rsid w:val="00903829"/>
    <w:rsid w:val="009255D9"/>
    <w:rsid w:val="009613C4"/>
    <w:rsid w:val="00995388"/>
    <w:rsid w:val="00A0189D"/>
    <w:rsid w:val="00A47BD4"/>
    <w:rsid w:val="00B63CD3"/>
    <w:rsid w:val="00B84EF9"/>
    <w:rsid w:val="00BB23B5"/>
    <w:rsid w:val="00BD78AD"/>
    <w:rsid w:val="00C11E0B"/>
    <w:rsid w:val="00C348AB"/>
    <w:rsid w:val="00C407A1"/>
    <w:rsid w:val="00C678E7"/>
    <w:rsid w:val="00C744E3"/>
    <w:rsid w:val="00C908C0"/>
    <w:rsid w:val="00CB203A"/>
    <w:rsid w:val="00CB3E6D"/>
    <w:rsid w:val="00D273A1"/>
    <w:rsid w:val="00D4106F"/>
    <w:rsid w:val="00D451F1"/>
    <w:rsid w:val="00D825D2"/>
    <w:rsid w:val="00DA0EC3"/>
    <w:rsid w:val="00E00268"/>
    <w:rsid w:val="00E034A8"/>
    <w:rsid w:val="00E1048B"/>
    <w:rsid w:val="00E62D49"/>
    <w:rsid w:val="00EE6A0E"/>
    <w:rsid w:val="00F843FC"/>
    <w:rsid w:val="00F854E6"/>
    <w:rsid w:val="00FF2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B65B76"/>
  <w15:chartTrackingRefBased/>
  <w15:docId w15:val="{ADDE3204-7332-4188-BCC2-99398FAAF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62D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2D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2D49"/>
    <w:rPr>
      <w:rFonts w:eastAsiaTheme="minorEastAsia"/>
      <w:lang w:val="en-US"/>
    </w:rPr>
  </w:style>
  <w:style w:type="character" w:customStyle="1" w:styleId="Heading1Char">
    <w:name w:val="Heading 1 Char"/>
    <w:basedOn w:val="DefaultParagraphFont"/>
    <w:link w:val="Heading1"/>
    <w:uiPriority w:val="9"/>
    <w:rsid w:val="00E62D4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62D49"/>
    <w:pPr>
      <w:outlineLvl w:val="9"/>
    </w:pPr>
    <w:rPr>
      <w:lang w:val="en-US"/>
    </w:rPr>
  </w:style>
  <w:style w:type="paragraph" w:styleId="ListParagraph">
    <w:name w:val="List Paragraph"/>
    <w:basedOn w:val="Normal"/>
    <w:uiPriority w:val="34"/>
    <w:qFormat/>
    <w:rsid w:val="00E62D49"/>
    <w:pPr>
      <w:ind w:left="720"/>
      <w:contextualSpacing/>
    </w:pPr>
  </w:style>
  <w:style w:type="paragraph" w:styleId="TOC1">
    <w:name w:val="toc 1"/>
    <w:basedOn w:val="Normal"/>
    <w:next w:val="Normal"/>
    <w:autoRedefine/>
    <w:uiPriority w:val="39"/>
    <w:unhideWhenUsed/>
    <w:rsid w:val="00E62D49"/>
    <w:pPr>
      <w:spacing w:after="100"/>
    </w:pPr>
  </w:style>
  <w:style w:type="character" w:styleId="Hyperlink">
    <w:name w:val="Hyperlink"/>
    <w:basedOn w:val="DefaultParagraphFont"/>
    <w:uiPriority w:val="99"/>
    <w:unhideWhenUsed/>
    <w:rsid w:val="00E62D49"/>
    <w:rPr>
      <w:color w:val="0563C1" w:themeColor="hyperlink"/>
      <w:u w:val="single"/>
    </w:rPr>
  </w:style>
  <w:style w:type="paragraph" w:styleId="NormalWeb">
    <w:name w:val="Normal (Web)"/>
    <w:basedOn w:val="Normal"/>
    <w:uiPriority w:val="99"/>
    <w:semiHidden/>
    <w:unhideWhenUsed/>
    <w:rsid w:val="001735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735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509"/>
  </w:style>
  <w:style w:type="paragraph" w:styleId="Footer">
    <w:name w:val="footer"/>
    <w:basedOn w:val="Normal"/>
    <w:link w:val="FooterChar"/>
    <w:uiPriority w:val="99"/>
    <w:unhideWhenUsed/>
    <w:qFormat/>
    <w:rsid w:val="00173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509"/>
  </w:style>
  <w:style w:type="paragraph" w:styleId="Caption">
    <w:name w:val="caption"/>
    <w:basedOn w:val="Normal"/>
    <w:next w:val="Normal"/>
    <w:uiPriority w:val="35"/>
    <w:unhideWhenUsed/>
    <w:qFormat/>
    <w:rsid w:val="0099538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908C0"/>
    <w:pPr>
      <w:spacing w:after="0"/>
    </w:pPr>
  </w:style>
  <w:style w:type="table" w:styleId="TableGrid">
    <w:name w:val="Table Grid"/>
    <w:basedOn w:val="TableNormal"/>
    <w:uiPriority w:val="39"/>
    <w:rsid w:val="006464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0640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package" Target="embeddings/Microsoft_Visio_Drawing.vsdx"/><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hyperlink" Target="https://doi.org/10.1108/13552511111116240" TargetMode="External"/><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hyperlink" Target="https://www.gravosupport.com.au/wp-content/uploads/2022/05/GS9_US_Manual.pdf" TargetMode="External"/><Relationship Id="rId20" Type="http://schemas.openxmlformats.org/officeDocument/2006/relationships/image" Target="media/image9.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BB5D1B-9029-48F3-9CAA-6699C2CE1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3167</Words>
  <Characters>18058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Evaluating the Effectiveness of Chosen Maintenance Strategies for Dedicated Equipment</vt:lpstr>
    </vt:vector>
  </TitlesOfParts>
  <Company>2011680</Company>
  <LinksUpToDate>false</LinksUpToDate>
  <CharactersWithSpaces>21183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Effectiveness of Chosen Maintenance Strategies for Dedicated Equipment</dc:title>
  <dc:subject>ACMA 6007 Plant and Asset Engineering</dc:subject>
  <dc:creator>EVANS Owen (SAFRAN SEATS)</dc:creator>
  <cp:keywords/>
  <dc:description/>
  <cp:lastModifiedBy>EVANS Owen (SAFRAN SEATS)</cp:lastModifiedBy>
  <cp:revision>2</cp:revision>
  <dcterms:created xsi:type="dcterms:W3CDTF">2023-04-02T21:12:00Z</dcterms:created>
  <dcterms:modified xsi:type="dcterms:W3CDTF">2023-04-02T21:12:00Z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2023-04-02T21:12:09Z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0d5d105a-cc3d-4d07-9b33-486b7f7094d7</vt:lpwstr>
  </property>
  <property fmtid="{D5CDD505-2E9C-101B-9397-08002B2CF9AE}" pid="8" name="MSIP_Label_024ffcea-f25b-491e-9dc9-834516f3550e_ContentBits">
    <vt:lpwstr>1</vt:lpwstr>
  </property>
</Properties>
</file>