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51BDB" w14:textId="56380E62"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Melancholia is one of the earliest ways people tried to understand emotional distress, particularly deep sadness and low mood. Although today it is usually linked to depression, the meaning of melancholia has changed significantly over time depending on cultural beliefs and scientific knowledge. Looking at how it has developed shows how society has moved from misunderstanding mental health to a more balanced and informed view. This essay explores how melancholia has changed from early medical ideas, through religious interpretations, into scientific classification, and finally into the modern biopsychosocial approach used in current practic</w:t>
      </w:r>
      <w:r w:rsidR="00090F58">
        <w:rPr>
          <w:rFonts w:ascii="Arial" w:hAnsi="Arial" w:cs="Arial"/>
          <w:kern w:val="0"/>
          <w:sz w:val="28"/>
          <w:szCs w:val="28"/>
          <w14:ligatures w14:val="none"/>
        </w:rPr>
        <w:t>e</w:t>
      </w:r>
      <w:r w:rsidR="00CA7D05">
        <w:rPr>
          <w:rFonts w:ascii="Arial" w:hAnsi="Arial" w:cs="Arial"/>
          <w:kern w:val="0"/>
          <w:sz w:val="28"/>
          <w:szCs w:val="28"/>
          <w14:ligatures w14:val="none"/>
        </w:rPr>
        <w:t>.</w:t>
      </w:r>
      <w:r w:rsidR="00064B7A">
        <w:rPr>
          <w:rFonts w:ascii="Arial" w:hAnsi="Arial" w:cs="Arial"/>
          <w:kern w:val="0"/>
          <w:sz w:val="28"/>
          <w:szCs w:val="28"/>
          <w14:ligatures w14:val="none"/>
        </w:rPr>
        <w:t xml:space="preserve"> </w:t>
      </w:r>
      <w:r w:rsidR="00CA7D05">
        <w:rPr>
          <w:rFonts w:ascii="Arial" w:hAnsi="Arial" w:cs="Arial"/>
          <w:kern w:val="0"/>
          <w:sz w:val="28"/>
          <w:szCs w:val="28"/>
          <w14:ligatures w14:val="none"/>
        </w:rPr>
        <w:t>One</w:t>
      </w:r>
      <w:r w:rsidR="00064B7A">
        <w:rPr>
          <w:rFonts w:ascii="Arial" w:hAnsi="Arial" w:cs="Arial"/>
          <w:kern w:val="0"/>
          <w:sz w:val="28"/>
          <w:szCs w:val="28"/>
          <w14:ligatures w14:val="none"/>
        </w:rPr>
        <w:t xml:space="preserve"> </w:t>
      </w:r>
      <w:r w:rsidR="00CA7D05" w:rsidRPr="00A35A72">
        <w:rPr>
          <w:rFonts w:ascii="Arial" w:hAnsi="Arial" w:cs="Arial"/>
          <w:kern w:val="0"/>
          <w:sz w:val="28"/>
          <w:szCs w:val="28"/>
          <w14:ligatures w14:val="none"/>
        </w:rPr>
        <w:t>of the</w:t>
      </w:r>
      <w:r w:rsidRPr="00A35A72">
        <w:rPr>
          <w:rFonts w:ascii="Arial" w:hAnsi="Arial" w:cs="Arial"/>
          <w:kern w:val="0"/>
          <w:sz w:val="28"/>
          <w:szCs w:val="28"/>
          <w14:ligatures w14:val="none"/>
        </w:rPr>
        <w:t xml:space="preserve"> earliest explanations of melancholia comes from </w:t>
      </w:r>
      <w:hyperlink r:id="rId4" w:history="1">
        <w:r w:rsidRPr="00A35A72">
          <w:rPr>
            <w:rFonts w:ascii="Arial" w:hAnsi="Arial" w:cs="Arial"/>
            <w:color w:val="0000FF"/>
            <w:kern w:val="0"/>
            <w:sz w:val="28"/>
            <w:szCs w:val="28"/>
            <w:u w:val="single"/>
            <w14:ligatures w14:val="none"/>
          </w:rPr>
          <w:t>Hippocrates</w:t>
        </w:r>
      </w:hyperlink>
      <w:r w:rsidRPr="00A35A72">
        <w:rPr>
          <w:rFonts w:ascii="Arial" w:hAnsi="Arial" w:cs="Arial"/>
          <w:kern w:val="0"/>
          <w:sz w:val="28"/>
          <w:szCs w:val="28"/>
          <w14:ligatures w14:val="none"/>
        </w:rPr>
        <w:t xml:space="preserve">, who believed the body was regulated by four humours. According to this theory, melancholia was caused by an excess of black bile, leading to emotional and behavioural symptoms such as sadness and fear (Radden, 2000). This meant distress was seen as a physical imbalance rather than a moral or spiritual issue. Treatments focused on restoring balance through diet, exercise, and purging methods. Although this theory is now outdated, it was important because it moved understanding away from blame and towards a medical explanation. At the same time, </w:t>
      </w:r>
      <w:hyperlink r:id="rId5" w:history="1">
        <w:r w:rsidRPr="00A35A72">
          <w:rPr>
            <w:rFonts w:ascii="Arial" w:hAnsi="Arial" w:cs="Arial"/>
            <w:color w:val="0000FF"/>
            <w:kern w:val="0"/>
            <w:sz w:val="28"/>
            <w:szCs w:val="28"/>
            <w:u w:val="single"/>
            <w14:ligatures w14:val="none"/>
          </w:rPr>
          <w:t>Aristotle</w:t>
        </w:r>
      </w:hyperlink>
      <w:r w:rsidRPr="00A35A72">
        <w:rPr>
          <w:rFonts w:ascii="Arial" w:hAnsi="Arial" w:cs="Arial"/>
          <w:kern w:val="0"/>
          <w:sz w:val="28"/>
          <w:szCs w:val="28"/>
          <w14:ligatures w14:val="none"/>
        </w:rPr>
        <w:t xml:space="preserve"> suggested that melancholia could be linked to creativity and intelligence, helping to form the long-standing idea that there is a connection between suffering </w:t>
      </w:r>
      <w:r w:rsidRPr="00A35A72">
        <w:rPr>
          <w:rFonts w:ascii="Arial" w:hAnsi="Arial" w:cs="Arial"/>
          <w:kern w:val="0"/>
          <w:sz w:val="28"/>
          <w:szCs w:val="28"/>
          <w14:ligatures w14:val="none"/>
        </w:rPr>
        <w:lastRenderedPageBreak/>
        <w:t>and talent (Jackson, 1986). These early ideas show that melancholia was understood in both physical and philosophical ways.</w:t>
      </w:r>
    </w:p>
    <w:p w14:paraId="676A8BC7"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7D814EB8"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During the medieval period, beliefs about melancholia shifted due to the strong influence of religion. It was often referred to as “acedia” and seen as a form of spiritual weakness or lack of faith (</w:t>
      </w:r>
      <w:proofErr w:type="spellStart"/>
      <w:r w:rsidRPr="00A35A72">
        <w:rPr>
          <w:rFonts w:ascii="Arial" w:hAnsi="Arial" w:cs="Arial"/>
          <w:kern w:val="0"/>
          <w:sz w:val="28"/>
          <w:szCs w:val="28"/>
          <w14:ligatures w14:val="none"/>
        </w:rPr>
        <w:t>Klibansky</w:t>
      </w:r>
      <w:proofErr w:type="spellEnd"/>
      <w:r w:rsidRPr="00A35A72">
        <w:rPr>
          <w:rFonts w:ascii="Arial" w:hAnsi="Arial" w:cs="Arial"/>
          <w:kern w:val="0"/>
          <w:sz w:val="28"/>
          <w:szCs w:val="28"/>
          <w14:ligatures w14:val="none"/>
        </w:rPr>
        <w:t xml:space="preserve"> et al., 1964). In some cases, people believed individuals were possessed by evil spirits. As a result, treatments were based on religious practices such as prayer, fasting, and confession rather than medical care. People experiencing severe symptoms were often isolated, which increased stigma and reduced opportunities for recovery. This period highlights how cultural and religious beliefs can strongly shape the way mental health is understood and treated.</w:t>
      </w:r>
    </w:p>
    <w:p w14:paraId="64B5EB97" w14:textId="6FD39B89" w:rsidR="00A35A72" w:rsidRPr="00A35A72" w:rsidRDefault="00601925" w:rsidP="00282D78">
      <w:pPr>
        <w:spacing w:before="100" w:beforeAutospacing="1" w:after="100" w:afterAutospacing="1" w:line="480" w:lineRule="auto"/>
        <w:rPr>
          <w:rFonts w:ascii="Arial" w:hAnsi="Arial" w:cs="Arial"/>
          <w:kern w:val="0"/>
          <w:sz w:val="28"/>
          <w:szCs w:val="28"/>
          <w14:ligatures w14:val="none"/>
        </w:rPr>
      </w:pPr>
      <w:r>
        <w:rPr>
          <w:rFonts w:ascii="Arial" w:hAnsi="Arial" w:cs="Arial"/>
          <w:kern w:val="0"/>
          <w:sz w:val="28"/>
          <w:szCs w:val="28"/>
          <w14:ligatures w14:val="none"/>
        </w:rPr>
        <w:t xml:space="preserve">                            </w:t>
      </w:r>
      <w:r w:rsidR="003D2AC8">
        <w:rPr>
          <w:rFonts w:ascii="Arial" w:hAnsi="Arial" w:cs="Arial"/>
          <w:kern w:val="0"/>
          <w:sz w:val="28"/>
          <w:szCs w:val="28"/>
          <w14:ligatures w14:val="none"/>
        </w:rPr>
        <w:t xml:space="preserve">                                                                                       </w:t>
      </w:r>
    </w:p>
    <w:p w14:paraId="321BFEB6"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 xml:space="preserve">The Renaissance and Enlightenment periods introduced more balanced and rational thinking. There was renewed interest in science and human behaviour, which helped move explanations back towards natural causes. </w:t>
      </w:r>
      <w:hyperlink r:id="rId6" w:history="1">
        <w:r w:rsidRPr="00A35A72">
          <w:rPr>
            <w:rFonts w:ascii="Arial" w:hAnsi="Arial" w:cs="Arial"/>
            <w:color w:val="0000FF"/>
            <w:kern w:val="0"/>
            <w:sz w:val="28"/>
            <w:szCs w:val="28"/>
            <w:u w:val="single"/>
            <w14:ligatures w14:val="none"/>
          </w:rPr>
          <w:t>Robert Burton</w:t>
        </w:r>
      </w:hyperlink>
      <w:r w:rsidRPr="00A35A72">
        <w:rPr>
          <w:rFonts w:ascii="Arial" w:hAnsi="Arial" w:cs="Arial"/>
          <w:kern w:val="0"/>
          <w:sz w:val="28"/>
          <w:szCs w:val="28"/>
          <w14:ligatures w14:val="none"/>
        </w:rPr>
        <w:t xml:space="preserve"> explored a wide range of causes in The Anatomy of Melancholy, including loneliness, stress, and lifestyle factors (Burton, 1621/2001). His work is significant because it recognised that </w:t>
      </w:r>
      <w:r w:rsidRPr="00A35A72">
        <w:rPr>
          <w:rFonts w:ascii="Arial" w:hAnsi="Arial" w:cs="Arial"/>
          <w:kern w:val="0"/>
          <w:sz w:val="28"/>
          <w:szCs w:val="28"/>
          <w14:ligatures w14:val="none"/>
        </w:rPr>
        <w:lastRenderedPageBreak/>
        <w:t xml:space="preserve">melancholia could not be explained by a single factor. During the Enlightenment, figures such as </w:t>
      </w:r>
      <w:hyperlink r:id="rId7" w:history="1">
        <w:r w:rsidRPr="00A35A72">
          <w:rPr>
            <w:rFonts w:ascii="Arial" w:hAnsi="Arial" w:cs="Arial"/>
            <w:color w:val="0000FF"/>
            <w:kern w:val="0"/>
            <w:sz w:val="28"/>
            <w:szCs w:val="28"/>
            <w:u w:val="single"/>
            <w14:ligatures w14:val="none"/>
          </w:rPr>
          <w:t>Philippe Pinel</w:t>
        </w:r>
      </w:hyperlink>
      <w:r w:rsidRPr="00A35A72">
        <w:rPr>
          <w:rFonts w:ascii="Arial" w:hAnsi="Arial" w:cs="Arial"/>
          <w:kern w:val="0"/>
          <w:sz w:val="28"/>
          <w:szCs w:val="28"/>
          <w14:ligatures w14:val="none"/>
        </w:rPr>
        <w:t xml:space="preserve"> and </w:t>
      </w:r>
      <w:hyperlink r:id="rId8" w:history="1">
        <w:r w:rsidRPr="00A35A72">
          <w:rPr>
            <w:rFonts w:ascii="Arial" w:hAnsi="Arial" w:cs="Arial"/>
            <w:color w:val="0000FF"/>
            <w:kern w:val="0"/>
            <w:sz w:val="28"/>
            <w:szCs w:val="28"/>
            <w:u w:val="single"/>
            <w14:ligatures w14:val="none"/>
          </w:rPr>
          <w:t>William Tuke</w:t>
        </w:r>
      </w:hyperlink>
      <w:r w:rsidRPr="00A35A72">
        <w:rPr>
          <w:rFonts w:ascii="Arial" w:hAnsi="Arial" w:cs="Arial"/>
          <w:kern w:val="0"/>
          <w:sz w:val="28"/>
          <w:szCs w:val="28"/>
          <w14:ligatures w14:val="none"/>
        </w:rPr>
        <w:t xml:space="preserve"> promoted more humane treatment, arguing that individuals with mental health difficulties should be treated with care and dignity rather than punishment (Porter, 2002). This marked an important shift towards more compassionate approaches.</w:t>
      </w:r>
    </w:p>
    <w:p w14:paraId="77075372"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6F19399E"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 xml:space="preserve">In the 19th century, psychiatry developed as a formal discipline, leading to more structured ways of understanding mental illness. </w:t>
      </w:r>
      <w:hyperlink r:id="rId9" w:history="1">
        <w:r w:rsidRPr="00A35A72">
          <w:rPr>
            <w:rFonts w:ascii="Arial" w:hAnsi="Arial" w:cs="Arial"/>
            <w:color w:val="0000FF"/>
            <w:kern w:val="0"/>
            <w:sz w:val="28"/>
            <w:szCs w:val="28"/>
            <w:u w:val="single"/>
            <w14:ligatures w14:val="none"/>
          </w:rPr>
          <w:t>Emil Kraepelin</w:t>
        </w:r>
      </w:hyperlink>
      <w:r w:rsidRPr="00A35A72">
        <w:rPr>
          <w:rFonts w:ascii="Arial" w:hAnsi="Arial" w:cs="Arial"/>
          <w:kern w:val="0"/>
          <w:sz w:val="28"/>
          <w:szCs w:val="28"/>
          <w14:ligatures w14:val="none"/>
        </w:rPr>
        <w:t xml:space="preserve"> created classification systems that grouped melancholia within mood disorders, helping to improve diagnosis and understanding (Kraepelin, 1913/2002). However, treatments were still limited, and institutionalisation was common. In the early 20th century, </w:t>
      </w:r>
      <w:hyperlink r:id="rId10" w:history="1">
        <w:r w:rsidRPr="00A35A72">
          <w:rPr>
            <w:rFonts w:ascii="Arial" w:hAnsi="Arial" w:cs="Arial"/>
            <w:color w:val="0000FF"/>
            <w:kern w:val="0"/>
            <w:sz w:val="28"/>
            <w:szCs w:val="28"/>
            <w:u w:val="single"/>
            <w14:ligatures w14:val="none"/>
          </w:rPr>
          <w:t>Sigmund Freud</w:t>
        </w:r>
      </w:hyperlink>
      <w:r w:rsidRPr="00A35A72">
        <w:rPr>
          <w:rFonts w:ascii="Arial" w:hAnsi="Arial" w:cs="Arial"/>
          <w:kern w:val="0"/>
          <w:sz w:val="28"/>
          <w:szCs w:val="28"/>
          <w14:ligatures w14:val="none"/>
        </w:rPr>
        <w:t xml:space="preserve"> introduced a psychological perspective, suggesting that melancholia was linked to unresolved loss and internal conflict, where individuals direct negative feelings towards themselves (Freud, 1917/2005). This helped expand understanding beyond biology and highlighted the importance of emotional experience.</w:t>
      </w:r>
    </w:p>
    <w:p w14:paraId="35C45052"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474A1F3F"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lastRenderedPageBreak/>
        <w:t>The mid-20th century brought major changes with the development of antidepressant medication. Early drugs such as monoamine oxidase inhibitors and tricyclic antidepressants suggested that depression could be linked to brain chemistry (Healy, 1997). Later, selective serotonin reuptake inhibitors became widely used due to their effectiveness and safety. Diagnostic systems such as the DSM-III also helped standardise the way depression was identified (American Psychiatric Association, 1980). However, some critics argued that this approach focused too heavily on biology and overlooked psychological and social influences.</w:t>
      </w:r>
    </w:p>
    <w:p w14:paraId="019D9C57"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16837107"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 xml:space="preserve">Today, melancholia is understood using a biopsychosocial approach, introduced by </w:t>
      </w:r>
      <w:hyperlink r:id="rId11" w:history="1">
        <w:r w:rsidRPr="00A35A72">
          <w:rPr>
            <w:rFonts w:ascii="Arial" w:hAnsi="Arial" w:cs="Arial"/>
            <w:color w:val="0000FF"/>
            <w:kern w:val="0"/>
            <w:sz w:val="28"/>
            <w:szCs w:val="28"/>
            <w:u w:val="single"/>
            <w14:ligatures w14:val="none"/>
          </w:rPr>
          <w:t>George Engel</w:t>
        </w:r>
      </w:hyperlink>
      <w:r w:rsidRPr="00A35A72">
        <w:rPr>
          <w:rFonts w:ascii="Arial" w:hAnsi="Arial" w:cs="Arial"/>
          <w:kern w:val="0"/>
          <w:sz w:val="28"/>
          <w:szCs w:val="28"/>
          <w14:ligatures w14:val="none"/>
        </w:rPr>
        <w:t>, which recognises that mental health is influenced by a combination of biological, psychological, and social factors (Engel, 1977). This has led to more holistic treatment approaches, including therapies such as cognitive behavioural therapy alongside medication when needed. There is also growing interest in alternative treatments, such as psychedelic-assisted therapy for individuals who do not respond to traditional methods (Carhart-Harris et al., 2016). Modern approaches also focus more on reducing stigma, promoting early intervention, and supporting individual needs.</w:t>
      </w:r>
    </w:p>
    <w:p w14:paraId="4B93CE98"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00697347"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In conclusion, the understanding of melancholia has changed significantly over time. It has moved from early physical theories and religious beliefs to scientific and psychological explanations, and now to a more balanced biopsychosocial approach. This development shows clear progress in both knowledge and attitudes, leading to more effective and compassionate care. Overall, melancholia highlights the importance of understanding mental health from multiple perspectives rather than relying on a single explanation.</w:t>
      </w:r>
    </w:p>
    <w:p w14:paraId="687822B0" w14:textId="77777777" w:rsidR="00A35A72" w:rsidRPr="00A35A72" w:rsidRDefault="00A35A72" w:rsidP="00282D78">
      <w:pPr>
        <w:spacing w:after="0" w:line="480" w:lineRule="auto"/>
        <w:rPr>
          <w:rFonts w:ascii="Arial" w:eastAsia="Times New Roman" w:hAnsi="Arial" w:cs="Arial"/>
          <w:kern w:val="0"/>
          <w:sz w:val="28"/>
          <w:szCs w:val="28"/>
          <w14:ligatures w14:val="none"/>
        </w:rPr>
      </w:pPr>
      <w:r w:rsidRPr="00A35A72">
        <w:rPr>
          <w:rFonts w:ascii="Arial" w:eastAsia="Times New Roman" w:hAnsi="Arial" w:cs="Arial"/>
          <w:noProof/>
          <w:kern w:val="0"/>
          <w:sz w:val="28"/>
          <w:szCs w:val="28"/>
          <w14:ligatures w14:val="none"/>
        </w:rPr>
        <mc:AlternateContent>
          <mc:Choice Requires="wps">
            <w:drawing>
              <wp:inline distT="0" distB="0" distL="0" distR="0" wp14:anchorId="67B6BE93" wp14:editId="68BA0D87">
                <wp:extent cx="5731510" cy="1270"/>
                <wp:effectExtent l="0" t="31750" r="0" b="36830"/>
                <wp:docPr id="195134004" name="Rectangle 1">
                  <a:extLst xmlns:a="http://schemas.openxmlformats.org/drawingml/2006/main">
                    <a:ext uri="{FF2B5EF4-FFF2-40B4-BE49-F238E27FC236}">
                      <a16:creationId xmlns:a16="http://schemas.microsoft.com/office/drawing/2014/main" id="{A75D5510-8C8E-43EF-BF28-876B1A0651C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AF6C31D"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3D7A71C" w14:textId="77777777" w:rsidR="00A35A72" w:rsidRPr="00A35A72" w:rsidRDefault="00A35A72" w:rsidP="00282D78">
      <w:pPr>
        <w:spacing w:before="100" w:beforeAutospacing="1" w:after="100" w:afterAutospacing="1" w:line="480" w:lineRule="auto"/>
        <w:outlineLvl w:val="1"/>
        <w:rPr>
          <w:rFonts w:ascii="Arial" w:hAnsi="Arial" w:cs="Arial"/>
          <w:b/>
          <w:bCs/>
          <w:kern w:val="0"/>
          <w:sz w:val="28"/>
          <w:szCs w:val="28"/>
          <w14:ligatures w14:val="none"/>
        </w:rPr>
      </w:pPr>
      <w:r w:rsidRPr="00A35A72">
        <w:rPr>
          <w:rFonts w:ascii="Arial" w:eastAsia="Times New Roman" w:hAnsi="Arial" w:cs="Arial"/>
          <w:b/>
          <w:bCs/>
          <w:kern w:val="0"/>
          <w:sz w:val="28"/>
          <w:szCs w:val="28"/>
          <w14:ligatures w14:val="none"/>
        </w:rPr>
        <w:t>APA 7 Reference List</w:t>
      </w:r>
    </w:p>
    <w:p w14:paraId="6332B7FC"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2BC91E15"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American Psychiatric Association. (1980). Diagnostic and statistical manual of mental disorders (3rd ed.). Author.</w:t>
      </w:r>
    </w:p>
    <w:p w14:paraId="5D93D5CE"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0B7E394C"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Burton, R. (2001). The anatomy of melancholy. New York Review Books. (Original work published 1621)</w:t>
      </w:r>
    </w:p>
    <w:p w14:paraId="0468DCF3"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45F0FC91"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lastRenderedPageBreak/>
        <w:t>Carhart-Harris, R. L., Bolstridge, M., Rucker, J., et al. (2016). Psilocybin with psychological support for treatment-resistant depression. The Lancet Psychiatry, 3(7), 619–627.</w:t>
      </w:r>
    </w:p>
    <w:p w14:paraId="4916198C"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6FDEE5A6"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Engel, G. L. (1977). The need for a new medical model: A challenge for biomedicine. Science, 196(4286), 129–136.</w:t>
      </w:r>
    </w:p>
    <w:p w14:paraId="551D10AF"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5715DB52"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Freud, S. (2005). Mourning and melancholia. Penguin. (Original work published 1917)</w:t>
      </w:r>
    </w:p>
    <w:p w14:paraId="7C8BB925"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174AB0E9"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Healy, D. (1997). The antidepressant era. Harvard University Press.</w:t>
      </w:r>
    </w:p>
    <w:p w14:paraId="2771A6D9"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4E1AA241"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Jackson, S. W. (1986). Melancholia and depression. Yale University Press.</w:t>
      </w:r>
    </w:p>
    <w:p w14:paraId="6ECF8621"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2A599D1F"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Klibansky, R., Panofsky, E., &amp; Saxl, F. (1964). Saturn and melancholy. Nelson.</w:t>
      </w:r>
    </w:p>
    <w:p w14:paraId="4AED6EC6"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11BF8AD5"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Kraepelin, E. (2002). Clinical psychiatry. Dover. (Original work published 1913)</w:t>
      </w:r>
    </w:p>
    <w:p w14:paraId="7C3DCC3E"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69D14F92"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Porter, R. (2002). Madness: A brief history. Oxford University Press.</w:t>
      </w:r>
    </w:p>
    <w:p w14:paraId="1DE68735"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p>
    <w:p w14:paraId="2FDDB6B3" w14:textId="77777777" w:rsidR="00A35A72" w:rsidRPr="00A35A72" w:rsidRDefault="00A35A72" w:rsidP="00282D78">
      <w:pPr>
        <w:spacing w:before="100" w:beforeAutospacing="1" w:after="100" w:afterAutospacing="1" w:line="480" w:lineRule="auto"/>
        <w:rPr>
          <w:rFonts w:ascii="Arial" w:hAnsi="Arial" w:cs="Arial"/>
          <w:kern w:val="0"/>
          <w:sz w:val="28"/>
          <w:szCs w:val="28"/>
          <w14:ligatures w14:val="none"/>
        </w:rPr>
      </w:pPr>
      <w:r w:rsidRPr="00A35A72">
        <w:rPr>
          <w:rFonts w:ascii="Arial" w:hAnsi="Arial" w:cs="Arial"/>
          <w:kern w:val="0"/>
          <w:sz w:val="28"/>
          <w:szCs w:val="28"/>
          <w14:ligatures w14:val="none"/>
        </w:rPr>
        <w:t>Radden, J. (2000). The nature of melancholy. Oxford University Press.</w:t>
      </w:r>
    </w:p>
    <w:p w14:paraId="0FA956E6" w14:textId="500E02E1" w:rsidR="00A35A72" w:rsidRPr="007C0F2B" w:rsidRDefault="007C0F2B" w:rsidP="00282D78">
      <w:pPr>
        <w:spacing w:line="480" w:lineRule="auto"/>
        <w:rPr>
          <w:rFonts w:ascii="Arial" w:hAnsi="Arial" w:cs="Arial"/>
          <w:sz w:val="28"/>
          <w:szCs w:val="28"/>
          <w:u w:val="single"/>
        </w:rPr>
      </w:pPr>
      <w:r>
        <w:rPr>
          <w:rFonts w:ascii="Arial" w:hAnsi="Arial" w:cs="Arial"/>
          <w:sz w:val="28"/>
          <w:szCs w:val="28"/>
        </w:rPr>
        <w:t xml:space="preserve">                                                                                                                              </w:t>
      </w:r>
      <w:r>
        <w:rPr>
          <w:rFonts w:ascii="Arial" w:hAnsi="Arial" w:cs="Arial"/>
          <w:sz w:val="28"/>
          <w:szCs w:val="28"/>
        </w:rPr>
        <w:tab/>
        <w:t xml:space="preserve">                                                                            </w:t>
      </w:r>
      <w:r>
        <w:rPr>
          <w:rFonts w:ascii="Arial" w:hAnsi="Arial" w:cs="Arial"/>
          <w:sz w:val="28"/>
          <w:szCs w:val="28"/>
        </w:rPr>
        <w:tab/>
        <w:t xml:space="preserve">          </w:t>
      </w:r>
      <w:r>
        <w:rPr>
          <w:rFonts w:ascii="Arial" w:hAnsi="Arial" w:cs="Arial"/>
          <w:sz w:val="28"/>
          <w:szCs w:val="28"/>
          <w:u w:val="single"/>
        </w:rPr>
        <w:t xml:space="preserve">                        </w:t>
      </w:r>
      <w:r w:rsidR="007A63B8">
        <w:rPr>
          <w:rFonts w:ascii="Arial" w:hAnsi="Arial" w:cs="Arial"/>
          <w:sz w:val="28"/>
          <w:szCs w:val="28"/>
          <w:u w:val="single"/>
        </w:rPr>
        <w:t xml:space="preserve">I have used AI </w:t>
      </w:r>
      <w:r w:rsidR="00996FD2">
        <w:rPr>
          <w:rFonts w:ascii="Arial" w:hAnsi="Arial" w:cs="Arial"/>
          <w:sz w:val="28"/>
          <w:szCs w:val="28"/>
          <w:u w:val="single"/>
        </w:rPr>
        <w:t xml:space="preserve">(chat </w:t>
      </w:r>
      <w:proofErr w:type="spellStart"/>
      <w:r w:rsidR="00996FD2">
        <w:rPr>
          <w:rFonts w:ascii="Arial" w:hAnsi="Arial" w:cs="Arial"/>
          <w:sz w:val="28"/>
          <w:szCs w:val="28"/>
          <w:u w:val="single"/>
        </w:rPr>
        <w:t>g</w:t>
      </w:r>
      <w:r w:rsidR="00C34EEA">
        <w:rPr>
          <w:rFonts w:ascii="Arial" w:hAnsi="Arial" w:cs="Arial"/>
          <w:sz w:val="28"/>
          <w:szCs w:val="28"/>
          <w:u w:val="single"/>
        </w:rPr>
        <w:t>pt</w:t>
      </w:r>
      <w:proofErr w:type="spellEnd"/>
      <w:r w:rsidR="00996FD2">
        <w:rPr>
          <w:rFonts w:ascii="Arial" w:hAnsi="Arial" w:cs="Arial"/>
          <w:sz w:val="28"/>
          <w:szCs w:val="28"/>
          <w:u w:val="single"/>
        </w:rPr>
        <w:t>)</w:t>
      </w:r>
      <w:r w:rsidR="00FF308C">
        <w:rPr>
          <w:rFonts w:ascii="Arial" w:hAnsi="Arial" w:cs="Arial"/>
          <w:sz w:val="28"/>
          <w:szCs w:val="28"/>
          <w:u w:val="single"/>
        </w:rPr>
        <w:t xml:space="preserve"> </w:t>
      </w:r>
      <w:r w:rsidR="00734B2B">
        <w:rPr>
          <w:rFonts w:ascii="Arial" w:hAnsi="Arial" w:cs="Arial"/>
          <w:sz w:val="28"/>
          <w:szCs w:val="28"/>
          <w:u w:val="single"/>
        </w:rPr>
        <w:t>to assist with the structur</w:t>
      </w:r>
      <w:r w:rsidR="00000A26">
        <w:rPr>
          <w:rFonts w:ascii="Arial" w:hAnsi="Arial" w:cs="Arial"/>
          <w:sz w:val="28"/>
          <w:szCs w:val="28"/>
          <w:u w:val="single"/>
        </w:rPr>
        <w:t xml:space="preserve">ing and organising this </w:t>
      </w:r>
      <w:r w:rsidR="002B2BC6">
        <w:rPr>
          <w:rFonts w:ascii="Arial" w:hAnsi="Arial" w:cs="Arial"/>
          <w:sz w:val="28"/>
          <w:szCs w:val="28"/>
          <w:u w:val="single"/>
        </w:rPr>
        <w:t>essay. All ideas</w:t>
      </w:r>
      <w:r w:rsidR="00CE484D">
        <w:rPr>
          <w:rFonts w:ascii="Arial" w:hAnsi="Arial" w:cs="Arial"/>
          <w:sz w:val="28"/>
          <w:szCs w:val="28"/>
          <w:u w:val="single"/>
        </w:rPr>
        <w:t>,</w:t>
      </w:r>
      <w:r w:rsidR="002B2BC6">
        <w:rPr>
          <w:rFonts w:ascii="Arial" w:hAnsi="Arial" w:cs="Arial"/>
          <w:sz w:val="28"/>
          <w:szCs w:val="28"/>
          <w:u w:val="single"/>
        </w:rPr>
        <w:t xml:space="preserve"> and final</w:t>
      </w:r>
      <w:r w:rsidR="008A1DFF">
        <w:rPr>
          <w:rFonts w:ascii="Arial" w:hAnsi="Arial" w:cs="Arial"/>
          <w:sz w:val="28"/>
          <w:szCs w:val="28"/>
          <w:u w:val="single"/>
        </w:rPr>
        <w:t xml:space="preserve"> written content are my own, </w:t>
      </w:r>
      <w:r w:rsidR="00311628">
        <w:rPr>
          <w:rFonts w:ascii="Arial" w:hAnsi="Arial" w:cs="Arial"/>
          <w:sz w:val="28"/>
          <w:szCs w:val="28"/>
          <w:u w:val="single"/>
        </w:rPr>
        <w:t>and I have</w:t>
      </w:r>
      <w:r w:rsidR="00CE484D">
        <w:rPr>
          <w:rFonts w:ascii="Arial" w:hAnsi="Arial" w:cs="Arial"/>
          <w:sz w:val="28"/>
          <w:szCs w:val="28"/>
          <w:u w:val="single"/>
        </w:rPr>
        <w:t xml:space="preserve"> ensured</w:t>
      </w:r>
      <w:r w:rsidR="00311628">
        <w:rPr>
          <w:rFonts w:ascii="Arial" w:hAnsi="Arial" w:cs="Arial"/>
          <w:sz w:val="28"/>
          <w:szCs w:val="28"/>
          <w:u w:val="single"/>
        </w:rPr>
        <w:t xml:space="preserve"> the work reflects my understanding of the topic.</w:t>
      </w:r>
    </w:p>
    <w:sectPr w:rsidR="00A35A72" w:rsidRPr="007C0F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72"/>
    <w:rsid w:val="00000A26"/>
    <w:rsid w:val="00045273"/>
    <w:rsid w:val="00064B7A"/>
    <w:rsid w:val="00090F58"/>
    <w:rsid w:val="000D7C7B"/>
    <w:rsid w:val="0028258E"/>
    <w:rsid w:val="00282D78"/>
    <w:rsid w:val="00293FAB"/>
    <w:rsid w:val="002B2BC6"/>
    <w:rsid w:val="002F79E3"/>
    <w:rsid w:val="003025F8"/>
    <w:rsid w:val="003056D3"/>
    <w:rsid w:val="00311628"/>
    <w:rsid w:val="0038558D"/>
    <w:rsid w:val="003D2AC8"/>
    <w:rsid w:val="00440912"/>
    <w:rsid w:val="004746ED"/>
    <w:rsid w:val="00481FF6"/>
    <w:rsid w:val="004E6E2F"/>
    <w:rsid w:val="005445CD"/>
    <w:rsid w:val="005B346D"/>
    <w:rsid w:val="005B6963"/>
    <w:rsid w:val="005C7193"/>
    <w:rsid w:val="005E1A3D"/>
    <w:rsid w:val="005F0D27"/>
    <w:rsid w:val="00601925"/>
    <w:rsid w:val="006323C2"/>
    <w:rsid w:val="00717857"/>
    <w:rsid w:val="00734B2B"/>
    <w:rsid w:val="007A423D"/>
    <w:rsid w:val="007A63B8"/>
    <w:rsid w:val="007C0F2B"/>
    <w:rsid w:val="007E30D8"/>
    <w:rsid w:val="007F03E0"/>
    <w:rsid w:val="00872043"/>
    <w:rsid w:val="00876B63"/>
    <w:rsid w:val="008A1DFF"/>
    <w:rsid w:val="008D6C67"/>
    <w:rsid w:val="008F3BDB"/>
    <w:rsid w:val="00930B19"/>
    <w:rsid w:val="00952DBF"/>
    <w:rsid w:val="00996FD2"/>
    <w:rsid w:val="009F4673"/>
    <w:rsid w:val="009F57A9"/>
    <w:rsid w:val="009F7E1A"/>
    <w:rsid w:val="00A072D6"/>
    <w:rsid w:val="00A2375E"/>
    <w:rsid w:val="00A35A72"/>
    <w:rsid w:val="00AD51ED"/>
    <w:rsid w:val="00AD5228"/>
    <w:rsid w:val="00AD749A"/>
    <w:rsid w:val="00AE2418"/>
    <w:rsid w:val="00B61809"/>
    <w:rsid w:val="00B748EC"/>
    <w:rsid w:val="00B7599C"/>
    <w:rsid w:val="00B92731"/>
    <w:rsid w:val="00B952D0"/>
    <w:rsid w:val="00BC5A90"/>
    <w:rsid w:val="00C07993"/>
    <w:rsid w:val="00C325BC"/>
    <w:rsid w:val="00C34EEA"/>
    <w:rsid w:val="00CA7D05"/>
    <w:rsid w:val="00CE42B6"/>
    <w:rsid w:val="00CE484D"/>
    <w:rsid w:val="00D12975"/>
    <w:rsid w:val="00D22173"/>
    <w:rsid w:val="00D448E4"/>
    <w:rsid w:val="00D74879"/>
    <w:rsid w:val="00DE7207"/>
    <w:rsid w:val="00E6797C"/>
    <w:rsid w:val="00EB4BD0"/>
    <w:rsid w:val="00EC0654"/>
    <w:rsid w:val="00EC3D4D"/>
    <w:rsid w:val="00F37DE9"/>
    <w:rsid w:val="00FA0F8B"/>
    <w:rsid w:val="00FF0514"/>
    <w:rsid w:val="00FF30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6D835"/>
  <w15:chartTrackingRefBased/>
  <w15:docId w15:val="{C1C0D7FE-F0BA-4843-86D7-318B0504F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A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5A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5A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5A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5A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5A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5A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5A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5A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A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5A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5A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5A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5A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5A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5A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5A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5A72"/>
    <w:rPr>
      <w:rFonts w:eastAsiaTheme="majorEastAsia" w:cstheme="majorBidi"/>
      <w:color w:val="272727" w:themeColor="text1" w:themeTint="D8"/>
    </w:rPr>
  </w:style>
  <w:style w:type="paragraph" w:styleId="Title">
    <w:name w:val="Title"/>
    <w:basedOn w:val="Normal"/>
    <w:next w:val="Normal"/>
    <w:link w:val="TitleChar"/>
    <w:uiPriority w:val="10"/>
    <w:qFormat/>
    <w:rsid w:val="00A35A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5A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5A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5A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5A72"/>
    <w:pPr>
      <w:spacing w:before="160"/>
      <w:jc w:val="center"/>
    </w:pPr>
    <w:rPr>
      <w:i/>
      <w:iCs/>
      <w:color w:val="404040" w:themeColor="text1" w:themeTint="BF"/>
    </w:rPr>
  </w:style>
  <w:style w:type="character" w:customStyle="1" w:styleId="QuoteChar">
    <w:name w:val="Quote Char"/>
    <w:basedOn w:val="DefaultParagraphFont"/>
    <w:link w:val="Quote"/>
    <w:uiPriority w:val="29"/>
    <w:rsid w:val="00A35A72"/>
    <w:rPr>
      <w:i/>
      <w:iCs/>
      <w:color w:val="404040" w:themeColor="text1" w:themeTint="BF"/>
    </w:rPr>
  </w:style>
  <w:style w:type="paragraph" w:styleId="ListParagraph">
    <w:name w:val="List Paragraph"/>
    <w:basedOn w:val="Normal"/>
    <w:uiPriority w:val="34"/>
    <w:qFormat/>
    <w:rsid w:val="00A35A72"/>
    <w:pPr>
      <w:ind w:left="720"/>
      <w:contextualSpacing/>
    </w:pPr>
  </w:style>
  <w:style w:type="character" w:styleId="IntenseEmphasis">
    <w:name w:val="Intense Emphasis"/>
    <w:basedOn w:val="DefaultParagraphFont"/>
    <w:uiPriority w:val="21"/>
    <w:qFormat/>
    <w:rsid w:val="00A35A72"/>
    <w:rPr>
      <w:i/>
      <w:iCs/>
      <w:color w:val="0F4761" w:themeColor="accent1" w:themeShade="BF"/>
    </w:rPr>
  </w:style>
  <w:style w:type="paragraph" w:styleId="IntenseQuote">
    <w:name w:val="Intense Quote"/>
    <w:basedOn w:val="Normal"/>
    <w:next w:val="Normal"/>
    <w:link w:val="IntenseQuoteChar"/>
    <w:uiPriority w:val="30"/>
    <w:qFormat/>
    <w:rsid w:val="00A35A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5A72"/>
    <w:rPr>
      <w:i/>
      <w:iCs/>
      <w:color w:val="0F4761" w:themeColor="accent1" w:themeShade="BF"/>
    </w:rPr>
  </w:style>
  <w:style w:type="character" w:styleId="IntenseReference">
    <w:name w:val="Intense Reference"/>
    <w:basedOn w:val="DefaultParagraphFont"/>
    <w:uiPriority w:val="32"/>
    <w:qFormat/>
    <w:rsid w:val="00A35A72"/>
    <w:rPr>
      <w:b/>
      <w:bCs/>
      <w:smallCaps/>
      <w:color w:val="0F4761" w:themeColor="accent1" w:themeShade="BF"/>
      <w:spacing w:val="5"/>
    </w:rPr>
  </w:style>
  <w:style w:type="paragraph" w:customStyle="1" w:styleId="p1">
    <w:name w:val="p1"/>
    <w:basedOn w:val="Normal"/>
    <w:rsid w:val="00A35A72"/>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A35A72"/>
  </w:style>
  <w:style w:type="paragraph" w:customStyle="1" w:styleId="p2">
    <w:name w:val="p2"/>
    <w:basedOn w:val="Normal"/>
    <w:rsid w:val="00A35A72"/>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A35A72"/>
  </w:style>
  <w:style w:type="character" w:customStyle="1" w:styleId="s3">
    <w:name w:val="s3"/>
    <w:basedOn w:val="DefaultParagraphFont"/>
    <w:rsid w:val="00A35A72"/>
  </w:style>
  <w:style w:type="character" w:customStyle="1" w:styleId="s4">
    <w:name w:val="s4"/>
    <w:basedOn w:val="DefaultParagraphFont"/>
    <w:rsid w:val="00A35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chatgpt://generic-entity?number=4"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chatgpt://generic-entity?number=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chatgpt://generic-entity?number=2" TargetMode="External"/><Relationship Id="rId11" Type="http://schemas.openxmlformats.org/officeDocument/2006/relationships/hyperlink" Target="chatgpt://generic-entity?number=7" TargetMode="External"/><Relationship Id="rId5" Type="http://schemas.openxmlformats.org/officeDocument/2006/relationships/hyperlink" Target="chatgpt://generic-entity?number=1" TargetMode="External"/><Relationship Id="rId10" Type="http://schemas.openxmlformats.org/officeDocument/2006/relationships/hyperlink" Target="chatgpt://generic-entity?number=6" TargetMode="External"/><Relationship Id="rId4" Type="http://schemas.openxmlformats.org/officeDocument/2006/relationships/hyperlink" Target="chatgpt://generic-entity?number=0" TargetMode="External"/><Relationship Id="rId9" Type="http://schemas.openxmlformats.org/officeDocument/2006/relationships/hyperlink" Target="chatgpt://generic-entity?number=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1066</Words>
  <Characters>6498</Characters>
  <Application>Microsoft Office Word</Application>
  <DocSecurity>0</DocSecurity>
  <Lines>141</Lines>
  <Paragraphs>25</Paragraphs>
  <ScaleCrop>false</ScaleCrop>
  <Company/>
  <LinksUpToDate>false</LinksUpToDate>
  <CharactersWithSpaces>7539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Richards</dc:creator>
  <cp:keywords/>
  <dc:description/>
  <cp:lastModifiedBy>Chantelle Richards</cp:lastModifiedBy>
  <cp:revision>2</cp:revision>
  <dcterms:created xsi:type="dcterms:W3CDTF">2026-04-20T18:06:00Z</dcterms:created>
  <dcterms:modified xsi:type="dcterms:W3CDTF">2026-04-20T18:06:00Z</dcterms:modified>
</cp:coreProperties>
</file>