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D30E35" w14:textId="77777777" w:rsidR="00AC2132" w:rsidRDefault="00AC2132" w:rsidP="00AC2132">
      <w:r>
        <w:rPr>
          <w:noProof/>
          <w:lang w:eastAsia="en-GB"/>
        </w:rPr>
        <w:drawing>
          <wp:inline distT="0" distB="0" distL="0" distR="0" wp14:anchorId="6C1CF550" wp14:editId="2DFBE850">
            <wp:extent cx="3252324" cy="1346200"/>
            <wp:effectExtent l="0" t="0" r="5715"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257331" cy="1348272"/>
                    </a:xfrm>
                    <a:prstGeom prst="rect">
                      <a:avLst/>
                    </a:prstGeom>
                  </pic:spPr>
                </pic:pic>
              </a:graphicData>
            </a:graphic>
          </wp:inline>
        </w:drawing>
      </w:r>
    </w:p>
    <w:p w14:paraId="68D4CCB6" w14:textId="77777777" w:rsidR="00AC2132" w:rsidRDefault="00AC2132" w:rsidP="00AC2132"/>
    <w:p w14:paraId="46BE4A91" w14:textId="77777777" w:rsidR="00AC2132" w:rsidRDefault="00AC2132" w:rsidP="00AC2132"/>
    <w:p w14:paraId="0D3F7E76" w14:textId="77777777" w:rsidR="00AC2132" w:rsidRDefault="00AC2132" w:rsidP="00AC2132"/>
    <w:p w14:paraId="57E329EA" w14:textId="77777777" w:rsidR="00AC2132" w:rsidRPr="00AC2132" w:rsidRDefault="00AC2132" w:rsidP="00AC2132">
      <w:pPr>
        <w:jc w:val="center"/>
        <w:rPr>
          <w:b/>
          <w:sz w:val="32"/>
        </w:rPr>
      </w:pPr>
      <w:r w:rsidRPr="00AC2132">
        <w:rPr>
          <w:b/>
          <w:sz w:val="32"/>
        </w:rPr>
        <w:t>BA International Hotel Management</w:t>
      </w:r>
    </w:p>
    <w:p w14:paraId="40CBE6ED" w14:textId="77777777" w:rsidR="00AC2132" w:rsidRPr="00AC2132" w:rsidRDefault="00AC2132" w:rsidP="00AC2132">
      <w:pPr>
        <w:jc w:val="center"/>
        <w:rPr>
          <w:b/>
          <w:sz w:val="32"/>
        </w:rPr>
      </w:pPr>
      <w:r w:rsidRPr="00AC2132">
        <w:rPr>
          <w:b/>
          <w:sz w:val="32"/>
        </w:rPr>
        <w:t>BMIH5007</w:t>
      </w:r>
    </w:p>
    <w:p w14:paraId="6966E1AB" w14:textId="77777777" w:rsidR="007A2DAD" w:rsidRDefault="00AC2132" w:rsidP="00AC2132">
      <w:pPr>
        <w:jc w:val="center"/>
        <w:rPr>
          <w:b/>
          <w:sz w:val="32"/>
        </w:rPr>
      </w:pPr>
      <w:r w:rsidRPr="00AC2132">
        <w:rPr>
          <w:b/>
          <w:sz w:val="32"/>
        </w:rPr>
        <w:t>Financial Management for the Hotel Industry</w:t>
      </w:r>
    </w:p>
    <w:p w14:paraId="2AEC5994" w14:textId="77777777" w:rsidR="00E11247" w:rsidRDefault="00E11247" w:rsidP="00AC2132">
      <w:pPr>
        <w:jc w:val="center"/>
        <w:rPr>
          <w:b/>
          <w:sz w:val="32"/>
        </w:rPr>
      </w:pPr>
      <w:r>
        <w:rPr>
          <w:b/>
          <w:sz w:val="32"/>
        </w:rPr>
        <w:t>Assignment 2</w:t>
      </w:r>
    </w:p>
    <w:p w14:paraId="55AC3800" w14:textId="45CF1D92" w:rsidR="00C7058D" w:rsidRDefault="00C7058D" w:rsidP="00AC2132">
      <w:pPr>
        <w:jc w:val="center"/>
        <w:rPr>
          <w:b/>
          <w:sz w:val="32"/>
        </w:rPr>
      </w:pPr>
      <w:r>
        <w:rPr>
          <w:b/>
          <w:sz w:val="32"/>
        </w:rPr>
        <w:t>Student name: Eduard Popa</w:t>
      </w:r>
    </w:p>
    <w:p w14:paraId="77E7F1FF" w14:textId="027309AF" w:rsidR="00C7058D" w:rsidRDefault="00C7058D" w:rsidP="00C7058D">
      <w:pPr>
        <w:jc w:val="center"/>
        <w:rPr>
          <w:b/>
          <w:sz w:val="32"/>
        </w:rPr>
      </w:pPr>
      <w:r>
        <w:rPr>
          <w:b/>
          <w:sz w:val="32"/>
        </w:rPr>
        <w:t xml:space="preserve">Lecturer: </w:t>
      </w:r>
      <w:r w:rsidRPr="00C7058D">
        <w:rPr>
          <w:b/>
          <w:sz w:val="32"/>
        </w:rPr>
        <w:t xml:space="preserve"> Jaliya de </w:t>
      </w:r>
      <w:r>
        <w:rPr>
          <w:b/>
          <w:sz w:val="32"/>
        </w:rPr>
        <w:t>Silva</w:t>
      </w:r>
    </w:p>
    <w:p w14:paraId="4835514A" w14:textId="77777777" w:rsidR="0007041A" w:rsidRDefault="0007041A">
      <w:pPr>
        <w:spacing w:line="259" w:lineRule="auto"/>
        <w:jc w:val="left"/>
        <w:rPr>
          <w:b/>
          <w:sz w:val="32"/>
        </w:rPr>
      </w:pPr>
      <w:r>
        <w:rPr>
          <w:b/>
          <w:sz w:val="32"/>
        </w:rPr>
        <w:br w:type="page"/>
      </w:r>
    </w:p>
    <w:sdt>
      <w:sdtPr>
        <w:rPr>
          <w:rFonts w:ascii="Times New Roman" w:eastAsiaTheme="minorHAnsi" w:hAnsi="Times New Roman" w:cstheme="minorBidi"/>
          <w:color w:val="auto"/>
          <w:sz w:val="24"/>
          <w:szCs w:val="22"/>
          <w:lang w:val="en-GB"/>
        </w:rPr>
        <w:id w:val="1881195407"/>
        <w:docPartObj>
          <w:docPartGallery w:val="Table of Contents"/>
          <w:docPartUnique/>
        </w:docPartObj>
      </w:sdtPr>
      <w:sdtEndPr>
        <w:rPr>
          <w:b/>
          <w:bCs/>
          <w:noProof/>
        </w:rPr>
      </w:sdtEndPr>
      <w:sdtContent>
        <w:p w14:paraId="407C6B82" w14:textId="77777777" w:rsidR="006A068B" w:rsidRDefault="006A068B">
          <w:pPr>
            <w:pStyle w:val="TOCHeading"/>
          </w:pPr>
          <w:r>
            <w:t>Table of Contents</w:t>
          </w:r>
        </w:p>
        <w:p w14:paraId="00353C16" w14:textId="77777777" w:rsidR="00075F9B" w:rsidRDefault="006A068B">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50091749" w:history="1">
            <w:r w:rsidR="00075F9B" w:rsidRPr="00354619">
              <w:rPr>
                <w:rStyle w:val="Hyperlink"/>
                <w:noProof/>
              </w:rPr>
              <w:t>Introduction</w:t>
            </w:r>
            <w:r w:rsidR="00075F9B">
              <w:rPr>
                <w:noProof/>
                <w:webHidden/>
              </w:rPr>
              <w:tab/>
            </w:r>
            <w:r w:rsidR="00075F9B">
              <w:rPr>
                <w:noProof/>
                <w:webHidden/>
              </w:rPr>
              <w:fldChar w:fldCharType="begin"/>
            </w:r>
            <w:r w:rsidR="00075F9B">
              <w:rPr>
                <w:noProof/>
                <w:webHidden/>
              </w:rPr>
              <w:instrText xml:space="preserve"> PAGEREF _Toc150091749 \h </w:instrText>
            </w:r>
            <w:r w:rsidR="00075F9B">
              <w:rPr>
                <w:noProof/>
                <w:webHidden/>
              </w:rPr>
            </w:r>
            <w:r w:rsidR="00075F9B">
              <w:rPr>
                <w:noProof/>
                <w:webHidden/>
              </w:rPr>
              <w:fldChar w:fldCharType="separate"/>
            </w:r>
            <w:r w:rsidR="00075F9B">
              <w:rPr>
                <w:noProof/>
                <w:webHidden/>
              </w:rPr>
              <w:t>3</w:t>
            </w:r>
            <w:r w:rsidR="00075F9B">
              <w:rPr>
                <w:noProof/>
                <w:webHidden/>
              </w:rPr>
              <w:fldChar w:fldCharType="end"/>
            </w:r>
          </w:hyperlink>
        </w:p>
        <w:p w14:paraId="154ED403" w14:textId="77777777" w:rsidR="00075F9B" w:rsidRDefault="00000000">
          <w:pPr>
            <w:pStyle w:val="TOC1"/>
            <w:tabs>
              <w:tab w:val="right" w:leader="dot" w:pos="9350"/>
            </w:tabs>
            <w:rPr>
              <w:rFonts w:asciiTheme="minorHAnsi" w:eastAsiaTheme="minorEastAsia" w:hAnsiTheme="minorHAnsi"/>
              <w:noProof/>
              <w:sz w:val="22"/>
              <w:lang w:eastAsia="en-GB"/>
            </w:rPr>
          </w:pPr>
          <w:hyperlink w:anchor="_Toc150091750" w:history="1">
            <w:r w:rsidR="00075F9B" w:rsidRPr="00354619">
              <w:rPr>
                <w:rStyle w:val="Hyperlink"/>
                <w:noProof/>
              </w:rPr>
              <w:t>Analysing The Seaview Resort's financial performance over the past three years</w:t>
            </w:r>
            <w:r w:rsidR="00075F9B">
              <w:rPr>
                <w:noProof/>
                <w:webHidden/>
              </w:rPr>
              <w:tab/>
            </w:r>
            <w:r w:rsidR="00075F9B">
              <w:rPr>
                <w:noProof/>
                <w:webHidden/>
              </w:rPr>
              <w:fldChar w:fldCharType="begin"/>
            </w:r>
            <w:r w:rsidR="00075F9B">
              <w:rPr>
                <w:noProof/>
                <w:webHidden/>
              </w:rPr>
              <w:instrText xml:space="preserve"> PAGEREF _Toc150091750 \h </w:instrText>
            </w:r>
            <w:r w:rsidR="00075F9B">
              <w:rPr>
                <w:noProof/>
                <w:webHidden/>
              </w:rPr>
            </w:r>
            <w:r w:rsidR="00075F9B">
              <w:rPr>
                <w:noProof/>
                <w:webHidden/>
              </w:rPr>
              <w:fldChar w:fldCharType="separate"/>
            </w:r>
            <w:r w:rsidR="00075F9B">
              <w:rPr>
                <w:noProof/>
                <w:webHidden/>
              </w:rPr>
              <w:t>4</w:t>
            </w:r>
            <w:r w:rsidR="00075F9B">
              <w:rPr>
                <w:noProof/>
                <w:webHidden/>
              </w:rPr>
              <w:fldChar w:fldCharType="end"/>
            </w:r>
          </w:hyperlink>
        </w:p>
        <w:p w14:paraId="0C283D87" w14:textId="77777777" w:rsidR="00075F9B" w:rsidRDefault="00000000">
          <w:pPr>
            <w:pStyle w:val="TOC1"/>
            <w:tabs>
              <w:tab w:val="right" w:leader="dot" w:pos="9350"/>
            </w:tabs>
            <w:rPr>
              <w:rFonts w:asciiTheme="minorHAnsi" w:eastAsiaTheme="minorEastAsia" w:hAnsiTheme="minorHAnsi"/>
              <w:noProof/>
              <w:sz w:val="22"/>
              <w:lang w:eastAsia="en-GB"/>
            </w:rPr>
          </w:pPr>
          <w:hyperlink w:anchor="_Toc150091751" w:history="1">
            <w:r w:rsidR="00075F9B" w:rsidRPr="00354619">
              <w:rPr>
                <w:rStyle w:val="Hyperlink"/>
                <w:noProof/>
              </w:rPr>
              <w:t>Identifying the key reasons behind the decline in profitability</w:t>
            </w:r>
            <w:r w:rsidR="00075F9B">
              <w:rPr>
                <w:noProof/>
                <w:webHidden/>
              </w:rPr>
              <w:tab/>
            </w:r>
            <w:r w:rsidR="00075F9B">
              <w:rPr>
                <w:noProof/>
                <w:webHidden/>
              </w:rPr>
              <w:fldChar w:fldCharType="begin"/>
            </w:r>
            <w:r w:rsidR="00075F9B">
              <w:rPr>
                <w:noProof/>
                <w:webHidden/>
              </w:rPr>
              <w:instrText xml:space="preserve"> PAGEREF _Toc150091751 \h </w:instrText>
            </w:r>
            <w:r w:rsidR="00075F9B">
              <w:rPr>
                <w:noProof/>
                <w:webHidden/>
              </w:rPr>
            </w:r>
            <w:r w:rsidR="00075F9B">
              <w:rPr>
                <w:noProof/>
                <w:webHidden/>
              </w:rPr>
              <w:fldChar w:fldCharType="separate"/>
            </w:r>
            <w:r w:rsidR="00075F9B">
              <w:rPr>
                <w:noProof/>
                <w:webHidden/>
              </w:rPr>
              <w:t>6</w:t>
            </w:r>
            <w:r w:rsidR="00075F9B">
              <w:rPr>
                <w:noProof/>
                <w:webHidden/>
              </w:rPr>
              <w:fldChar w:fldCharType="end"/>
            </w:r>
          </w:hyperlink>
        </w:p>
        <w:p w14:paraId="7ECD1BFE" w14:textId="77777777" w:rsidR="00075F9B" w:rsidRDefault="00000000">
          <w:pPr>
            <w:pStyle w:val="TOC1"/>
            <w:tabs>
              <w:tab w:val="right" w:leader="dot" w:pos="9350"/>
            </w:tabs>
            <w:rPr>
              <w:rFonts w:asciiTheme="minorHAnsi" w:eastAsiaTheme="minorEastAsia" w:hAnsiTheme="minorHAnsi"/>
              <w:noProof/>
              <w:sz w:val="22"/>
              <w:lang w:eastAsia="en-GB"/>
            </w:rPr>
          </w:pPr>
          <w:hyperlink w:anchor="_Toc150091752" w:history="1">
            <w:r w:rsidR="00075F9B" w:rsidRPr="00354619">
              <w:rPr>
                <w:rStyle w:val="Hyperlink"/>
                <w:noProof/>
              </w:rPr>
              <w:t>Comprehensive turnaround strategy</w:t>
            </w:r>
            <w:r w:rsidR="00075F9B">
              <w:rPr>
                <w:noProof/>
                <w:webHidden/>
              </w:rPr>
              <w:tab/>
            </w:r>
            <w:r w:rsidR="00075F9B">
              <w:rPr>
                <w:noProof/>
                <w:webHidden/>
              </w:rPr>
              <w:fldChar w:fldCharType="begin"/>
            </w:r>
            <w:r w:rsidR="00075F9B">
              <w:rPr>
                <w:noProof/>
                <w:webHidden/>
              </w:rPr>
              <w:instrText xml:space="preserve"> PAGEREF _Toc150091752 \h </w:instrText>
            </w:r>
            <w:r w:rsidR="00075F9B">
              <w:rPr>
                <w:noProof/>
                <w:webHidden/>
              </w:rPr>
            </w:r>
            <w:r w:rsidR="00075F9B">
              <w:rPr>
                <w:noProof/>
                <w:webHidden/>
              </w:rPr>
              <w:fldChar w:fldCharType="separate"/>
            </w:r>
            <w:r w:rsidR="00075F9B">
              <w:rPr>
                <w:noProof/>
                <w:webHidden/>
              </w:rPr>
              <w:t>8</w:t>
            </w:r>
            <w:r w:rsidR="00075F9B">
              <w:rPr>
                <w:noProof/>
                <w:webHidden/>
              </w:rPr>
              <w:fldChar w:fldCharType="end"/>
            </w:r>
          </w:hyperlink>
        </w:p>
        <w:p w14:paraId="1DB7DB43" w14:textId="77777777" w:rsidR="00075F9B" w:rsidRDefault="00000000">
          <w:pPr>
            <w:pStyle w:val="TOC1"/>
            <w:tabs>
              <w:tab w:val="right" w:leader="dot" w:pos="9350"/>
            </w:tabs>
            <w:rPr>
              <w:rFonts w:asciiTheme="minorHAnsi" w:eastAsiaTheme="minorEastAsia" w:hAnsiTheme="minorHAnsi"/>
              <w:noProof/>
              <w:sz w:val="22"/>
              <w:lang w:eastAsia="en-GB"/>
            </w:rPr>
          </w:pPr>
          <w:hyperlink w:anchor="_Toc150091753" w:history="1">
            <w:r w:rsidR="00075F9B" w:rsidRPr="00354619">
              <w:rPr>
                <w:rStyle w:val="Hyperlink"/>
                <w:noProof/>
              </w:rPr>
              <w:t>Conclusion</w:t>
            </w:r>
            <w:r w:rsidR="00075F9B">
              <w:rPr>
                <w:noProof/>
                <w:webHidden/>
              </w:rPr>
              <w:tab/>
            </w:r>
            <w:r w:rsidR="00075F9B">
              <w:rPr>
                <w:noProof/>
                <w:webHidden/>
              </w:rPr>
              <w:fldChar w:fldCharType="begin"/>
            </w:r>
            <w:r w:rsidR="00075F9B">
              <w:rPr>
                <w:noProof/>
                <w:webHidden/>
              </w:rPr>
              <w:instrText xml:space="preserve"> PAGEREF _Toc150091753 \h </w:instrText>
            </w:r>
            <w:r w:rsidR="00075F9B">
              <w:rPr>
                <w:noProof/>
                <w:webHidden/>
              </w:rPr>
            </w:r>
            <w:r w:rsidR="00075F9B">
              <w:rPr>
                <w:noProof/>
                <w:webHidden/>
              </w:rPr>
              <w:fldChar w:fldCharType="separate"/>
            </w:r>
            <w:r w:rsidR="00075F9B">
              <w:rPr>
                <w:noProof/>
                <w:webHidden/>
              </w:rPr>
              <w:t>10</w:t>
            </w:r>
            <w:r w:rsidR="00075F9B">
              <w:rPr>
                <w:noProof/>
                <w:webHidden/>
              </w:rPr>
              <w:fldChar w:fldCharType="end"/>
            </w:r>
          </w:hyperlink>
        </w:p>
        <w:p w14:paraId="31636C49" w14:textId="77777777" w:rsidR="00075F9B" w:rsidRDefault="00000000">
          <w:pPr>
            <w:pStyle w:val="TOC1"/>
            <w:tabs>
              <w:tab w:val="right" w:leader="dot" w:pos="9350"/>
            </w:tabs>
            <w:rPr>
              <w:rFonts w:asciiTheme="minorHAnsi" w:eastAsiaTheme="minorEastAsia" w:hAnsiTheme="minorHAnsi"/>
              <w:noProof/>
              <w:sz w:val="22"/>
              <w:lang w:eastAsia="en-GB"/>
            </w:rPr>
          </w:pPr>
          <w:hyperlink w:anchor="_Toc150091754" w:history="1">
            <w:r w:rsidR="00075F9B" w:rsidRPr="00354619">
              <w:rPr>
                <w:rStyle w:val="Hyperlink"/>
                <w:noProof/>
              </w:rPr>
              <w:t>References</w:t>
            </w:r>
            <w:r w:rsidR="00075F9B">
              <w:rPr>
                <w:noProof/>
                <w:webHidden/>
              </w:rPr>
              <w:tab/>
            </w:r>
            <w:r w:rsidR="00075F9B">
              <w:rPr>
                <w:noProof/>
                <w:webHidden/>
              </w:rPr>
              <w:fldChar w:fldCharType="begin"/>
            </w:r>
            <w:r w:rsidR="00075F9B">
              <w:rPr>
                <w:noProof/>
                <w:webHidden/>
              </w:rPr>
              <w:instrText xml:space="preserve"> PAGEREF _Toc150091754 \h </w:instrText>
            </w:r>
            <w:r w:rsidR="00075F9B">
              <w:rPr>
                <w:noProof/>
                <w:webHidden/>
              </w:rPr>
            </w:r>
            <w:r w:rsidR="00075F9B">
              <w:rPr>
                <w:noProof/>
                <w:webHidden/>
              </w:rPr>
              <w:fldChar w:fldCharType="separate"/>
            </w:r>
            <w:r w:rsidR="00075F9B">
              <w:rPr>
                <w:noProof/>
                <w:webHidden/>
              </w:rPr>
              <w:t>11</w:t>
            </w:r>
            <w:r w:rsidR="00075F9B">
              <w:rPr>
                <w:noProof/>
                <w:webHidden/>
              </w:rPr>
              <w:fldChar w:fldCharType="end"/>
            </w:r>
          </w:hyperlink>
        </w:p>
        <w:p w14:paraId="4E3E0948" w14:textId="77777777" w:rsidR="006A068B" w:rsidRDefault="006A068B">
          <w:r>
            <w:rPr>
              <w:b/>
              <w:bCs/>
              <w:noProof/>
            </w:rPr>
            <w:fldChar w:fldCharType="end"/>
          </w:r>
        </w:p>
      </w:sdtContent>
    </w:sdt>
    <w:p w14:paraId="3CF6E40D" w14:textId="77777777" w:rsidR="0007041A" w:rsidRDefault="0007041A" w:rsidP="006A068B">
      <w:r>
        <w:br w:type="page"/>
      </w:r>
    </w:p>
    <w:p w14:paraId="669798D8" w14:textId="77777777" w:rsidR="001218CC" w:rsidRDefault="001218CC" w:rsidP="00DA2EE7">
      <w:pPr>
        <w:pStyle w:val="Heading1"/>
      </w:pPr>
      <w:bookmarkStart w:id="0" w:name="_Toc150091749"/>
      <w:r>
        <w:lastRenderedPageBreak/>
        <w:t>Introduction</w:t>
      </w:r>
      <w:bookmarkEnd w:id="0"/>
    </w:p>
    <w:p w14:paraId="60CF734E" w14:textId="77777777" w:rsidR="005049C3" w:rsidRDefault="005049C3" w:rsidP="005049C3">
      <w:r>
        <w:t>Due to large swings in financial performance over the last three years, questions have been raised about Seaview Resort's capacity to turn a profit and be viable in the long run. Although the resort's gross profit margin remained steady, it suffered a dramatic reduction in its net profit margin, ROA, ROE, and its continuing dependence on debt. From what we can see, Seaview Resort has a serious problem that requires a comprehensive turnaround strategy that addresses not just the immediate crisis but also the resort's pricing, cost management, debt restructuring, marketing, adaptability, and long-term development.</w:t>
      </w:r>
    </w:p>
    <w:p w14:paraId="11875334" w14:textId="77777777" w:rsidR="005049C3" w:rsidRDefault="005049C3" w:rsidP="005049C3"/>
    <w:p w14:paraId="0F8F9988" w14:textId="77777777" w:rsidR="005049C3" w:rsidRDefault="005049C3" w:rsidP="005049C3"/>
    <w:p w14:paraId="1301AD42" w14:textId="77777777" w:rsidR="005049C3" w:rsidRDefault="005049C3" w:rsidP="005049C3"/>
    <w:p w14:paraId="42606EF4" w14:textId="77777777" w:rsidR="005049C3" w:rsidRDefault="005049C3" w:rsidP="005049C3"/>
    <w:p w14:paraId="088D6667" w14:textId="77777777" w:rsidR="005049C3" w:rsidRDefault="005049C3" w:rsidP="005049C3"/>
    <w:p w14:paraId="339E3624" w14:textId="77777777" w:rsidR="00DC1062" w:rsidRDefault="00DC1062" w:rsidP="005049C3">
      <w:pPr>
        <w:rPr>
          <w:rFonts w:eastAsiaTheme="majorEastAsia" w:cstheme="majorBidi"/>
          <w:color w:val="2F5496" w:themeColor="accent1" w:themeShade="BF"/>
          <w:sz w:val="32"/>
          <w:szCs w:val="32"/>
        </w:rPr>
      </w:pPr>
      <w:r>
        <w:br w:type="page"/>
      </w:r>
    </w:p>
    <w:p w14:paraId="578FC9CF" w14:textId="77777777" w:rsidR="00AC2132" w:rsidRDefault="006A1BEE" w:rsidP="00DA2EE7">
      <w:pPr>
        <w:pStyle w:val="Heading1"/>
      </w:pPr>
      <w:bookmarkStart w:id="1" w:name="_Toc150091750"/>
      <w:r>
        <w:lastRenderedPageBreak/>
        <w:t>Analysing</w:t>
      </w:r>
      <w:r w:rsidR="004B6A71" w:rsidRPr="004B6A71">
        <w:t xml:space="preserve"> The Seaview Resort's financial perfor</w:t>
      </w:r>
      <w:r w:rsidR="00DA2EE7">
        <w:t>mance over the past three years</w:t>
      </w:r>
      <w:bookmarkEnd w:id="1"/>
    </w:p>
    <w:p w14:paraId="423DF605" w14:textId="77777777" w:rsidR="00640EEB" w:rsidRDefault="00A930F6" w:rsidP="00640EEB">
      <w:pPr>
        <w:rPr>
          <w:b/>
          <w:bCs/>
          <w:lang w:eastAsia="en-GB"/>
        </w:rPr>
      </w:pPr>
      <w:r w:rsidRPr="00A930F6">
        <w:rPr>
          <w:b/>
          <w:bCs/>
          <w:lang w:eastAsia="en-GB"/>
        </w:rPr>
        <w:t>Net Profit Margin</w:t>
      </w:r>
    </w:p>
    <w:p w14:paraId="5E140644" w14:textId="77777777" w:rsidR="00A930F6" w:rsidRPr="00A930F6" w:rsidRDefault="00A930F6" w:rsidP="00640EEB">
      <w:pPr>
        <w:rPr>
          <w:lang w:eastAsia="en-GB"/>
        </w:rPr>
      </w:pPr>
      <w:r w:rsidRPr="00A930F6">
        <w:rPr>
          <w:lang w:eastAsia="en-GB"/>
        </w:rPr>
        <w:t xml:space="preserve">Net Profit Margin = (Net Profit / Total Revenue) </w:t>
      </w:r>
      <w:r w:rsidR="00A3238E">
        <w:rPr>
          <w:lang w:eastAsia="en-GB"/>
        </w:rPr>
        <w:t>x</w:t>
      </w:r>
      <w:r w:rsidRPr="00A930F6">
        <w:rPr>
          <w:lang w:eastAsia="en-GB"/>
        </w:rPr>
        <w:t xml:space="preserve"> 100</w:t>
      </w:r>
      <w:r w:rsidR="00BC06F1">
        <w:rPr>
          <w:lang w:eastAsia="en-GB"/>
        </w:rPr>
        <w:t>.</w:t>
      </w:r>
    </w:p>
    <w:p w14:paraId="4141407C" w14:textId="77777777" w:rsidR="00A930F6" w:rsidRPr="00A930F6" w:rsidRDefault="00A930F6" w:rsidP="00640EEB">
      <w:pPr>
        <w:rPr>
          <w:lang w:eastAsia="en-GB"/>
        </w:rPr>
      </w:pPr>
      <w:r w:rsidRPr="00A930F6">
        <w:rPr>
          <w:lang w:eastAsia="en-GB"/>
        </w:rPr>
        <w:t>2020: (</w:t>
      </w:r>
      <w:r w:rsidR="00B77933">
        <w:rPr>
          <w:lang w:eastAsia="en-GB"/>
        </w:rPr>
        <w:t>£</w:t>
      </w:r>
      <w:r w:rsidRPr="00A930F6">
        <w:rPr>
          <w:lang w:eastAsia="en-GB"/>
        </w:rPr>
        <w:t xml:space="preserve">78,000 / </w:t>
      </w:r>
      <w:r w:rsidR="00B77933">
        <w:rPr>
          <w:lang w:eastAsia="en-GB"/>
        </w:rPr>
        <w:t>£</w:t>
      </w:r>
      <w:r w:rsidRPr="00A930F6">
        <w:rPr>
          <w:lang w:eastAsia="en-GB"/>
        </w:rPr>
        <w:t xml:space="preserve">520,000) </w:t>
      </w:r>
      <w:r w:rsidR="00A3238E">
        <w:rPr>
          <w:lang w:eastAsia="en-GB"/>
        </w:rPr>
        <w:t>x</w:t>
      </w:r>
      <w:r w:rsidRPr="00A930F6">
        <w:rPr>
          <w:lang w:eastAsia="en-GB"/>
        </w:rPr>
        <w:t xml:space="preserve"> 100 = 15%</w:t>
      </w:r>
    </w:p>
    <w:p w14:paraId="7F53B075" w14:textId="77777777" w:rsidR="00A930F6" w:rsidRPr="00A930F6" w:rsidRDefault="00A930F6" w:rsidP="00640EEB">
      <w:pPr>
        <w:rPr>
          <w:lang w:eastAsia="en-GB"/>
        </w:rPr>
      </w:pPr>
      <w:r w:rsidRPr="00A930F6">
        <w:rPr>
          <w:lang w:eastAsia="en-GB"/>
        </w:rPr>
        <w:t>2021: (</w:t>
      </w:r>
      <w:r w:rsidR="00B77933">
        <w:rPr>
          <w:lang w:eastAsia="en-GB"/>
        </w:rPr>
        <w:t>£</w:t>
      </w:r>
      <w:r w:rsidRPr="00A930F6">
        <w:rPr>
          <w:lang w:eastAsia="en-GB"/>
        </w:rPr>
        <w:t xml:space="preserve">40,000 / </w:t>
      </w:r>
      <w:r w:rsidR="00B77933">
        <w:rPr>
          <w:lang w:eastAsia="en-GB"/>
        </w:rPr>
        <w:t>£</w:t>
      </w:r>
      <w:r w:rsidRPr="00A930F6">
        <w:rPr>
          <w:lang w:eastAsia="en-GB"/>
        </w:rPr>
        <w:t xml:space="preserve">480,000) </w:t>
      </w:r>
      <w:r w:rsidR="00A3238E">
        <w:rPr>
          <w:lang w:eastAsia="en-GB"/>
        </w:rPr>
        <w:t>x</w:t>
      </w:r>
      <w:r w:rsidRPr="00A930F6">
        <w:rPr>
          <w:lang w:eastAsia="en-GB"/>
        </w:rPr>
        <w:t xml:space="preserve"> 100 = 8%</w:t>
      </w:r>
    </w:p>
    <w:p w14:paraId="48A5696C" w14:textId="77777777" w:rsidR="00A930F6" w:rsidRDefault="00A930F6" w:rsidP="00640EEB">
      <w:pPr>
        <w:rPr>
          <w:lang w:eastAsia="en-GB"/>
        </w:rPr>
      </w:pPr>
      <w:r w:rsidRPr="00A930F6">
        <w:rPr>
          <w:lang w:eastAsia="en-GB"/>
        </w:rPr>
        <w:t>2022: (</w:t>
      </w:r>
      <w:r w:rsidR="00B77933">
        <w:rPr>
          <w:lang w:eastAsia="en-GB"/>
        </w:rPr>
        <w:t>£</w:t>
      </w:r>
      <w:r w:rsidRPr="00A930F6">
        <w:rPr>
          <w:lang w:eastAsia="en-GB"/>
        </w:rPr>
        <w:t xml:space="preserve">17,500 / </w:t>
      </w:r>
      <w:r w:rsidR="00B77933">
        <w:rPr>
          <w:lang w:eastAsia="en-GB"/>
        </w:rPr>
        <w:t>£</w:t>
      </w:r>
      <w:r w:rsidRPr="00A930F6">
        <w:rPr>
          <w:lang w:eastAsia="en-GB"/>
        </w:rPr>
        <w:t xml:space="preserve">430,000) </w:t>
      </w:r>
      <w:r w:rsidR="00A3238E">
        <w:rPr>
          <w:lang w:eastAsia="en-GB"/>
        </w:rPr>
        <w:t>x</w:t>
      </w:r>
      <w:r w:rsidRPr="00A930F6">
        <w:rPr>
          <w:lang w:eastAsia="en-GB"/>
        </w:rPr>
        <w:t xml:space="preserve"> 100 = 4%</w:t>
      </w:r>
    </w:p>
    <w:p w14:paraId="0CCA23E3" w14:textId="77777777" w:rsidR="00612EB8" w:rsidRDefault="00612EB8" w:rsidP="00640EEB">
      <w:pPr>
        <w:rPr>
          <w:lang w:eastAsia="en-GB"/>
        </w:rPr>
      </w:pPr>
      <w:r>
        <w:rPr>
          <w:lang w:eastAsia="en-GB"/>
        </w:rPr>
        <w:t xml:space="preserve">From 2020 to 2022, the percentage of retained net income as a percentage of sales dropped from 15% to 4%. This might be the result of increasing operational costs, which would indicate a decreasing capacity to turn income into profit. The resort's financial security is at risk </w:t>
      </w:r>
      <w:proofErr w:type="gramStart"/>
      <w:r>
        <w:rPr>
          <w:lang w:eastAsia="en-GB"/>
        </w:rPr>
        <w:t>as a result of</w:t>
      </w:r>
      <w:proofErr w:type="gramEnd"/>
      <w:r>
        <w:rPr>
          <w:lang w:eastAsia="en-GB"/>
        </w:rPr>
        <w:t xml:space="preserve"> this tendency.</w:t>
      </w:r>
    </w:p>
    <w:p w14:paraId="41CF722A" w14:textId="77777777" w:rsidR="00640EEB" w:rsidRDefault="00A930F6" w:rsidP="00640EEB">
      <w:pPr>
        <w:rPr>
          <w:b/>
          <w:bCs/>
          <w:lang w:eastAsia="en-GB"/>
        </w:rPr>
      </w:pPr>
      <w:r w:rsidRPr="00A930F6">
        <w:rPr>
          <w:b/>
          <w:bCs/>
          <w:lang w:eastAsia="en-GB"/>
        </w:rPr>
        <w:t>Gross Profit Margin</w:t>
      </w:r>
    </w:p>
    <w:p w14:paraId="4E5B7FA9" w14:textId="77777777" w:rsidR="00A930F6" w:rsidRPr="00A930F6" w:rsidRDefault="00A930F6" w:rsidP="00640EEB">
      <w:pPr>
        <w:rPr>
          <w:lang w:eastAsia="en-GB"/>
        </w:rPr>
      </w:pPr>
      <w:r w:rsidRPr="00A930F6">
        <w:rPr>
          <w:lang w:eastAsia="en-GB"/>
        </w:rPr>
        <w:t xml:space="preserve">Gross Profit Margin = (Gross Profit / Total Revenue) </w:t>
      </w:r>
      <w:r w:rsidR="00A3238E">
        <w:rPr>
          <w:lang w:eastAsia="en-GB"/>
        </w:rPr>
        <w:t>x</w:t>
      </w:r>
      <w:r w:rsidRPr="00A930F6">
        <w:rPr>
          <w:lang w:eastAsia="en-GB"/>
        </w:rPr>
        <w:t xml:space="preserve"> 100</w:t>
      </w:r>
      <w:r w:rsidR="00F443CA">
        <w:rPr>
          <w:lang w:eastAsia="en-GB"/>
        </w:rPr>
        <w:t>.</w:t>
      </w:r>
    </w:p>
    <w:p w14:paraId="273D5E66" w14:textId="77777777" w:rsidR="00A930F6" w:rsidRPr="00A930F6" w:rsidRDefault="00A930F6" w:rsidP="00640EEB">
      <w:pPr>
        <w:rPr>
          <w:lang w:eastAsia="en-GB"/>
        </w:rPr>
      </w:pPr>
      <w:r w:rsidRPr="00A930F6">
        <w:rPr>
          <w:lang w:eastAsia="en-GB"/>
        </w:rPr>
        <w:t>2020: (</w:t>
      </w:r>
      <w:r w:rsidR="00B77933">
        <w:rPr>
          <w:lang w:eastAsia="en-GB"/>
        </w:rPr>
        <w:t>£</w:t>
      </w:r>
      <w:r w:rsidRPr="00A930F6">
        <w:rPr>
          <w:lang w:eastAsia="en-GB"/>
        </w:rPr>
        <w:t xml:space="preserve">130,000 / </w:t>
      </w:r>
      <w:r w:rsidR="00B77933">
        <w:rPr>
          <w:lang w:eastAsia="en-GB"/>
        </w:rPr>
        <w:t>£</w:t>
      </w:r>
      <w:r w:rsidRPr="00A930F6">
        <w:rPr>
          <w:lang w:eastAsia="en-GB"/>
        </w:rPr>
        <w:t xml:space="preserve">520,000) </w:t>
      </w:r>
      <w:r w:rsidR="00A3238E">
        <w:rPr>
          <w:lang w:eastAsia="en-GB"/>
        </w:rPr>
        <w:t>x</w:t>
      </w:r>
      <w:r w:rsidRPr="00A930F6">
        <w:rPr>
          <w:lang w:eastAsia="en-GB"/>
        </w:rPr>
        <w:t xml:space="preserve"> 100 = 25%</w:t>
      </w:r>
    </w:p>
    <w:p w14:paraId="785B2706" w14:textId="77777777" w:rsidR="00A930F6" w:rsidRPr="00A930F6" w:rsidRDefault="00A930F6" w:rsidP="00640EEB">
      <w:pPr>
        <w:rPr>
          <w:lang w:eastAsia="en-GB"/>
        </w:rPr>
      </w:pPr>
      <w:r w:rsidRPr="00A930F6">
        <w:rPr>
          <w:lang w:eastAsia="en-GB"/>
        </w:rPr>
        <w:t>2021: (</w:t>
      </w:r>
      <w:r w:rsidR="00B77933">
        <w:rPr>
          <w:lang w:eastAsia="en-GB"/>
        </w:rPr>
        <w:t>£</w:t>
      </w:r>
      <w:r w:rsidRPr="00A930F6">
        <w:rPr>
          <w:lang w:eastAsia="en-GB"/>
        </w:rPr>
        <w:t xml:space="preserve">80,000 / </w:t>
      </w:r>
      <w:r w:rsidR="00B77933">
        <w:rPr>
          <w:lang w:eastAsia="en-GB"/>
        </w:rPr>
        <w:t>£</w:t>
      </w:r>
      <w:r w:rsidRPr="00A930F6">
        <w:rPr>
          <w:lang w:eastAsia="en-GB"/>
        </w:rPr>
        <w:t xml:space="preserve">480,000) </w:t>
      </w:r>
      <w:r w:rsidR="00A3238E">
        <w:rPr>
          <w:lang w:eastAsia="en-GB"/>
        </w:rPr>
        <w:t>x</w:t>
      </w:r>
      <w:r w:rsidRPr="00A930F6">
        <w:rPr>
          <w:lang w:eastAsia="en-GB"/>
        </w:rPr>
        <w:t xml:space="preserve"> 100 = 16.67%</w:t>
      </w:r>
    </w:p>
    <w:p w14:paraId="5BF50551" w14:textId="77777777" w:rsidR="00A930F6" w:rsidRDefault="00A930F6" w:rsidP="00640EEB">
      <w:pPr>
        <w:rPr>
          <w:lang w:eastAsia="en-GB"/>
        </w:rPr>
      </w:pPr>
      <w:r w:rsidRPr="00A930F6">
        <w:rPr>
          <w:lang w:eastAsia="en-GB"/>
        </w:rPr>
        <w:t>2022: (</w:t>
      </w:r>
      <w:r w:rsidR="00B77933">
        <w:rPr>
          <w:lang w:eastAsia="en-GB"/>
        </w:rPr>
        <w:t>£</w:t>
      </w:r>
      <w:r w:rsidRPr="00A930F6">
        <w:rPr>
          <w:lang w:eastAsia="en-GB"/>
        </w:rPr>
        <w:t xml:space="preserve">80,000 / </w:t>
      </w:r>
      <w:r w:rsidR="00B77933">
        <w:rPr>
          <w:lang w:eastAsia="en-GB"/>
        </w:rPr>
        <w:t>£</w:t>
      </w:r>
      <w:r w:rsidRPr="00A930F6">
        <w:rPr>
          <w:lang w:eastAsia="en-GB"/>
        </w:rPr>
        <w:t xml:space="preserve">430,000) </w:t>
      </w:r>
      <w:r w:rsidR="00A3238E">
        <w:rPr>
          <w:lang w:eastAsia="en-GB"/>
        </w:rPr>
        <w:t>x</w:t>
      </w:r>
      <w:r w:rsidRPr="00A930F6">
        <w:rPr>
          <w:lang w:eastAsia="en-GB"/>
        </w:rPr>
        <w:t xml:space="preserve"> 100 = 18.60%</w:t>
      </w:r>
      <w:r w:rsidR="002B7BDA">
        <w:rPr>
          <w:lang w:eastAsia="en-GB"/>
        </w:rPr>
        <w:t>.</w:t>
      </w:r>
    </w:p>
    <w:p w14:paraId="61D9E33E" w14:textId="77777777" w:rsidR="00FE7A75" w:rsidRDefault="00FE7A75" w:rsidP="00640EEB">
      <w:pPr>
        <w:rPr>
          <w:lang w:eastAsia="en-GB"/>
        </w:rPr>
      </w:pPr>
      <w:r>
        <w:rPr>
          <w:lang w:eastAsia="en-GB"/>
        </w:rPr>
        <w:t xml:space="preserve">Stable gross profit margins between 18 and 25 percent of sales are encouraging. Although the gross margin stayed unchanged, the company's net profit decreased, indicating that the control of operational expenses might be strengthened. </w:t>
      </w:r>
    </w:p>
    <w:p w14:paraId="7EEFB429" w14:textId="77777777" w:rsidR="00640EEB" w:rsidRDefault="00A930F6" w:rsidP="00640EEB">
      <w:pPr>
        <w:rPr>
          <w:b/>
          <w:bCs/>
          <w:lang w:eastAsia="en-GB"/>
        </w:rPr>
      </w:pPr>
      <w:r w:rsidRPr="00A930F6">
        <w:rPr>
          <w:b/>
          <w:bCs/>
          <w:lang w:eastAsia="en-GB"/>
        </w:rPr>
        <w:t>Return on Assets (ROA)</w:t>
      </w:r>
    </w:p>
    <w:p w14:paraId="4CDF85A6" w14:textId="77777777" w:rsidR="00A930F6" w:rsidRPr="00A930F6" w:rsidRDefault="00A930F6" w:rsidP="00640EEB">
      <w:pPr>
        <w:rPr>
          <w:lang w:eastAsia="en-GB"/>
        </w:rPr>
      </w:pPr>
      <w:r w:rsidRPr="00A930F6">
        <w:rPr>
          <w:lang w:eastAsia="en-GB"/>
        </w:rPr>
        <w:t xml:space="preserve">ROA = (Net Profit / Total Assets) </w:t>
      </w:r>
      <w:r w:rsidR="00A3238E">
        <w:rPr>
          <w:lang w:eastAsia="en-GB"/>
        </w:rPr>
        <w:t>x</w:t>
      </w:r>
      <w:r w:rsidRPr="00A930F6">
        <w:rPr>
          <w:lang w:eastAsia="en-GB"/>
        </w:rPr>
        <w:t xml:space="preserve"> 100</w:t>
      </w:r>
      <w:r w:rsidR="000B23A4">
        <w:rPr>
          <w:lang w:eastAsia="en-GB"/>
        </w:rPr>
        <w:t>.</w:t>
      </w:r>
    </w:p>
    <w:p w14:paraId="36171BC7" w14:textId="77777777" w:rsidR="00A930F6" w:rsidRPr="00A930F6" w:rsidRDefault="00A930F6" w:rsidP="00640EEB">
      <w:pPr>
        <w:rPr>
          <w:lang w:eastAsia="en-GB"/>
        </w:rPr>
      </w:pPr>
      <w:r w:rsidRPr="00A930F6">
        <w:rPr>
          <w:lang w:eastAsia="en-GB"/>
        </w:rPr>
        <w:t>2020: (</w:t>
      </w:r>
      <w:r w:rsidR="00B77933">
        <w:rPr>
          <w:lang w:eastAsia="en-GB"/>
        </w:rPr>
        <w:t>£</w:t>
      </w:r>
      <w:r w:rsidRPr="00A930F6">
        <w:rPr>
          <w:lang w:eastAsia="en-GB"/>
        </w:rPr>
        <w:t xml:space="preserve">78,000 / </w:t>
      </w:r>
      <w:r w:rsidR="00B77933">
        <w:rPr>
          <w:lang w:eastAsia="en-GB"/>
        </w:rPr>
        <w:t>£</w:t>
      </w:r>
      <w:r w:rsidRPr="00A930F6">
        <w:rPr>
          <w:lang w:eastAsia="en-GB"/>
        </w:rPr>
        <w:t xml:space="preserve">1,200,000) </w:t>
      </w:r>
      <w:r w:rsidR="00A3238E">
        <w:rPr>
          <w:lang w:eastAsia="en-GB"/>
        </w:rPr>
        <w:t>x</w:t>
      </w:r>
      <w:r w:rsidRPr="00A930F6">
        <w:rPr>
          <w:lang w:eastAsia="en-GB"/>
        </w:rPr>
        <w:t xml:space="preserve"> 100 = 6.5%</w:t>
      </w:r>
    </w:p>
    <w:p w14:paraId="2F917F67" w14:textId="77777777" w:rsidR="00A930F6" w:rsidRPr="00A930F6" w:rsidRDefault="00A930F6" w:rsidP="00640EEB">
      <w:pPr>
        <w:rPr>
          <w:lang w:eastAsia="en-GB"/>
        </w:rPr>
      </w:pPr>
      <w:r w:rsidRPr="00A930F6">
        <w:rPr>
          <w:lang w:eastAsia="en-GB"/>
        </w:rPr>
        <w:t>2021: (</w:t>
      </w:r>
      <w:r w:rsidR="00B77933">
        <w:rPr>
          <w:lang w:eastAsia="en-GB"/>
        </w:rPr>
        <w:t>£</w:t>
      </w:r>
      <w:r w:rsidRPr="00A930F6">
        <w:rPr>
          <w:lang w:eastAsia="en-GB"/>
        </w:rPr>
        <w:t xml:space="preserve">40,000 / </w:t>
      </w:r>
      <w:r w:rsidR="00B77933">
        <w:rPr>
          <w:lang w:eastAsia="en-GB"/>
        </w:rPr>
        <w:t>£</w:t>
      </w:r>
      <w:r w:rsidRPr="00A930F6">
        <w:rPr>
          <w:lang w:eastAsia="en-GB"/>
        </w:rPr>
        <w:t xml:space="preserve">1,200,000) </w:t>
      </w:r>
      <w:r w:rsidR="00A3238E">
        <w:rPr>
          <w:lang w:eastAsia="en-GB"/>
        </w:rPr>
        <w:t>x</w:t>
      </w:r>
      <w:r w:rsidRPr="00A930F6">
        <w:rPr>
          <w:lang w:eastAsia="en-GB"/>
        </w:rPr>
        <w:t xml:space="preserve"> 100 = 3.33%</w:t>
      </w:r>
    </w:p>
    <w:p w14:paraId="7BD171A6" w14:textId="77777777" w:rsidR="00A930F6" w:rsidRDefault="00A930F6" w:rsidP="00640EEB">
      <w:pPr>
        <w:rPr>
          <w:lang w:eastAsia="en-GB"/>
        </w:rPr>
      </w:pPr>
      <w:r w:rsidRPr="00A930F6">
        <w:rPr>
          <w:lang w:eastAsia="en-GB"/>
        </w:rPr>
        <w:t>2022: (</w:t>
      </w:r>
      <w:r w:rsidR="00B77933">
        <w:rPr>
          <w:lang w:eastAsia="en-GB"/>
        </w:rPr>
        <w:t>£</w:t>
      </w:r>
      <w:r w:rsidRPr="00A930F6">
        <w:rPr>
          <w:lang w:eastAsia="en-GB"/>
        </w:rPr>
        <w:t xml:space="preserve">17,500 / </w:t>
      </w:r>
      <w:r w:rsidR="00B77933">
        <w:rPr>
          <w:lang w:eastAsia="en-GB"/>
        </w:rPr>
        <w:t>£</w:t>
      </w:r>
      <w:r w:rsidRPr="00A930F6">
        <w:rPr>
          <w:lang w:eastAsia="en-GB"/>
        </w:rPr>
        <w:t xml:space="preserve">1,200,000) </w:t>
      </w:r>
      <w:r w:rsidR="00A3238E">
        <w:rPr>
          <w:lang w:eastAsia="en-GB"/>
        </w:rPr>
        <w:t>x</w:t>
      </w:r>
      <w:r w:rsidRPr="00A930F6">
        <w:rPr>
          <w:lang w:eastAsia="en-GB"/>
        </w:rPr>
        <w:t xml:space="preserve"> 100 = 1.46%</w:t>
      </w:r>
    </w:p>
    <w:p w14:paraId="2D01E857" w14:textId="77777777" w:rsidR="008D4720" w:rsidRDefault="008D4720" w:rsidP="008D4720">
      <w:pPr>
        <w:rPr>
          <w:lang w:eastAsia="en-GB"/>
        </w:rPr>
      </w:pPr>
      <w:r>
        <w:rPr>
          <w:lang w:eastAsia="en-GB"/>
        </w:rPr>
        <w:lastRenderedPageBreak/>
        <w:t xml:space="preserve">The ROI drops dramatically from 6.5% in 2020 to around 1.46% in 2022. </w:t>
      </w:r>
      <w:proofErr w:type="gramStart"/>
      <w:r>
        <w:rPr>
          <w:lang w:eastAsia="en-GB"/>
        </w:rPr>
        <w:t>As a consequence of</w:t>
      </w:r>
      <w:proofErr w:type="gramEnd"/>
      <w:r>
        <w:rPr>
          <w:lang w:eastAsia="en-GB"/>
        </w:rPr>
        <w:t xml:space="preserve"> declining revenues and increasing costs, the resort is becoming less lucrative. </w:t>
      </w:r>
    </w:p>
    <w:p w14:paraId="3D3B0EF9" w14:textId="77777777" w:rsidR="00640EEB" w:rsidRDefault="00A930F6" w:rsidP="00640EEB">
      <w:pPr>
        <w:rPr>
          <w:b/>
          <w:bCs/>
          <w:lang w:eastAsia="en-GB"/>
        </w:rPr>
      </w:pPr>
      <w:r w:rsidRPr="00A930F6">
        <w:rPr>
          <w:b/>
          <w:bCs/>
          <w:lang w:eastAsia="en-GB"/>
        </w:rPr>
        <w:t>Return on Equity (ROE)</w:t>
      </w:r>
    </w:p>
    <w:p w14:paraId="1DBA373B" w14:textId="77777777" w:rsidR="00A930F6" w:rsidRPr="00A930F6" w:rsidRDefault="00A930F6" w:rsidP="00640EEB">
      <w:pPr>
        <w:rPr>
          <w:lang w:eastAsia="en-GB"/>
        </w:rPr>
      </w:pPr>
      <w:r w:rsidRPr="00A930F6">
        <w:rPr>
          <w:lang w:eastAsia="en-GB"/>
        </w:rPr>
        <w:t xml:space="preserve">ROE = (Net Profit / Equity) </w:t>
      </w:r>
      <w:r w:rsidR="00A3238E">
        <w:rPr>
          <w:lang w:eastAsia="en-GB"/>
        </w:rPr>
        <w:t>x</w:t>
      </w:r>
      <w:r w:rsidRPr="00A930F6">
        <w:rPr>
          <w:lang w:eastAsia="en-GB"/>
        </w:rPr>
        <w:t xml:space="preserve"> 100</w:t>
      </w:r>
      <w:r w:rsidR="00E8517E">
        <w:rPr>
          <w:lang w:eastAsia="en-GB"/>
        </w:rPr>
        <w:t>.</w:t>
      </w:r>
    </w:p>
    <w:p w14:paraId="0BE5A4EF" w14:textId="77777777" w:rsidR="00A930F6" w:rsidRPr="00A930F6" w:rsidRDefault="00A930F6" w:rsidP="00640EEB">
      <w:pPr>
        <w:rPr>
          <w:lang w:eastAsia="en-GB"/>
        </w:rPr>
      </w:pPr>
      <w:r w:rsidRPr="00A930F6">
        <w:rPr>
          <w:lang w:eastAsia="en-GB"/>
        </w:rPr>
        <w:t>2020: (</w:t>
      </w:r>
      <w:r w:rsidR="00B77933">
        <w:rPr>
          <w:lang w:eastAsia="en-GB"/>
        </w:rPr>
        <w:t>£</w:t>
      </w:r>
      <w:r w:rsidRPr="00A930F6">
        <w:rPr>
          <w:lang w:eastAsia="en-GB"/>
        </w:rPr>
        <w:t xml:space="preserve">78,000 / </w:t>
      </w:r>
      <w:r w:rsidR="00B77933">
        <w:rPr>
          <w:lang w:eastAsia="en-GB"/>
        </w:rPr>
        <w:t>£</w:t>
      </w:r>
      <w:r w:rsidRPr="00A930F6">
        <w:rPr>
          <w:lang w:eastAsia="en-GB"/>
        </w:rPr>
        <w:t xml:space="preserve">450,000) </w:t>
      </w:r>
      <w:r w:rsidR="00A3238E">
        <w:rPr>
          <w:lang w:eastAsia="en-GB"/>
        </w:rPr>
        <w:t>x</w:t>
      </w:r>
      <w:r w:rsidRPr="00A930F6">
        <w:rPr>
          <w:lang w:eastAsia="en-GB"/>
        </w:rPr>
        <w:t xml:space="preserve"> 100 = 17.33%</w:t>
      </w:r>
    </w:p>
    <w:p w14:paraId="03F517C8" w14:textId="77777777" w:rsidR="00A930F6" w:rsidRPr="00A930F6" w:rsidRDefault="00A930F6" w:rsidP="00640EEB">
      <w:pPr>
        <w:rPr>
          <w:lang w:eastAsia="en-GB"/>
        </w:rPr>
      </w:pPr>
      <w:r w:rsidRPr="00A930F6">
        <w:rPr>
          <w:lang w:eastAsia="en-GB"/>
        </w:rPr>
        <w:t>2021: (</w:t>
      </w:r>
      <w:r w:rsidR="00B77933">
        <w:rPr>
          <w:lang w:eastAsia="en-GB"/>
        </w:rPr>
        <w:t>£</w:t>
      </w:r>
      <w:r w:rsidRPr="00A930F6">
        <w:rPr>
          <w:lang w:eastAsia="en-GB"/>
        </w:rPr>
        <w:t xml:space="preserve">40,000 / </w:t>
      </w:r>
      <w:r w:rsidR="00B77933">
        <w:rPr>
          <w:lang w:eastAsia="en-GB"/>
        </w:rPr>
        <w:t>£</w:t>
      </w:r>
      <w:r w:rsidRPr="00A930F6">
        <w:rPr>
          <w:lang w:eastAsia="en-GB"/>
        </w:rPr>
        <w:t xml:space="preserve">450,000) </w:t>
      </w:r>
      <w:r w:rsidR="00A3238E">
        <w:rPr>
          <w:lang w:eastAsia="en-GB"/>
        </w:rPr>
        <w:t>x</w:t>
      </w:r>
      <w:r w:rsidRPr="00A930F6">
        <w:rPr>
          <w:lang w:eastAsia="en-GB"/>
        </w:rPr>
        <w:t xml:space="preserve"> 100 = 8.89%</w:t>
      </w:r>
    </w:p>
    <w:p w14:paraId="6C9DF48C" w14:textId="77777777" w:rsidR="00A930F6" w:rsidRDefault="00A930F6" w:rsidP="00640EEB">
      <w:pPr>
        <w:rPr>
          <w:lang w:eastAsia="en-GB"/>
        </w:rPr>
      </w:pPr>
      <w:r w:rsidRPr="00A930F6">
        <w:rPr>
          <w:lang w:eastAsia="en-GB"/>
        </w:rPr>
        <w:t>2022: (</w:t>
      </w:r>
      <w:r w:rsidR="00B77933">
        <w:rPr>
          <w:lang w:eastAsia="en-GB"/>
        </w:rPr>
        <w:t>£</w:t>
      </w:r>
      <w:r w:rsidRPr="00A930F6">
        <w:rPr>
          <w:lang w:eastAsia="en-GB"/>
        </w:rPr>
        <w:t xml:space="preserve">17,500 / </w:t>
      </w:r>
      <w:r w:rsidR="00B77933">
        <w:rPr>
          <w:lang w:eastAsia="en-GB"/>
        </w:rPr>
        <w:t>£</w:t>
      </w:r>
      <w:r w:rsidRPr="00A930F6">
        <w:rPr>
          <w:lang w:eastAsia="en-GB"/>
        </w:rPr>
        <w:t xml:space="preserve">450,000) </w:t>
      </w:r>
      <w:r w:rsidR="00A3238E">
        <w:rPr>
          <w:lang w:eastAsia="en-GB"/>
        </w:rPr>
        <w:t>x</w:t>
      </w:r>
      <w:r w:rsidRPr="00A930F6">
        <w:rPr>
          <w:lang w:eastAsia="en-GB"/>
        </w:rPr>
        <w:t xml:space="preserve"> 100 = 3.89%</w:t>
      </w:r>
    </w:p>
    <w:p w14:paraId="02BB951A" w14:textId="77777777" w:rsidR="008808A7" w:rsidRDefault="008808A7" w:rsidP="00640EEB">
      <w:pPr>
        <w:rPr>
          <w:lang w:eastAsia="en-GB"/>
        </w:rPr>
      </w:pPr>
      <w:r>
        <w:rPr>
          <w:lang w:eastAsia="en-GB"/>
        </w:rPr>
        <w:t xml:space="preserve">Return on equity (ROE) has also dropped significantly, from 17.33% in 2020 to 3.89% in 2022. If this is the case, then during the last three years the resort's ability to earn profits for its equity owners has significantly eroded. </w:t>
      </w:r>
    </w:p>
    <w:p w14:paraId="7153ABD5" w14:textId="77777777" w:rsidR="00640EEB" w:rsidRDefault="00A930F6" w:rsidP="00640EEB">
      <w:pPr>
        <w:rPr>
          <w:b/>
          <w:bCs/>
          <w:lang w:eastAsia="en-GB"/>
        </w:rPr>
      </w:pPr>
      <w:r w:rsidRPr="00A930F6">
        <w:rPr>
          <w:b/>
          <w:bCs/>
          <w:lang w:eastAsia="en-GB"/>
        </w:rPr>
        <w:t>Current Ratio</w:t>
      </w:r>
    </w:p>
    <w:p w14:paraId="31F3FCB9" w14:textId="77777777" w:rsidR="00A930F6" w:rsidRPr="00A930F6" w:rsidRDefault="00A930F6" w:rsidP="00640EEB">
      <w:pPr>
        <w:rPr>
          <w:lang w:eastAsia="en-GB"/>
        </w:rPr>
      </w:pPr>
      <w:r w:rsidRPr="00A930F6">
        <w:rPr>
          <w:lang w:eastAsia="en-GB"/>
        </w:rPr>
        <w:t>Current Ratio = Current Assets / Current Liabilities</w:t>
      </w:r>
      <w:r w:rsidR="00AE5A5D">
        <w:rPr>
          <w:lang w:eastAsia="en-GB"/>
        </w:rPr>
        <w:t>.</w:t>
      </w:r>
    </w:p>
    <w:p w14:paraId="783316CD" w14:textId="77777777" w:rsidR="00A930F6" w:rsidRPr="00A930F6" w:rsidRDefault="00A930F6" w:rsidP="00640EEB">
      <w:pPr>
        <w:rPr>
          <w:lang w:eastAsia="en-GB"/>
        </w:rPr>
      </w:pPr>
      <w:r w:rsidRPr="00A930F6">
        <w:rPr>
          <w:lang w:eastAsia="en-GB"/>
        </w:rPr>
        <w:t xml:space="preserve">2020: </w:t>
      </w:r>
      <w:r w:rsidR="00B77933">
        <w:rPr>
          <w:lang w:eastAsia="en-GB"/>
        </w:rPr>
        <w:t>£</w:t>
      </w:r>
      <w:r w:rsidRPr="00A930F6">
        <w:rPr>
          <w:lang w:eastAsia="en-GB"/>
        </w:rPr>
        <w:t xml:space="preserve">250,000 / </w:t>
      </w:r>
      <w:r w:rsidR="00B77933">
        <w:rPr>
          <w:lang w:eastAsia="en-GB"/>
        </w:rPr>
        <w:t>£</w:t>
      </w:r>
      <w:r w:rsidRPr="00A930F6">
        <w:rPr>
          <w:lang w:eastAsia="en-GB"/>
        </w:rPr>
        <w:t>180,000 = 1.39</w:t>
      </w:r>
    </w:p>
    <w:p w14:paraId="5AFEAF41" w14:textId="77777777" w:rsidR="00A930F6" w:rsidRPr="00A930F6" w:rsidRDefault="00A930F6" w:rsidP="00640EEB">
      <w:pPr>
        <w:rPr>
          <w:lang w:eastAsia="en-GB"/>
        </w:rPr>
      </w:pPr>
      <w:r w:rsidRPr="00A930F6">
        <w:rPr>
          <w:lang w:eastAsia="en-GB"/>
        </w:rPr>
        <w:t xml:space="preserve">2021: </w:t>
      </w:r>
      <w:r w:rsidR="00B77933">
        <w:rPr>
          <w:lang w:eastAsia="en-GB"/>
        </w:rPr>
        <w:t>£</w:t>
      </w:r>
      <w:r w:rsidRPr="00A930F6">
        <w:rPr>
          <w:lang w:eastAsia="en-GB"/>
        </w:rPr>
        <w:t xml:space="preserve">250,000 / </w:t>
      </w:r>
      <w:r w:rsidR="00B77933">
        <w:rPr>
          <w:lang w:eastAsia="en-GB"/>
        </w:rPr>
        <w:t>£</w:t>
      </w:r>
      <w:r w:rsidRPr="00A930F6">
        <w:rPr>
          <w:lang w:eastAsia="en-GB"/>
        </w:rPr>
        <w:t>195,000 = 1.28</w:t>
      </w:r>
    </w:p>
    <w:p w14:paraId="77964952" w14:textId="77777777" w:rsidR="00A930F6" w:rsidRDefault="00A930F6" w:rsidP="00640EEB">
      <w:pPr>
        <w:rPr>
          <w:lang w:eastAsia="en-GB"/>
        </w:rPr>
      </w:pPr>
      <w:r w:rsidRPr="00A930F6">
        <w:rPr>
          <w:lang w:eastAsia="en-GB"/>
        </w:rPr>
        <w:t xml:space="preserve">2022: </w:t>
      </w:r>
      <w:r w:rsidR="00B77933">
        <w:rPr>
          <w:lang w:eastAsia="en-GB"/>
        </w:rPr>
        <w:t>£</w:t>
      </w:r>
      <w:r w:rsidRPr="00A930F6">
        <w:rPr>
          <w:lang w:eastAsia="en-GB"/>
        </w:rPr>
        <w:t xml:space="preserve">250,000 / </w:t>
      </w:r>
      <w:r w:rsidR="00B77933">
        <w:rPr>
          <w:lang w:eastAsia="en-GB"/>
        </w:rPr>
        <w:t>£</w:t>
      </w:r>
      <w:r w:rsidRPr="00A930F6">
        <w:rPr>
          <w:lang w:eastAsia="en-GB"/>
        </w:rPr>
        <w:t>180,000 = 1.39</w:t>
      </w:r>
    </w:p>
    <w:p w14:paraId="5B87C087" w14:textId="77777777" w:rsidR="00F90960" w:rsidRDefault="00F90960" w:rsidP="00640EEB">
      <w:r>
        <w:t xml:space="preserve">The resort's current ratio has consistently been over 1, indicating that it has sufficient liquid assets to cover its short-term debts. This is indicative of prudent management of </w:t>
      </w:r>
      <w:r w:rsidR="008A1524">
        <w:t xml:space="preserve">the existing funds. </w:t>
      </w:r>
    </w:p>
    <w:p w14:paraId="01F1F10F" w14:textId="77777777" w:rsidR="00640EEB" w:rsidRDefault="00A930F6" w:rsidP="00640EEB">
      <w:pPr>
        <w:rPr>
          <w:b/>
          <w:bCs/>
          <w:lang w:eastAsia="en-GB"/>
        </w:rPr>
      </w:pPr>
      <w:r w:rsidRPr="00A930F6">
        <w:rPr>
          <w:b/>
          <w:bCs/>
          <w:lang w:eastAsia="en-GB"/>
        </w:rPr>
        <w:t>Debt to Equity Ratio</w:t>
      </w:r>
    </w:p>
    <w:p w14:paraId="39B98326" w14:textId="77777777" w:rsidR="00A930F6" w:rsidRPr="00A930F6" w:rsidRDefault="00A930F6" w:rsidP="00640EEB">
      <w:pPr>
        <w:rPr>
          <w:lang w:eastAsia="en-GB"/>
        </w:rPr>
      </w:pPr>
      <w:r w:rsidRPr="00A930F6">
        <w:rPr>
          <w:lang w:eastAsia="en-GB"/>
        </w:rPr>
        <w:t>Debt to Equity Ratio = Total Debt / Equity</w:t>
      </w:r>
      <w:r w:rsidR="00B85D15">
        <w:rPr>
          <w:lang w:eastAsia="en-GB"/>
        </w:rPr>
        <w:t>.</w:t>
      </w:r>
    </w:p>
    <w:p w14:paraId="1CE91337" w14:textId="77777777" w:rsidR="00A930F6" w:rsidRPr="00A930F6" w:rsidRDefault="00A930F6" w:rsidP="00640EEB">
      <w:pPr>
        <w:rPr>
          <w:lang w:eastAsia="en-GB"/>
        </w:rPr>
      </w:pPr>
      <w:r w:rsidRPr="00A930F6">
        <w:rPr>
          <w:lang w:eastAsia="en-GB"/>
        </w:rPr>
        <w:t xml:space="preserve">2020: </w:t>
      </w:r>
      <w:r w:rsidR="00B77933">
        <w:rPr>
          <w:lang w:eastAsia="en-GB"/>
        </w:rPr>
        <w:t>£</w:t>
      </w:r>
      <w:r w:rsidRPr="00A930F6">
        <w:rPr>
          <w:lang w:eastAsia="en-GB"/>
        </w:rPr>
        <w:t xml:space="preserve">500,000 / </w:t>
      </w:r>
      <w:r w:rsidR="00B77933">
        <w:rPr>
          <w:lang w:eastAsia="en-GB"/>
        </w:rPr>
        <w:t>£</w:t>
      </w:r>
      <w:r w:rsidRPr="00A930F6">
        <w:rPr>
          <w:lang w:eastAsia="en-GB"/>
        </w:rPr>
        <w:t>450,000 = 1.11</w:t>
      </w:r>
    </w:p>
    <w:p w14:paraId="3492D742" w14:textId="77777777" w:rsidR="00A930F6" w:rsidRPr="00A930F6" w:rsidRDefault="00A930F6" w:rsidP="00640EEB">
      <w:pPr>
        <w:rPr>
          <w:lang w:eastAsia="en-GB"/>
        </w:rPr>
      </w:pPr>
      <w:r w:rsidRPr="00A930F6">
        <w:rPr>
          <w:lang w:eastAsia="en-GB"/>
        </w:rPr>
        <w:t xml:space="preserve">2021: </w:t>
      </w:r>
      <w:r w:rsidR="00B77933">
        <w:rPr>
          <w:lang w:eastAsia="en-GB"/>
        </w:rPr>
        <w:t>£</w:t>
      </w:r>
      <w:r w:rsidRPr="00A930F6">
        <w:rPr>
          <w:lang w:eastAsia="en-GB"/>
        </w:rPr>
        <w:t xml:space="preserve">500,000 / </w:t>
      </w:r>
      <w:r w:rsidR="00B77933">
        <w:rPr>
          <w:lang w:eastAsia="en-GB"/>
        </w:rPr>
        <w:t>£</w:t>
      </w:r>
      <w:r w:rsidRPr="00A930F6">
        <w:rPr>
          <w:lang w:eastAsia="en-GB"/>
        </w:rPr>
        <w:t>450,000 = 1.11</w:t>
      </w:r>
    </w:p>
    <w:p w14:paraId="0058D440" w14:textId="77777777" w:rsidR="00B15B71" w:rsidRDefault="00A930F6" w:rsidP="00B15B71">
      <w:pPr>
        <w:rPr>
          <w:lang w:eastAsia="en-GB"/>
        </w:rPr>
      </w:pPr>
      <w:r w:rsidRPr="00A930F6">
        <w:rPr>
          <w:lang w:eastAsia="en-GB"/>
        </w:rPr>
        <w:t xml:space="preserve">2022: </w:t>
      </w:r>
      <w:r w:rsidR="00B77933">
        <w:rPr>
          <w:lang w:eastAsia="en-GB"/>
        </w:rPr>
        <w:t>£</w:t>
      </w:r>
      <w:r w:rsidRPr="00A930F6">
        <w:rPr>
          <w:lang w:eastAsia="en-GB"/>
        </w:rPr>
        <w:t xml:space="preserve">500,000 / </w:t>
      </w:r>
      <w:r w:rsidR="00B77933">
        <w:rPr>
          <w:lang w:eastAsia="en-GB"/>
        </w:rPr>
        <w:t>£</w:t>
      </w:r>
      <w:r w:rsidRPr="00A930F6">
        <w:rPr>
          <w:lang w:eastAsia="en-GB"/>
        </w:rPr>
        <w:t>450,000 = 1.11</w:t>
      </w:r>
    </w:p>
    <w:p w14:paraId="6AD3437C" w14:textId="77777777" w:rsidR="00085C76" w:rsidRDefault="00085C76" w:rsidP="00B15B71">
      <w:r>
        <w:t xml:space="preserve">The debt-to-equity ratio has been stable at 1.11 for the last three years. It's not a huge sum, but it does indicate a chronic reliance on debt, which might </w:t>
      </w:r>
      <w:r w:rsidR="00DF4C5A">
        <w:t>raise long-term financial risk.</w:t>
      </w:r>
    </w:p>
    <w:p w14:paraId="45D0DAA4" w14:textId="77777777" w:rsidR="009150E3" w:rsidRDefault="009150E3" w:rsidP="00B15B71">
      <w:pPr>
        <w:rPr>
          <w:b/>
          <w:lang w:eastAsia="en-GB"/>
        </w:rPr>
      </w:pPr>
      <w:r w:rsidRPr="00734985">
        <w:rPr>
          <w:b/>
          <w:lang w:eastAsia="en-GB"/>
        </w:rPr>
        <w:lastRenderedPageBreak/>
        <w:t>Summary of the performance</w:t>
      </w:r>
    </w:p>
    <w:p w14:paraId="7860B1B2" w14:textId="77777777" w:rsidR="00FD22A1" w:rsidRDefault="00FD22A1" w:rsidP="00FD22A1">
      <w:r>
        <w:t>There has been a dramatic shift in the Seaview Resort's financial performance during the last three years. Net profit margin is expected to fall from 15% in 2020 to 4% in 2022, indicating a diminishing ability to transform sales into profit. We are concerned about the impact this trend will have on the resort's bottom line in the future. Gross profit margin has remained stable between 18% to 25% of revenue, which is excellent news. However, the stable gross margin did not prevent a reduction in net profit, demonstrating that there may be scope for improvement in cost management</w:t>
      </w:r>
      <w:r w:rsidR="0039019A">
        <w:t xml:space="preserve"> (</w:t>
      </w:r>
      <w:proofErr w:type="spellStart"/>
      <w:r w:rsidR="00E65C1D">
        <w:t>Prihartono</w:t>
      </w:r>
      <w:proofErr w:type="spellEnd"/>
      <w:r w:rsidR="00E65C1D">
        <w:t xml:space="preserve"> </w:t>
      </w:r>
      <w:r w:rsidR="0039019A">
        <w:t>and</w:t>
      </w:r>
      <w:r w:rsidR="00E65C1D">
        <w:t xml:space="preserve"> </w:t>
      </w:r>
      <w:proofErr w:type="spellStart"/>
      <w:r w:rsidR="00E65C1D">
        <w:t>Asandimitra</w:t>
      </w:r>
      <w:proofErr w:type="spellEnd"/>
      <w:r w:rsidR="00E65C1D">
        <w:t xml:space="preserve">, </w:t>
      </w:r>
      <w:r w:rsidR="006C0AEE">
        <w:t>2018)</w:t>
      </w:r>
      <w:r>
        <w:t xml:space="preserve">. The return on assets (ROA) has dropped significantly from 6.5% in 2020 to 1.46% in 2022. This suggests that the resort's ability to convert its overall assets into a profit has diminished </w:t>
      </w:r>
      <w:proofErr w:type="gramStart"/>
      <w:r>
        <w:t>as a result of</w:t>
      </w:r>
      <w:proofErr w:type="gramEnd"/>
      <w:r>
        <w:t xml:space="preserve"> dropping revenues and increased costs. Also significantly reduced is the ROE, which drops from 17.33% in 2020 to 3.89% in 2022. This bodes poorly for the resort's ability to generate returns for its equity investors. The resort's current ratio has maintained over 1, indicating that its current assets are being properly managed to achieve its short-term obligations, even while these profitability measures have been on a downward trend</w:t>
      </w:r>
      <w:r w:rsidR="002D437B">
        <w:t xml:space="preserve"> (</w:t>
      </w:r>
      <w:proofErr w:type="spellStart"/>
      <w:r w:rsidR="004C31B8">
        <w:t>Tulsian</w:t>
      </w:r>
      <w:proofErr w:type="spellEnd"/>
      <w:r w:rsidR="002D437B" w:rsidRPr="00B305EB">
        <w:t xml:space="preserve"> </w:t>
      </w:r>
      <w:r w:rsidR="002D437B">
        <w:t>and</w:t>
      </w:r>
      <w:r w:rsidR="00505056">
        <w:t xml:space="preserve"> Bharat, </w:t>
      </w:r>
      <w:r w:rsidR="00BF280C">
        <w:t>2017)</w:t>
      </w:r>
      <w:r>
        <w:t>. Even if the debt-to-equity ratio is not now too high, the fact that it has been stable over time is a warning sign. The Seaview Resort has room for development in terms of profitability, efficiency, return on equity, and return on assets</w:t>
      </w:r>
      <w:r w:rsidR="009F0E33">
        <w:t xml:space="preserve"> (</w:t>
      </w:r>
      <w:r w:rsidR="00D746B8">
        <w:t xml:space="preserve">Brigham </w:t>
      </w:r>
      <w:r w:rsidR="009F0E33">
        <w:t>and</w:t>
      </w:r>
      <w:r w:rsidR="00A853CE">
        <w:t xml:space="preserve"> Daves, </w:t>
      </w:r>
      <w:r w:rsidR="005E1CF5">
        <w:t>2019)</w:t>
      </w:r>
      <w:r>
        <w:t>. If Seaview Resort wish to enhance the company's long-term survival and growth prospects, Seaview Resort need to concentrate on cost control, revenue improvement, and debt reduction.</w:t>
      </w:r>
    </w:p>
    <w:p w14:paraId="308DFDFD" w14:textId="77777777" w:rsidR="00DA2EE7" w:rsidRDefault="001C4204" w:rsidP="00790861">
      <w:pPr>
        <w:pStyle w:val="Heading1"/>
      </w:pPr>
      <w:bookmarkStart w:id="2" w:name="_Toc150091751"/>
      <w:r w:rsidRPr="001C4204">
        <w:t>Identify</w:t>
      </w:r>
      <w:r w:rsidR="00250AA4">
        <w:t>ing</w:t>
      </w:r>
      <w:r w:rsidRPr="001C4204">
        <w:t xml:space="preserve"> the key reasons behi</w:t>
      </w:r>
      <w:r w:rsidR="00790861">
        <w:t>nd the decline in profitability</w:t>
      </w:r>
      <w:bookmarkEnd w:id="2"/>
    </w:p>
    <w:p w14:paraId="5255A45B" w14:textId="77777777" w:rsidR="00EE1172" w:rsidRDefault="00446064" w:rsidP="008563AA">
      <w:r>
        <w:t>The ongoing decline in overall revenues raises serious concerns. This drop is due to a combination of causes. One major factor is the predicted decline in the average room rate (ARR) from £250 in 2020 to £210 in 2022. More visitors might be attracted with a discounted accommodation rate, but this must be handled carefully</w:t>
      </w:r>
      <w:r w:rsidR="0060089C">
        <w:t xml:space="preserve"> (</w:t>
      </w:r>
      <w:r w:rsidR="00136DF3">
        <w:t xml:space="preserve">Mazur et al., </w:t>
      </w:r>
      <w:r w:rsidR="00EA6227">
        <w:t>2021)</w:t>
      </w:r>
      <w:r>
        <w:t>. A fall in ARR may have an adverse effect on profitability if the hotel's operating expenses are not changed to reflect the new reduced revenue per available room (RevPAR). The occupancy rate dropping from 70% in 2020 to 60% in 2022 is another cause for concern. With a reduced occupancy rate, the resort is losing out on potential income since fewer guests are using the available rooms</w:t>
      </w:r>
      <w:r w:rsidR="000F20F1">
        <w:t xml:space="preserve"> (</w:t>
      </w:r>
      <w:proofErr w:type="spellStart"/>
      <w:r w:rsidR="00A36D37">
        <w:t>Sukenti</w:t>
      </w:r>
      <w:proofErr w:type="spellEnd"/>
      <w:r w:rsidR="00A36D37">
        <w:t xml:space="preserve">, </w:t>
      </w:r>
      <w:r w:rsidR="002B7D08">
        <w:t>2023)</w:t>
      </w:r>
      <w:r>
        <w:t xml:space="preserve">. </w:t>
      </w:r>
    </w:p>
    <w:p w14:paraId="3A8F21E8" w14:textId="77777777" w:rsidR="007F1590" w:rsidRDefault="00446064" w:rsidP="008563AA">
      <w:r>
        <w:lastRenderedPageBreak/>
        <w:t xml:space="preserve">Rising operational costs from £390,000 in 2020 to £450,000 in 2022 represent a serious problem in budgeting. The rising cost is mostly due to rising labour costs, rising maintenance costs, and rising operational overhead. </w:t>
      </w:r>
      <w:proofErr w:type="gramStart"/>
      <w:r>
        <w:t>In order to</w:t>
      </w:r>
      <w:proofErr w:type="gramEnd"/>
      <w:r>
        <w:t xml:space="preserve"> keep making money, the resort has to handle these cost constraints. Staffing numbers may need to be optimised, energy saving technology used, and supply chain procedures streamlined</w:t>
      </w:r>
      <w:r w:rsidR="008A694C">
        <w:t xml:space="preserve"> (</w:t>
      </w:r>
      <w:r w:rsidR="007D2E8A">
        <w:t xml:space="preserve">Pandey, </w:t>
      </w:r>
      <w:r w:rsidR="000D296C">
        <w:t>2017)</w:t>
      </w:r>
      <w:r>
        <w:t>. Although the gross profit margin has stayed largely consistent, it hasn't translated into increasing net earnings. This disparity points to flaws in the way costs are managed and the business is run. Finding places to save costs without sacrificing service or satisfaction rates for customers is a top priority</w:t>
      </w:r>
      <w:r w:rsidR="00642582">
        <w:t xml:space="preserve"> (</w:t>
      </w:r>
      <w:r w:rsidR="002368F9">
        <w:t xml:space="preserve">Shim, </w:t>
      </w:r>
      <w:r w:rsidR="00642582">
        <w:t>2022)</w:t>
      </w:r>
      <w:r>
        <w:t>.</w:t>
      </w:r>
    </w:p>
    <w:p w14:paraId="20149BDF" w14:textId="77777777" w:rsidR="005719EE" w:rsidRDefault="00446064" w:rsidP="008563AA">
      <w:r>
        <w:t>Increases in both gross and net profit may result from more efficient operations. The resort consistently uses debt as a source of finance, as seen by the 1.11 debt to equity ratio. This ratio is often not cause for fear outside of the hotel business, but it does present certain financial problems within</w:t>
      </w:r>
      <w:r w:rsidR="00F6573E">
        <w:t xml:space="preserve"> (</w:t>
      </w:r>
      <w:r w:rsidR="004F51E6">
        <w:t>Higgins, 2016)</w:t>
      </w:r>
      <w:r>
        <w:t>. The resort's financial stability may be enhanced by investigating options for either decreasing or restructuring debt. Lower debt load might result in lower interest expenditures, favourably improving profitability</w:t>
      </w:r>
      <w:r w:rsidR="00920185">
        <w:t xml:space="preserve"> (Brooks, 2016)</w:t>
      </w:r>
      <w:r>
        <w:t xml:space="preserve">. The resort's revenue was probably affected by the economy and outside events like the COVID-19 </w:t>
      </w:r>
      <w:r w:rsidR="00D670E0">
        <w:t>pandemic</w:t>
      </w:r>
      <w:r>
        <w:t xml:space="preserve">. Occupancy rates and accommodation prices were impacted as the number of tourists and business travellers dropped because of the </w:t>
      </w:r>
      <w:r w:rsidR="00D670E0">
        <w:t>pandemic</w:t>
      </w:r>
      <w:r>
        <w:t xml:space="preserve">. </w:t>
      </w:r>
    </w:p>
    <w:p w14:paraId="51AC84A4" w14:textId="77777777" w:rsidR="00D55C4A" w:rsidRPr="00790861" w:rsidRDefault="00446064" w:rsidP="008563AA">
      <w:r>
        <w:t>Such calamities have the potential to severely affect a resort's bottom line. This may need adjustments to the resort's business model and marketing tactics to accommodate the new market realities. The Seaview Resort's declining profitability is the result of a complex web of variables</w:t>
      </w:r>
      <w:r w:rsidR="00492D81">
        <w:t xml:space="preserve"> (</w:t>
      </w:r>
      <w:r w:rsidR="008B2521">
        <w:t xml:space="preserve">Block et al., </w:t>
      </w:r>
      <w:r w:rsidR="001635B9">
        <w:t>2019)</w:t>
      </w:r>
      <w:r>
        <w:t xml:space="preserve">. Management must handle these issues by increasing revenue creation via pricing strategies and marketing initiatives, minimising expenses, maximising output, and maybe lowering debt. The resort also </w:t>
      </w:r>
      <w:proofErr w:type="gramStart"/>
      <w:r>
        <w:t>has to</w:t>
      </w:r>
      <w:proofErr w:type="gramEnd"/>
      <w:r>
        <w:t xml:space="preserve"> be adaptable and open to change so that it can meet any issues that may arise</w:t>
      </w:r>
      <w:r w:rsidR="006E0094">
        <w:t xml:space="preserve"> (</w:t>
      </w:r>
      <w:proofErr w:type="spellStart"/>
      <w:r w:rsidR="006E0094" w:rsidRPr="00B305EB">
        <w:t>G</w:t>
      </w:r>
      <w:r w:rsidR="00AE01F4">
        <w:t>rozdanovska</w:t>
      </w:r>
      <w:proofErr w:type="spellEnd"/>
      <w:r w:rsidR="00AE01F4">
        <w:t xml:space="preserve"> et al., </w:t>
      </w:r>
      <w:r w:rsidR="000B69E7">
        <w:t>2017)</w:t>
      </w:r>
      <w:r>
        <w:t>. The resort may get back on track financially in the highly competitive hotel market with a well-rounded approach.</w:t>
      </w:r>
      <w:r w:rsidRPr="00790861">
        <w:t xml:space="preserve"> </w:t>
      </w:r>
    </w:p>
    <w:p w14:paraId="62695E1E" w14:textId="77777777" w:rsidR="00A17A5E" w:rsidRPr="00B0442D" w:rsidRDefault="00B0442D" w:rsidP="00B0442D">
      <w:pPr>
        <w:pStyle w:val="Heading1"/>
        <w:rPr>
          <w:rStyle w:val="Strong"/>
          <w:b/>
          <w:bCs w:val="0"/>
        </w:rPr>
      </w:pPr>
      <w:bookmarkStart w:id="3" w:name="_Toc150091752"/>
      <w:r w:rsidRPr="00B0442D">
        <w:rPr>
          <w:rStyle w:val="Strong"/>
          <w:b/>
          <w:bCs w:val="0"/>
        </w:rPr>
        <w:t>Comprehensive turnaround strategy</w:t>
      </w:r>
      <w:bookmarkEnd w:id="3"/>
    </w:p>
    <w:p w14:paraId="7F4C9D3B" w14:textId="77777777" w:rsidR="00526AA8" w:rsidRDefault="00526AA8" w:rsidP="00FB312A">
      <w:pPr>
        <w:rPr>
          <w:rStyle w:val="Strong"/>
        </w:rPr>
      </w:pPr>
      <w:r>
        <w:rPr>
          <w:rStyle w:val="Strong"/>
        </w:rPr>
        <w:t>Revenue Enhancement</w:t>
      </w:r>
    </w:p>
    <w:p w14:paraId="3938D5B2" w14:textId="77777777" w:rsidR="00F96C20" w:rsidRDefault="00F96C20" w:rsidP="00F96C20">
      <w:r>
        <w:t xml:space="preserve">The pricing strategy of Seaview Resort will be reviewed. The goal is to maximise income without alienating potential customers by charging too little. </w:t>
      </w:r>
      <w:proofErr w:type="gramStart"/>
      <w:r>
        <w:t>In order to</w:t>
      </w:r>
      <w:proofErr w:type="gramEnd"/>
      <w:r>
        <w:t xml:space="preserve"> increase the average room rate </w:t>
      </w:r>
      <w:r>
        <w:lastRenderedPageBreak/>
        <w:t>(ARR) and total income, hotels are planning to introduce dynamic pricing, seasonal promotions, and bundled service packages</w:t>
      </w:r>
      <w:r w:rsidR="006636D5">
        <w:t xml:space="preserve"> (</w:t>
      </w:r>
      <w:r w:rsidR="00FF436B">
        <w:t>Shapiro</w:t>
      </w:r>
      <w:r w:rsidR="006636D5" w:rsidRPr="00B305EB">
        <w:t xml:space="preserve"> </w:t>
      </w:r>
      <w:r w:rsidR="006636D5">
        <w:t>and</w:t>
      </w:r>
      <w:r w:rsidR="00650255">
        <w:t xml:space="preserve"> </w:t>
      </w:r>
      <w:proofErr w:type="spellStart"/>
      <w:r w:rsidR="00650255">
        <w:t>Hanouna</w:t>
      </w:r>
      <w:proofErr w:type="spellEnd"/>
      <w:r w:rsidR="00650255">
        <w:t xml:space="preserve">, </w:t>
      </w:r>
      <w:r w:rsidR="006636D5" w:rsidRPr="00B305EB">
        <w:t>2019)</w:t>
      </w:r>
      <w:r>
        <w:t>. The digital marketing and internet presence of Seaview Resort will get substantial expenditures</w:t>
      </w:r>
      <w:r w:rsidR="00320936">
        <w:t xml:space="preserve"> (</w:t>
      </w:r>
      <w:r w:rsidR="005C4BBE">
        <w:t xml:space="preserve">Brigham, </w:t>
      </w:r>
      <w:r w:rsidR="00D62326">
        <w:t>2016)</w:t>
      </w:r>
      <w:r>
        <w:t xml:space="preserve">. The resort is dedicated to increasing its online presence and reservations via means such as search engine optimisation, social media marketing, and partnerships with OTAs. Seaview Resort will place a premium on providing a better experience for its visitors. </w:t>
      </w:r>
    </w:p>
    <w:p w14:paraId="546AF1D8" w14:textId="77777777" w:rsidR="00526AA8" w:rsidRDefault="00526AA8" w:rsidP="00FB312A">
      <w:pPr>
        <w:rPr>
          <w:rStyle w:val="Strong"/>
        </w:rPr>
      </w:pPr>
      <w:r>
        <w:rPr>
          <w:rStyle w:val="Strong"/>
        </w:rPr>
        <w:t>Cost Management and Efficiency</w:t>
      </w:r>
    </w:p>
    <w:p w14:paraId="25CCBFB1" w14:textId="77777777" w:rsidR="00C5738E" w:rsidRDefault="00C5738E" w:rsidP="00FB312A">
      <w:r>
        <w:t>A thorough analysis of the resort's procedures will be initiated at Seaview. Using this method, you may find ways to save money without sacrificing service quality</w:t>
      </w:r>
      <w:r w:rsidR="007676A6">
        <w:t xml:space="preserve"> (</w:t>
      </w:r>
      <w:r w:rsidR="00B272C7">
        <w:t xml:space="preserve">Madura et al., </w:t>
      </w:r>
      <w:r w:rsidR="00217050">
        <w:t>2018)</w:t>
      </w:r>
      <w:r>
        <w:t xml:space="preserve">. The approach includes streamlining procedures, improving energy efficiency, and maximising workforce numbers. The resort will operate with sustainability and energy efficiency as two of its top focuses. </w:t>
      </w:r>
      <w:proofErr w:type="gramStart"/>
      <w:r>
        <w:t>In order to</w:t>
      </w:r>
      <w:proofErr w:type="gramEnd"/>
      <w:r>
        <w:t xml:space="preserve"> lower utility expenses, Seaview Resort will use cutting-edge technology and sustainable practises</w:t>
      </w:r>
      <w:r w:rsidR="004A0986">
        <w:t xml:space="preserve"> (</w:t>
      </w:r>
      <w:r w:rsidR="004253DE">
        <w:t xml:space="preserve">Eun et al., </w:t>
      </w:r>
      <w:r w:rsidR="00E620A7">
        <w:t>2021)</w:t>
      </w:r>
      <w:r>
        <w:t xml:space="preserve">. Preventive maintenance will increase the useful life of machinery and buildings, which will save expenses over the long run. The resort will </w:t>
      </w:r>
      <w:proofErr w:type="gramStart"/>
      <w:r>
        <w:t>make an effort</w:t>
      </w:r>
      <w:proofErr w:type="gramEnd"/>
      <w:r>
        <w:t xml:space="preserve"> to bargain for lower prices and better conditions from its vendors. </w:t>
      </w:r>
    </w:p>
    <w:p w14:paraId="3AE2A312" w14:textId="77777777" w:rsidR="00526AA8" w:rsidRDefault="00526AA8" w:rsidP="00FB312A">
      <w:pPr>
        <w:rPr>
          <w:rStyle w:val="Strong"/>
        </w:rPr>
      </w:pPr>
      <w:r>
        <w:rPr>
          <w:rStyle w:val="Strong"/>
        </w:rPr>
        <w:t>Debt Restructuring and Financial Stability</w:t>
      </w:r>
    </w:p>
    <w:p w14:paraId="2396C51A" w14:textId="77777777" w:rsidR="007A31F6" w:rsidRDefault="007A31F6" w:rsidP="00FB312A">
      <w:r>
        <w:t xml:space="preserve">The resort will investigate potential debt refinancing and debt restructuring options. It is hoped that by taking preventative measures, interest costs may be </w:t>
      </w:r>
      <w:proofErr w:type="gramStart"/>
      <w:r>
        <w:t>reduced</w:t>
      </w:r>
      <w:proofErr w:type="gramEnd"/>
      <w:r>
        <w:t xml:space="preserve"> and the debt load can be lightened, resulting in greater financial security</w:t>
      </w:r>
      <w:r w:rsidR="00156F92">
        <w:t xml:space="preserve"> (</w:t>
      </w:r>
      <w:r w:rsidR="009D756D">
        <w:t>Brigham</w:t>
      </w:r>
      <w:r w:rsidR="00156F92" w:rsidRPr="00B305EB">
        <w:t xml:space="preserve"> </w:t>
      </w:r>
      <w:r w:rsidR="00156F92">
        <w:t>and</w:t>
      </w:r>
      <w:r w:rsidR="00BB5B3F">
        <w:t xml:space="preserve"> Houston, </w:t>
      </w:r>
      <w:r w:rsidR="00FA4180">
        <w:t>2019)</w:t>
      </w:r>
      <w:r>
        <w:t>. All major purchases at Seaview Resort will be thoroughly evaluated. Projects with a demonstrable ROI and the potential to increase earnings will be given more priority. To maintain fiscal responsibility, discretionary spending will be reduced or abolished</w:t>
      </w:r>
      <w:r w:rsidR="00825583">
        <w:t xml:space="preserve"> (</w:t>
      </w:r>
      <w:r w:rsidR="00FB2425">
        <w:t xml:space="preserve">Bekaert </w:t>
      </w:r>
      <w:r w:rsidR="00825583">
        <w:t>and</w:t>
      </w:r>
      <w:r w:rsidR="00BB1852">
        <w:t xml:space="preserve"> Hodrick, </w:t>
      </w:r>
      <w:r w:rsidR="001B0EC3">
        <w:t>2017)</w:t>
      </w:r>
      <w:r>
        <w:t xml:space="preserve">. </w:t>
      </w:r>
      <w:proofErr w:type="gramStart"/>
      <w:r>
        <w:t>In order to</w:t>
      </w:r>
      <w:proofErr w:type="gramEnd"/>
      <w:r>
        <w:t xml:space="preserve"> maintain a good equilibrium between short-term liquidity and long-term investment, the resort has developed a thorough cash flow management strategy. </w:t>
      </w:r>
    </w:p>
    <w:p w14:paraId="6A144EEF" w14:textId="77777777" w:rsidR="00526AA8" w:rsidRDefault="00526AA8" w:rsidP="00FB312A">
      <w:pPr>
        <w:rPr>
          <w:rStyle w:val="Strong"/>
        </w:rPr>
      </w:pPr>
      <w:r>
        <w:rPr>
          <w:rStyle w:val="Strong"/>
        </w:rPr>
        <w:t>Marketing and Branding</w:t>
      </w:r>
    </w:p>
    <w:p w14:paraId="28251485" w14:textId="77777777" w:rsidR="0068224F" w:rsidRDefault="0068224F" w:rsidP="00FB312A">
      <w:r>
        <w:t>Seaview Resort is exploring a rebranding attempt to emphasise its unique selling characteristics and persistent dedication to client satisfaction. New and returning guests are what the resort hopes to gain from its revamped brand image</w:t>
      </w:r>
      <w:r w:rsidR="00107EF2">
        <w:t xml:space="preserve"> (</w:t>
      </w:r>
      <w:proofErr w:type="spellStart"/>
      <w:r w:rsidR="00E85734">
        <w:t>Atrill</w:t>
      </w:r>
      <w:proofErr w:type="spellEnd"/>
      <w:r w:rsidR="00E85734">
        <w:t xml:space="preserve">, </w:t>
      </w:r>
      <w:r w:rsidR="008C279C">
        <w:t>2017)</w:t>
      </w:r>
      <w:r>
        <w:t xml:space="preserve">. The hotel is aggressively seeking partnerships with local establishments and points of interest </w:t>
      </w:r>
      <w:proofErr w:type="gramStart"/>
      <w:r>
        <w:t>in order to</w:t>
      </w:r>
      <w:proofErr w:type="gramEnd"/>
      <w:r>
        <w:t xml:space="preserve"> provide visitors with more </w:t>
      </w:r>
      <w:r>
        <w:lastRenderedPageBreak/>
        <w:t>alluring package deals. By working together on advertising, Seaview Resort hopes to reach more people and improve its reputation as a desirable holiday spot. To increase the frequency of visits from existing customers, a loyalty programme is being implemented</w:t>
      </w:r>
      <w:r w:rsidR="003C17AE">
        <w:t xml:space="preserve"> (</w:t>
      </w:r>
      <w:r w:rsidR="00CF4132">
        <w:t xml:space="preserve">Chandra, </w:t>
      </w:r>
      <w:r w:rsidR="00E52D51">
        <w:t>2017)</w:t>
      </w:r>
      <w:r>
        <w:t xml:space="preserve">. Offering discounts, special deals, and awards to repeat customers is a great way to build loyalty and encourage repeat business. </w:t>
      </w:r>
    </w:p>
    <w:p w14:paraId="31910929" w14:textId="77777777" w:rsidR="00526AA8" w:rsidRDefault="00526AA8" w:rsidP="00FB312A">
      <w:pPr>
        <w:rPr>
          <w:rStyle w:val="Strong"/>
        </w:rPr>
      </w:pPr>
      <w:r>
        <w:rPr>
          <w:rStyle w:val="Strong"/>
        </w:rPr>
        <w:t>Adaptation to External Factors</w:t>
      </w:r>
    </w:p>
    <w:p w14:paraId="24193161" w14:textId="77777777" w:rsidR="00294CF2" w:rsidRDefault="00294CF2" w:rsidP="00FB312A">
      <w:r>
        <w:t>To prepare for economic changes, unanticipated catastrophes, and potentially pandemics, Seaview Resort has begun work on a resilience strategy. The strategy places an emphasis on generating money from several sources to lessen its dependency on any one source</w:t>
      </w:r>
      <w:r w:rsidR="00F21B45">
        <w:t xml:space="preserve"> (</w:t>
      </w:r>
      <w:r w:rsidR="007232BA">
        <w:t xml:space="preserve">Lasher, </w:t>
      </w:r>
      <w:r w:rsidR="00C14D2E">
        <w:t>2016)</w:t>
      </w:r>
      <w:r>
        <w:t>. The resort will continue to be flexible and responsive to customer needs and market fluctuations. To make the most of opportunities, a dynamic pricing strategy that changes room prices in response to demand and market conditions will be put into place. Prioritising the safety and well-being of visitors and workers remains key</w:t>
      </w:r>
      <w:r w:rsidR="00850815">
        <w:t xml:space="preserve"> (Higgins, 2016)</w:t>
      </w:r>
      <w:r>
        <w:t xml:space="preserve">. Even </w:t>
      </w:r>
      <w:proofErr w:type="gramStart"/>
      <w:r>
        <w:t>in the midst of</w:t>
      </w:r>
      <w:proofErr w:type="gramEnd"/>
      <w:r>
        <w:t xml:space="preserve"> public health emergencies, reservations at Seaview Resort will be encouraged thanks to the resort's strict adherence to safety and sanitary procedures. </w:t>
      </w:r>
    </w:p>
    <w:p w14:paraId="758814A7" w14:textId="77777777" w:rsidR="00526AA8" w:rsidRDefault="00526AA8" w:rsidP="00FB312A">
      <w:r>
        <w:rPr>
          <w:rStyle w:val="Strong"/>
        </w:rPr>
        <w:t>Long-term Growth</w:t>
      </w:r>
    </w:p>
    <w:p w14:paraId="008D3046" w14:textId="77777777" w:rsidR="00AC2132" w:rsidRDefault="00913310" w:rsidP="00526AA8">
      <w:r>
        <w:t>The resort is thinking about making some big expenditures in new features that will make it stand out from the crowd and bring in more customers. Spa treatments, recreational opportunities, and even collaborations with nearby tourist hotspots are all viable options for improving guests' overall stay</w:t>
      </w:r>
      <w:r w:rsidR="00954113">
        <w:t xml:space="preserve"> (Higgins, 2016)</w:t>
      </w:r>
      <w:r>
        <w:t xml:space="preserve">. Continuous market research will be undertaken to understand developing guest preferences and market trends. Seaview Resort </w:t>
      </w:r>
      <w:proofErr w:type="gramStart"/>
      <w:r>
        <w:t>is able to</w:t>
      </w:r>
      <w:proofErr w:type="gramEnd"/>
      <w:r>
        <w:t xml:space="preserve"> anticipate and adapt to changing market conditions in the hotel sector because to its proactive management. Seaview Resort understands the importance of its employees and is providing them with enough opportunities for professional growth. </w:t>
      </w:r>
      <w:r w:rsidR="00AC2132">
        <w:br w:type="page"/>
      </w:r>
    </w:p>
    <w:p w14:paraId="4381AC98" w14:textId="77777777" w:rsidR="00AC2132" w:rsidRDefault="00640764" w:rsidP="00BB32A0">
      <w:pPr>
        <w:pStyle w:val="Heading1"/>
      </w:pPr>
      <w:bookmarkStart w:id="4" w:name="_Toc150091753"/>
      <w:r w:rsidRPr="00BB32A0">
        <w:lastRenderedPageBreak/>
        <w:t>Conclusion</w:t>
      </w:r>
      <w:bookmarkEnd w:id="4"/>
    </w:p>
    <w:p w14:paraId="60C721C7" w14:textId="77777777" w:rsidR="006F4DEA" w:rsidRDefault="006F4DEA" w:rsidP="006F4DEA">
      <w:r>
        <w:t xml:space="preserve">In response to Seaview Resort's falling profitability, the proposed complete turnaround plan gives a blueprint for resuscitation. The resort can get through its financial hiccups if it prioritises increasing income, cutting costs, restructuring its debt, marketing and branding, being flexible in the face of external variables, and expanding over the long run. </w:t>
      </w:r>
      <w:proofErr w:type="gramStart"/>
      <w:r>
        <w:t>In order to</w:t>
      </w:r>
      <w:proofErr w:type="gramEnd"/>
      <w:r>
        <w:t xml:space="preserve"> maintain its status as a top resort and attract more guests, Seaview Resort must find ways to cut cos</w:t>
      </w:r>
      <w:r w:rsidR="00F4771B">
        <w:t>ts without sacrificing quality.</w:t>
      </w:r>
    </w:p>
    <w:p w14:paraId="5267BD70" w14:textId="77777777" w:rsidR="006C2D80" w:rsidRDefault="006C2D80">
      <w:pPr>
        <w:spacing w:line="259" w:lineRule="auto"/>
        <w:jc w:val="left"/>
      </w:pPr>
      <w:r>
        <w:br w:type="page"/>
      </w:r>
    </w:p>
    <w:p w14:paraId="70DB4BF9" w14:textId="77777777" w:rsidR="006C2D80" w:rsidRDefault="0033716C" w:rsidP="00613F6F">
      <w:pPr>
        <w:pStyle w:val="Heading1"/>
      </w:pPr>
      <w:bookmarkStart w:id="5" w:name="_Toc150091754"/>
      <w:r>
        <w:lastRenderedPageBreak/>
        <w:t>References</w:t>
      </w:r>
      <w:bookmarkEnd w:id="5"/>
    </w:p>
    <w:p w14:paraId="27FE8AF1" w14:textId="77777777" w:rsidR="00903F3C" w:rsidRPr="004332A4" w:rsidRDefault="00903F3C" w:rsidP="004332A4">
      <w:proofErr w:type="spellStart"/>
      <w:r w:rsidRPr="005A281F">
        <w:t>Atrill</w:t>
      </w:r>
      <w:proofErr w:type="spellEnd"/>
      <w:r w:rsidRPr="005A281F">
        <w:t xml:space="preserve">, P. (2017). </w:t>
      </w:r>
      <w:r w:rsidRPr="005A281F">
        <w:rPr>
          <w:i/>
          <w:iCs/>
        </w:rPr>
        <w:t>Financial management for decision makers</w:t>
      </w:r>
      <w:r w:rsidRPr="005A281F">
        <w:t>. Pearson.</w:t>
      </w:r>
    </w:p>
    <w:p w14:paraId="6B250036" w14:textId="77777777" w:rsidR="00903F3C" w:rsidRPr="00B305EB" w:rsidRDefault="00903F3C" w:rsidP="00B305EB">
      <w:r w:rsidRPr="00B305EB">
        <w:t xml:space="preserve">Bekaert, G., </w:t>
      </w:r>
      <w:r>
        <w:t>and</w:t>
      </w:r>
      <w:r w:rsidRPr="00B305EB">
        <w:t xml:space="preserve"> Hodrick, R. (2017). </w:t>
      </w:r>
      <w:r w:rsidRPr="00B305EB">
        <w:rPr>
          <w:i/>
          <w:iCs/>
        </w:rPr>
        <w:t>International financial management</w:t>
      </w:r>
      <w:r w:rsidRPr="00B305EB">
        <w:t>. Cambridge University Press.</w:t>
      </w:r>
    </w:p>
    <w:p w14:paraId="05860E75" w14:textId="77777777" w:rsidR="00903F3C" w:rsidRPr="00B305EB" w:rsidRDefault="00903F3C" w:rsidP="00B305EB">
      <w:r w:rsidRPr="00B305EB">
        <w:t xml:space="preserve">Block, S. B., Hirt, G. A., </w:t>
      </w:r>
      <w:r>
        <w:t>and</w:t>
      </w:r>
      <w:r w:rsidRPr="00B305EB">
        <w:t xml:space="preserve"> Danielsen, B. R. (2019). </w:t>
      </w:r>
      <w:r w:rsidRPr="00B305EB">
        <w:rPr>
          <w:i/>
          <w:iCs/>
        </w:rPr>
        <w:t>Foundations of financial management</w:t>
      </w:r>
      <w:r w:rsidRPr="00B305EB">
        <w:t>. McGraw-Hill.</w:t>
      </w:r>
    </w:p>
    <w:p w14:paraId="02E55548" w14:textId="77777777" w:rsidR="00903F3C" w:rsidRPr="00B305EB" w:rsidRDefault="00903F3C" w:rsidP="00B305EB">
      <w:r w:rsidRPr="00B305EB">
        <w:t xml:space="preserve">Brigham, E. F. (2016). </w:t>
      </w:r>
      <w:r w:rsidRPr="00B305EB">
        <w:rPr>
          <w:i/>
          <w:iCs/>
        </w:rPr>
        <w:t>Financial management: Theory and practice</w:t>
      </w:r>
      <w:r w:rsidRPr="00B305EB">
        <w:t>. Cengage Learning Canada Inc.</w:t>
      </w:r>
    </w:p>
    <w:p w14:paraId="3305562B" w14:textId="77777777" w:rsidR="00903F3C" w:rsidRPr="00B305EB" w:rsidRDefault="00903F3C" w:rsidP="00B305EB">
      <w:r w:rsidRPr="00B305EB">
        <w:t xml:space="preserve">Brigham, E. F., </w:t>
      </w:r>
      <w:r>
        <w:t>and</w:t>
      </w:r>
      <w:r w:rsidRPr="00B305EB">
        <w:t xml:space="preserve"> Daves, P. R. (2019). </w:t>
      </w:r>
      <w:r w:rsidRPr="00B305EB">
        <w:rPr>
          <w:i/>
          <w:iCs/>
        </w:rPr>
        <w:t>Intermediate financial management</w:t>
      </w:r>
      <w:r w:rsidRPr="00B305EB">
        <w:t>. Cengage Learning.</w:t>
      </w:r>
    </w:p>
    <w:p w14:paraId="6EC76D23" w14:textId="77777777" w:rsidR="00903F3C" w:rsidRPr="00B305EB" w:rsidRDefault="00903F3C" w:rsidP="00B305EB">
      <w:r w:rsidRPr="00B305EB">
        <w:t xml:space="preserve">Brigham, E. F., </w:t>
      </w:r>
      <w:r>
        <w:t>and</w:t>
      </w:r>
      <w:r w:rsidRPr="00B305EB">
        <w:t xml:space="preserve"> Houston, J. F. (2019). Fundamentals of financial management 15th.</w:t>
      </w:r>
    </w:p>
    <w:p w14:paraId="73B2CD6D" w14:textId="77777777" w:rsidR="00903F3C" w:rsidRPr="00B305EB" w:rsidRDefault="00903F3C" w:rsidP="00B305EB">
      <w:r w:rsidRPr="00B305EB">
        <w:t xml:space="preserve">Brooks, R. M. (2016). </w:t>
      </w:r>
      <w:r w:rsidRPr="00B305EB">
        <w:rPr>
          <w:i/>
          <w:iCs/>
        </w:rPr>
        <w:t>Financial management: core concepts</w:t>
      </w:r>
      <w:r w:rsidRPr="00B305EB">
        <w:t>. Pearson.</w:t>
      </w:r>
    </w:p>
    <w:p w14:paraId="2D7FB63A" w14:textId="77777777" w:rsidR="00903F3C" w:rsidRPr="00B305EB" w:rsidRDefault="00903F3C" w:rsidP="00B305EB">
      <w:r w:rsidRPr="00B305EB">
        <w:t xml:space="preserve">Chandra, P. (2017). </w:t>
      </w:r>
      <w:r w:rsidRPr="00B305EB">
        <w:rPr>
          <w:i/>
          <w:iCs/>
        </w:rPr>
        <w:t>Fundamentals of financial management</w:t>
      </w:r>
      <w:r w:rsidRPr="00B305EB">
        <w:t>. McGraw Hill Education.</w:t>
      </w:r>
    </w:p>
    <w:p w14:paraId="177E8AA4" w14:textId="77777777" w:rsidR="00903F3C" w:rsidRPr="00B305EB" w:rsidRDefault="00903F3C" w:rsidP="00B305EB">
      <w:r w:rsidRPr="00B305EB">
        <w:t xml:space="preserve">Eun, C. S., Resnick, B. G., </w:t>
      </w:r>
      <w:r>
        <w:t>and</w:t>
      </w:r>
      <w:r w:rsidRPr="00B305EB">
        <w:t xml:space="preserve"> Chuluun, T. (2021). </w:t>
      </w:r>
      <w:r w:rsidRPr="00B305EB">
        <w:rPr>
          <w:i/>
          <w:iCs/>
        </w:rPr>
        <w:t>International financial management</w:t>
      </w:r>
      <w:r w:rsidRPr="00B305EB">
        <w:t>. McGraw-Hill.</w:t>
      </w:r>
    </w:p>
    <w:p w14:paraId="6C997890" w14:textId="77777777" w:rsidR="00903F3C" w:rsidRPr="00B305EB" w:rsidRDefault="00903F3C" w:rsidP="00B305EB">
      <w:proofErr w:type="spellStart"/>
      <w:r w:rsidRPr="00B305EB">
        <w:t>Grozdanovska</w:t>
      </w:r>
      <w:proofErr w:type="spellEnd"/>
      <w:r w:rsidRPr="00B305EB">
        <w:t xml:space="preserve">, V., </w:t>
      </w:r>
      <w:proofErr w:type="spellStart"/>
      <w:r w:rsidRPr="00B305EB">
        <w:t>Bojkovska</w:t>
      </w:r>
      <w:proofErr w:type="spellEnd"/>
      <w:r w:rsidRPr="00B305EB">
        <w:t xml:space="preserve">, K., </w:t>
      </w:r>
      <w:r>
        <w:t>and</w:t>
      </w:r>
      <w:r w:rsidRPr="00B305EB">
        <w:t xml:space="preserve"> </w:t>
      </w:r>
      <w:proofErr w:type="spellStart"/>
      <w:r w:rsidRPr="00B305EB">
        <w:t>Jankulovski</w:t>
      </w:r>
      <w:proofErr w:type="spellEnd"/>
      <w:r w:rsidRPr="00B305EB">
        <w:t xml:space="preserve">, N. (2017). Financial management and financial planning in the organizations. </w:t>
      </w:r>
      <w:r w:rsidRPr="00B305EB">
        <w:rPr>
          <w:i/>
          <w:iCs/>
        </w:rPr>
        <w:t>European Journal of Business and Management</w:t>
      </w:r>
      <w:r w:rsidRPr="00B305EB">
        <w:t xml:space="preserve">, </w:t>
      </w:r>
      <w:r w:rsidRPr="00B305EB">
        <w:rPr>
          <w:i/>
          <w:iCs/>
        </w:rPr>
        <w:t>9</w:t>
      </w:r>
      <w:r w:rsidRPr="00B305EB">
        <w:t>(02).</w:t>
      </w:r>
    </w:p>
    <w:p w14:paraId="56B314FC" w14:textId="77777777" w:rsidR="00903F3C" w:rsidRPr="00B305EB" w:rsidRDefault="00903F3C" w:rsidP="00B305EB">
      <w:r w:rsidRPr="00B305EB">
        <w:t xml:space="preserve">Higgins, R. C. (2016). </w:t>
      </w:r>
      <w:r w:rsidRPr="00B305EB">
        <w:rPr>
          <w:i/>
          <w:iCs/>
        </w:rPr>
        <w:t>Analysis for financial management</w:t>
      </w:r>
      <w:r w:rsidRPr="00B305EB">
        <w:t>. McGraw-Hill.</w:t>
      </w:r>
    </w:p>
    <w:p w14:paraId="2F38FE4F" w14:textId="77777777" w:rsidR="00903F3C" w:rsidRPr="00B305EB" w:rsidRDefault="00903F3C" w:rsidP="00B305EB">
      <w:r w:rsidRPr="00B305EB">
        <w:t xml:space="preserve">Lasher, W. R. (2016). </w:t>
      </w:r>
      <w:r w:rsidRPr="00B305EB">
        <w:rPr>
          <w:i/>
          <w:iCs/>
        </w:rPr>
        <w:t>Practical financial management</w:t>
      </w:r>
      <w:r w:rsidRPr="00B305EB">
        <w:t>. Cengage Learning.</w:t>
      </w:r>
    </w:p>
    <w:p w14:paraId="3880F2B8" w14:textId="77777777" w:rsidR="00903F3C" w:rsidRPr="00B305EB" w:rsidRDefault="00903F3C" w:rsidP="00B305EB">
      <w:r w:rsidRPr="00B305EB">
        <w:t xml:space="preserve">Madura, J., Hoque, A., </w:t>
      </w:r>
      <w:r>
        <w:t>and</w:t>
      </w:r>
      <w:r w:rsidRPr="00B305EB">
        <w:t xml:space="preserve"> </w:t>
      </w:r>
      <w:proofErr w:type="spellStart"/>
      <w:r w:rsidRPr="00B305EB">
        <w:t>Krishnamrti</w:t>
      </w:r>
      <w:proofErr w:type="spellEnd"/>
      <w:r w:rsidRPr="00B305EB">
        <w:t xml:space="preserve">, C. (2018). </w:t>
      </w:r>
      <w:r w:rsidRPr="00B305EB">
        <w:rPr>
          <w:i/>
          <w:iCs/>
        </w:rPr>
        <w:t>International financial management</w:t>
      </w:r>
      <w:r w:rsidRPr="00B305EB">
        <w:t>. Cengage AU.</w:t>
      </w:r>
    </w:p>
    <w:p w14:paraId="45EC4466" w14:textId="77777777" w:rsidR="00903F3C" w:rsidRPr="00B305EB" w:rsidRDefault="00903F3C" w:rsidP="00B305EB">
      <w:r w:rsidRPr="00B305EB">
        <w:t xml:space="preserve">Mazur, N., </w:t>
      </w:r>
      <w:proofErr w:type="spellStart"/>
      <w:r w:rsidRPr="00B305EB">
        <w:t>Khrystenko</w:t>
      </w:r>
      <w:proofErr w:type="spellEnd"/>
      <w:r w:rsidRPr="00B305EB">
        <w:t xml:space="preserve">, L., </w:t>
      </w:r>
      <w:proofErr w:type="spellStart"/>
      <w:r w:rsidRPr="00B305EB">
        <w:t>Pásztorová</w:t>
      </w:r>
      <w:proofErr w:type="spellEnd"/>
      <w:r w:rsidRPr="00B305EB">
        <w:t xml:space="preserve">, J., Zos-Kior, M., </w:t>
      </w:r>
      <w:proofErr w:type="spellStart"/>
      <w:r w:rsidRPr="00B305EB">
        <w:t>Hnatenko</w:t>
      </w:r>
      <w:proofErr w:type="spellEnd"/>
      <w:r w:rsidRPr="00B305EB">
        <w:t xml:space="preserve">, I., </w:t>
      </w:r>
      <w:proofErr w:type="spellStart"/>
      <w:r w:rsidRPr="00B305EB">
        <w:t>Puzyrova</w:t>
      </w:r>
      <w:proofErr w:type="spellEnd"/>
      <w:r w:rsidRPr="00B305EB">
        <w:t xml:space="preserve">, P., </w:t>
      </w:r>
      <w:r>
        <w:t>and</w:t>
      </w:r>
      <w:r w:rsidRPr="00B305EB">
        <w:t xml:space="preserve"> </w:t>
      </w:r>
      <w:proofErr w:type="spellStart"/>
      <w:r w:rsidRPr="00B305EB">
        <w:t>Rubezhanska</w:t>
      </w:r>
      <w:proofErr w:type="spellEnd"/>
      <w:r w:rsidRPr="00B305EB">
        <w:t xml:space="preserve">, V. (2021). Improvement of controlling in the financial management of enterprises. </w:t>
      </w:r>
      <w:r w:rsidRPr="00B305EB">
        <w:rPr>
          <w:i/>
          <w:iCs/>
        </w:rPr>
        <w:t>TEM Journal-Technology, Education, Management, Informatics</w:t>
      </w:r>
      <w:r w:rsidRPr="00B305EB">
        <w:t>.</w:t>
      </w:r>
    </w:p>
    <w:p w14:paraId="1408E8CE" w14:textId="77777777" w:rsidR="00903F3C" w:rsidRPr="00B305EB" w:rsidRDefault="00903F3C" w:rsidP="00B305EB">
      <w:r w:rsidRPr="00B305EB">
        <w:t xml:space="preserve">Pandey, K. (2017). </w:t>
      </w:r>
      <w:r w:rsidRPr="00B305EB">
        <w:rPr>
          <w:i/>
          <w:iCs/>
        </w:rPr>
        <w:t>Financial management</w:t>
      </w:r>
      <w:r w:rsidRPr="00B305EB">
        <w:t>. Lulu. com.</w:t>
      </w:r>
    </w:p>
    <w:p w14:paraId="34D7E1F5" w14:textId="77777777" w:rsidR="00903F3C" w:rsidRPr="00B305EB" w:rsidRDefault="00903F3C" w:rsidP="00B305EB">
      <w:proofErr w:type="spellStart"/>
      <w:r w:rsidRPr="00B305EB">
        <w:lastRenderedPageBreak/>
        <w:t>Prihartono</w:t>
      </w:r>
      <w:proofErr w:type="spellEnd"/>
      <w:r w:rsidRPr="00B305EB">
        <w:t xml:space="preserve">, M. R. D., </w:t>
      </w:r>
      <w:r>
        <w:t>and</w:t>
      </w:r>
      <w:r w:rsidRPr="00B305EB">
        <w:t xml:space="preserve"> </w:t>
      </w:r>
      <w:proofErr w:type="spellStart"/>
      <w:r w:rsidRPr="00B305EB">
        <w:t>Asandimitra</w:t>
      </w:r>
      <w:proofErr w:type="spellEnd"/>
      <w:r w:rsidRPr="00B305EB">
        <w:t xml:space="preserve">, N. (2018). Analysis factors influencing financial management behaviour. </w:t>
      </w:r>
      <w:r w:rsidRPr="00B305EB">
        <w:rPr>
          <w:i/>
          <w:iCs/>
        </w:rPr>
        <w:t>International Journal of Academic Research in Business and Social Sciences</w:t>
      </w:r>
      <w:r w:rsidRPr="00B305EB">
        <w:t xml:space="preserve">, </w:t>
      </w:r>
      <w:r w:rsidRPr="00B305EB">
        <w:rPr>
          <w:i/>
          <w:iCs/>
        </w:rPr>
        <w:t>8</w:t>
      </w:r>
      <w:r w:rsidRPr="00B305EB">
        <w:t>(8), 308-326.</w:t>
      </w:r>
    </w:p>
    <w:p w14:paraId="5904338B" w14:textId="77777777" w:rsidR="00903F3C" w:rsidRPr="00B305EB" w:rsidRDefault="00903F3C" w:rsidP="00B305EB">
      <w:r w:rsidRPr="00B305EB">
        <w:t xml:space="preserve">Shapiro, A. C., </w:t>
      </w:r>
      <w:r>
        <w:t>and</w:t>
      </w:r>
      <w:r w:rsidRPr="00B305EB">
        <w:t xml:space="preserve"> </w:t>
      </w:r>
      <w:proofErr w:type="spellStart"/>
      <w:r w:rsidRPr="00B305EB">
        <w:t>Hanouna</w:t>
      </w:r>
      <w:proofErr w:type="spellEnd"/>
      <w:r w:rsidRPr="00B305EB">
        <w:t xml:space="preserve">, P. (2019). </w:t>
      </w:r>
      <w:r w:rsidRPr="00B305EB">
        <w:rPr>
          <w:i/>
          <w:iCs/>
        </w:rPr>
        <w:t>Multinational financial management</w:t>
      </w:r>
      <w:r w:rsidRPr="00B305EB">
        <w:t xml:space="preserve">. John Wiley </w:t>
      </w:r>
      <w:r>
        <w:t>and</w:t>
      </w:r>
      <w:r w:rsidRPr="00B305EB">
        <w:t xml:space="preserve"> Sons.</w:t>
      </w:r>
    </w:p>
    <w:p w14:paraId="113A368A" w14:textId="77777777" w:rsidR="00903F3C" w:rsidRDefault="00903F3C" w:rsidP="006F4DEA">
      <w:r w:rsidRPr="00B305EB">
        <w:t xml:space="preserve">Shim, J. K. (2022). </w:t>
      </w:r>
      <w:r w:rsidRPr="00B305EB">
        <w:rPr>
          <w:i/>
          <w:iCs/>
        </w:rPr>
        <w:t>Financial management</w:t>
      </w:r>
      <w:r w:rsidRPr="00B305EB">
        <w:t>. Professor of Finance and Accounting Queens College City University of New York.</w:t>
      </w:r>
    </w:p>
    <w:p w14:paraId="014AF3D9" w14:textId="77777777" w:rsidR="00903F3C" w:rsidRPr="00B305EB" w:rsidRDefault="00903F3C" w:rsidP="00B305EB">
      <w:proofErr w:type="spellStart"/>
      <w:r w:rsidRPr="00B305EB">
        <w:t>Sukenti</w:t>
      </w:r>
      <w:proofErr w:type="spellEnd"/>
      <w:r w:rsidRPr="00B305EB">
        <w:t xml:space="preserve">, S. (2023). Financial Management Concepts: A Review. </w:t>
      </w:r>
      <w:r w:rsidRPr="00B305EB">
        <w:rPr>
          <w:i/>
          <w:iCs/>
        </w:rPr>
        <w:t>Journal of Contemporary Administration and Management (ADMAN)</w:t>
      </w:r>
      <w:r w:rsidRPr="00B305EB">
        <w:t xml:space="preserve">, </w:t>
      </w:r>
      <w:r w:rsidRPr="00B305EB">
        <w:rPr>
          <w:i/>
          <w:iCs/>
        </w:rPr>
        <w:t>1</w:t>
      </w:r>
      <w:r w:rsidRPr="00B305EB">
        <w:t>(1), 13-16.</w:t>
      </w:r>
    </w:p>
    <w:p w14:paraId="337989A6" w14:textId="77777777" w:rsidR="00903F3C" w:rsidRPr="00B305EB" w:rsidRDefault="00903F3C" w:rsidP="00B305EB">
      <w:proofErr w:type="spellStart"/>
      <w:r w:rsidRPr="00B305EB">
        <w:t>Tulsian</w:t>
      </w:r>
      <w:proofErr w:type="spellEnd"/>
      <w:r w:rsidRPr="00B305EB">
        <w:t xml:space="preserve">, P. C., </w:t>
      </w:r>
      <w:r>
        <w:t>and</w:t>
      </w:r>
      <w:r w:rsidRPr="00B305EB">
        <w:t xml:space="preserve"> Bharat, T. (2017). </w:t>
      </w:r>
      <w:r w:rsidRPr="00B305EB">
        <w:rPr>
          <w:i/>
          <w:iCs/>
        </w:rPr>
        <w:t>Financial management</w:t>
      </w:r>
      <w:r w:rsidRPr="00B305EB">
        <w:t>. S. Chand Publishing.</w:t>
      </w:r>
    </w:p>
    <w:p w14:paraId="58A27986" w14:textId="77777777" w:rsidR="00B305EB" w:rsidRPr="006F4DEA" w:rsidRDefault="00B305EB" w:rsidP="006F4DEA"/>
    <w:sectPr w:rsidR="00B305EB" w:rsidRPr="006F4DEA">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1CC0AF" w14:textId="77777777" w:rsidR="007838E8" w:rsidRDefault="007838E8" w:rsidP="00F11112">
      <w:pPr>
        <w:spacing w:after="0" w:line="240" w:lineRule="auto"/>
      </w:pPr>
      <w:r>
        <w:separator/>
      </w:r>
    </w:p>
  </w:endnote>
  <w:endnote w:type="continuationSeparator" w:id="0">
    <w:p w14:paraId="619630A5" w14:textId="77777777" w:rsidR="007838E8" w:rsidRDefault="007838E8" w:rsidP="00F111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658810"/>
      <w:docPartObj>
        <w:docPartGallery w:val="Page Numbers (Bottom of Page)"/>
        <w:docPartUnique/>
      </w:docPartObj>
    </w:sdtPr>
    <w:sdtEndPr>
      <w:rPr>
        <w:noProof/>
      </w:rPr>
    </w:sdtEndPr>
    <w:sdtContent>
      <w:p w14:paraId="69ABDAE0" w14:textId="77777777" w:rsidR="00F11112" w:rsidRDefault="00F11112">
        <w:pPr>
          <w:pStyle w:val="Footer"/>
          <w:jc w:val="right"/>
        </w:pPr>
        <w:r>
          <w:fldChar w:fldCharType="begin"/>
        </w:r>
        <w:r>
          <w:instrText xml:space="preserve"> PAGE   \* MERGEFORMAT </w:instrText>
        </w:r>
        <w:r>
          <w:fldChar w:fldCharType="separate"/>
        </w:r>
        <w:r w:rsidR="00696CE7">
          <w:rPr>
            <w:noProof/>
          </w:rPr>
          <w:t>1</w:t>
        </w:r>
        <w:r>
          <w:rPr>
            <w:noProof/>
          </w:rPr>
          <w:fldChar w:fldCharType="end"/>
        </w:r>
      </w:p>
    </w:sdtContent>
  </w:sdt>
  <w:p w14:paraId="00F8BF3C" w14:textId="77777777" w:rsidR="00F11112" w:rsidRDefault="00F111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EC2CBF" w14:textId="77777777" w:rsidR="007838E8" w:rsidRDefault="007838E8" w:rsidP="00F11112">
      <w:pPr>
        <w:spacing w:after="0" w:line="240" w:lineRule="auto"/>
      </w:pPr>
      <w:r>
        <w:separator/>
      </w:r>
    </w:p>
  </w:footnote>
  <w:footnote w:type="continuationSeparator" w:id="0">
    <w:p w14:paraId="59A23CC2" w14:textId="77777777" w:rsidR="007838E8" w:rsidRDefault="007838E8" w:rsidP="00F111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23C8C"/>
    <w:multiLevelType w:val="multilevel"/>
    <w:tmpl w:val="00CE4B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265ED5"/>
    <w:multiLevelType w:val="multilevel"/>
    <w:tmpl w:val="97B20F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DF04A0"/>
    <w:multiLevelType w:val="multilevel"/>
    <w:tmpl w:val="544AFB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60A2B06"/>
    <w:multiLevelType w:val="multilevel"/>
    <w:tmpl w:val="6ADAB8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20A0623"/>
    <w:multiLevelType w:val="multilevel"/>
    <w:tmpl w:val="1C00723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900249C"/>
    <w:multiLevelType w:val="multilevel"/>
    <w:tmpl w:val="3DB6E5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B1F055E"/>
    <w:multiLevelType w:val="multilevel"/>
    <w:tmpl w:val="4BC4EF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BE31B95"/>
    <w:multiLevelType w:val="multilevel"/>
    <w:tmpl w:val="982420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25791784">
    <w:abstractNumId w:val="4"/>
  </w:num>
  <w:num w:numId="2" w16cid:durableId="554854459">
    <w:abstractNumId w:val="2"/>
  </w:num>
  <w:num w:numId="3" w16cid:durableId="2050907730">
    <w:abstractNumId w:val="3"/>
  </w:num>
  <w:num w:numId="4" w16cid:durableId="1084179296">
    <w:abstractNumId w:val="1"/>
  </w:num>
  <w:num w:numId="5" w16cid:durableId="988097525">
    <w:abstractNumId w:val="6"/>
  </w:num>
  <w:num w:numId="6" w16cid:durableId="2004384340">
    <w:abstractNumId w:val="7"/>
  </w:num>
  <w:num w:numId="7" w16cid:durableId="157381161">
    <w:abstractNumId w:val="0"/>
  </w:num>
  <w:num w:numId="8" w16cid:durableId="47730978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2132"/>
    <w:rsid w:val="000349DF"/>
    <w:rsid w:val="0004580C"/>
    <w:rsid w:val="00052126"/>
    <w:rsid w:val="0007041A"/>
    <w:rsid w:val="00075F9B"/>
    <w:rsid w:val="000820F3"/>
    <w:rsid w:val="00085C76"/>
    <w:rsid w:val="00093248"/>
    <w:rsid w:val="000B23A4"/>
    <w:rsid w:val="000B69E7"/>
    <w:rsid w:val="000D296C"/>
    <w:rsid w:val="000E2A3E"/>
    <w:rsid w:val="000F20F1"/>
    <w:rsid w:val="001006D5"/>
    <w:rsid w:val="00107461"/>
    <w:rsid w:val="00107EF2"/>
    <w:rsid w:val="001100AB"/>
    <w:rsid w:val="00115CD0"/>
    <w:rsid w:val="001218CC"/>
    <w:rsid w:val="00124E79"/>
    <w:rsid w:val="00131284"/>
    <w:rsid w:val="00136DF3"/>
    <w:rsid w:val="001505EF"/>
    <w:rsid w:val="0015265D"/>
    <w:rsid w:val="00156F92"/>
    <w:rsid w:val="001634E3"/>
    <w:rsid w:val="001635B9"/>
    <w:rsid w:val="00175697"/>
    <w:rsid w:val="0019142D"/>
    <w:rsid w:val="00195C9C"/>
    <w:rsid w:val="001B0EC3"/>
    <w:rsid w:val="001B1B90"/>
    <w:rsid w:val="001C2C2B"/>
    <w:rsid w:val="001C4204"/>
    <w:rsid w:val="001E4F2E"/>
    <w:rsid w:val="00207E39"/>
    <w:rsid w:val="00217050"/>
    <w:rsid w:val="00222DC6"/>
    <w:rsid w:val="00233476"/>
    <w:rsid w:val="002368F9"/>
    <w:rsid w:val="00243EE9"/>
    <w:rsid w:val="00250AA4"/>
    <w:rsid w:val="0027070F"/>
    <w:rsid w:val="0027102D"/>
    <w:rsid w:val="002900B4"/>
    <w:rsid w:val="00294CF2"/>
    <w:rsid w:val="002B66E5"/>
    <w:rsid w:val="002B7BDA"/>
    <w:rsid w:val="002B7D08"/>
    <w:rsid w:val="002C357F"/>
    <w:rsid w:val="002D437B"/>
    <w:rsid w:val="002E66D4"/>
    <w:rsid w:val="002E7245"/>
    <w:rsid w:val="003106D4"/>
    <w:rsid w:val="00320936"/>
    <w:rsid w:val="0033716C"/>
    <w:rsid w:val="003626F0"/>
    <w:rsid w:val="0039019A"/>
    <w:rsid w:val="003A7A99"/>
    <w:rsid w:val="003B097C"/>
    <w:rsid w:val="003C17AE"/>
    <w:rsid w:val="003D1B70"/>
    <w:rsid w:val="003D1F67"/>
    <w:rsid w:val="00406517"/>
    <w:rsid w:val="00415CD5"/>
    <w:rsid w:val="00420E4B"/>
    <w:rsid w:val="004253DE"/>
    <w:rsid w:val="004332A4"/>
    <w:rsid w:val="00446064"/>
    <w:rsid w:val="00472D55"/>
    <w:rsid w:val="00476638"/>
    <w:rsid w:val="00492D81"/>
    <w:rsid w:val="004953A9"/>
    <w:rsid w:val="00496D92"/>
    <w:rsid w:val="004A0986"/>
    <w:rsid w:val="004A42C9"/>
    <w:rsid w:val="004A6BA6"/>
    <w:rsid w:val="004B6A71"/>
    <w:rsid w:val="004C187B"/>
    <w:rsid w:val="004C27B8"/>
    <w:rsid w:val="004C31B8"/>
    <w:rsid w:val="004D137F"/>
    <w:rsid w:val="004D3060"/>
    <w:rsid w:val="004D729D"/>
    <w:rsid w:val="004D78E0"/>
    <w:rsid w:val="004E68B4"/>
    <w:rsid w:val="004F51E6"/>
    <w:rsid w:val="005049C3"/>
    <w:rsid w:val="00505056"/>
    <w:rsid w:val="005052EF"/>
    <w:rsid w:val="00505672"/>
    <w:rsid w:val="00526AA8"/>
    <w:rsid w:val="005275E5"/>
    <w:rsid w:val="00532DF9"/>
    <w:rsid w:val="00535694"/>
    <w:rsid w:val="00542013"/>
    <w:rsid w:val="0055012F"/>
    <w:rsid w:val="005719EE"/>
    <w:rsid w:val="00582525"/>
    <w:rsid w:val="005A281F"/>
    <w:rsid w:val="005A44EA"/>
    <w:rsid w:val="005B3B01"/>
    <w:rsid w:val="005B6D92"/>
    <w:rsid w:val="005C11BB"/>
    <w:rsid w:val="005C4206"/>
    <w:rsid w:val="005C4BBE"/>
    <w:rsid w:val="005D0963"/>
    <w:rsid w:val="005D16C4"/>
    <w:rsid w:val="005E1CF5"/>
    <w:rsid w:val="0060089C"/>
    <w:rsid w:val="00612EB8"/>
    <w:rsid w:val="00613F6F"/>
    <w:rsid w:val="00625172"/>
    <w:rsid w:val="00625AC9"/>
    <w:rsid w:val="0063265D"/>
    <w:rsid w:val="00640680"/>
    <w:rsid w:val="00640764"/>
    <w:rsid w:val="00640EEB"/>
    <w:rsid w:val="00642582"/>
    <w:rsid w:val="006435F3"/>
    <w:rsid w:val="006437B3"/>
    <w:rsid w:val="00650255"/>
    <w:rsid w:val="0065129D"/>
    <w:rsid w:val="00657EAF"/>
    <w:rsid w:val="006636D5"/>
    <w:rsid w:val="00663A33"/>
    <w:rsid w:val="00673A98"/>
    <w:rsid w:val="0068224F"/>
    <w:rsid w:val="00695C04"/>
    <w:rsid w:val="00696CE7"/>
    <w:rsid w:val="006A068B"/>
    <w:rsid w:val="006A1BEE"/>
    <w:rsid w:val="006A3FCC"/>
    <w:rsid w:val="006C0AEE"/>
    <w:rsid w:val="006C2D80"/>
    <w:rsid w:val="006C67F8"/>
    <w:rsid w:val="006D6498"/>
    <w:rsid w:val="006E0094"/>
    <w:rsid w:val="006F4DEA"/>
    <w:rsid w:val="007117A7"/>
    <w:rsid w:val="00721BF2"/>
    <w:rsid w:val="007232BA"/>
    <w:rsid w:val="00724BDA"/>
    <w:rsid w:val="007327A3"/>
    <w:rsid w:val="00734985"/>
    <w:rsid w:val="0073626B"/>
    <w:rsid w:val="00740916"/>
    <w:rsid w:val="0074290D"/>
    <w:rsid w:val="007460C4"/>
    <w:rsid w:val="00764694"/>
    <w:rsid w:val="007676A6"/>
    <w:rsid w:val="007719F9"/>
    <w:rsid w:val="007838E8"/>
    <w:rsid w:val="00790861"/>
    <w:rsid w:val="007962A2"/>
    <w:rsid w:val="007A2DAD"/>
    <w:rsid w:val="007A31F6"/>
    <w:rsid w:val="007D2E8A"/>
    <w:rsid w:val="007D549F"/>
    <w:rsid w:val="007E3752"/>
    <w:rsid w:val="007F1590"/>
    <w:rsid w:val="00805BB6"/>
    <w:rsid w:val="0082088A"/>
    <w:rsid w:val="008225B2"/>
    <w:rsid w:val="00825583"/>
    <w:rsid w:val="00850815"/>
    <w:rsid w:val="008563AA"/>
    <w:rsid w:val="00877081"/>
    <w:rsid w:val="008808A7"/>
    <w:rsid w:val="008A1524"/>
    <w:rsid w:val="008A694C"/>
    <w:rsid w:val="008B2521"/>
    <w:rsid w:val="008B4438"/>
    <w:rsid w:val="008C279C"/>
    <w:rsid w:val="008C70FC"/>
    <w:rsid w:val="008C71FD"/>
    <w:rsid w:val="008D4720"/>
    <w:rsid w:val="00903F3C"/>
    <w:rsid w:val="00913310"/>
    <w:rsid w:val="00914F70"/>
    <w:rsid w:val="009150E3"/>
    <w:rsid w:val="00920185"/>
    <w:rsid w:val="00924D84"/>
    <w:rsid w:val="00954113"/>
    <w:rsid w:val="00956631"/>
    <w:rsid w:val="00961A70"/>
    <w:rsid w:val="00973CB7"/>
    <w:rsid w:val="00983874"/>
    <w:rsid w:val="009852D9"/>
    <w:rsid w:val="0098717C"/>
    <w:rsid w:val="009A0F05"/>
    <w:rsid w:val="009A422E"/>
    <w:rsid w:val="009A619D"/>
    <w:rsid w:val="009A62A8"/>
    <w:rsid w:val="009D4C91"/>
    <w:rsid w:val="009D4D49"/>
    <w:rsid w:val="009D756D"/>
    <w:rsid w:val="009E78BD"/>
    <w:rsid w:val="009F0E33"/>
    <w:rsid w:val="00A01990"/>
    <w:rsid w:val="00A1122D"/>
    <w:rsid w:val="00A17A5E"/>
    <w:rsid w:val="00A30913"/>
    <w:rsid w:val="00A3238E"/>
    <w:rsid w:val="00A36D37"/>
    <w:rsid w:val="00A853CE"/>
    <w:rsid w:val="00A930F6"/>
    <w:rsid w:val="00A9697B"/>
    <w:rsid w:val="00AB3C7E"/>
    <w:rsid w:val="00AB605D"/>
    <w:rsid w:val="00AB6D7E"/>
    <w:rsid w:val="00AC0918"/>
    <w:rsid w:val="00AC2132"/>
    <w:rsid w:val="00AE01F4"/>
    <w:rsid w:val="00AE5A5D"/>
    <w:rsid w:val="00AE5E10"/>
    <w:rsid w:val="00B0442D"/>
    <w:rsid w:val="00B15B71"/>
    <w:rsid w:val="00B272C7"/>
    <w:rsid w:val="00B305EB"/>
    <w:rsid w:val="00B312BF"/>
    <w:rsid w:val="00B3443A"/>
    <w:rsid w:val="00B34E80"/>
    <w:rsid w:val="00B37532"/>
    <w:rsid w:val="00B60332"/>
    <w:rsid w:val="00B61950"/>
    <w:rsid w:val="00B76252"/>
    <w:rsid w:val="00B77933"/>
    <w:rsid w:val="00B85D15"/>
    <w:rsid w:val="00B92AFA"/>
    <w:rsid w:val="00BA5F87"/>
    <w:rsid w:val="00BB1852"/>
    <w:rsid w:val="00BB32A0"/>
    <w:rsid w:val="00BB5B3F"/>
    <w:rsid w:val="00BC0524"/>
    <w:rsid w:val="00BC06F1"/>
    <w:rsid w:val="00BC1ADE"/>
    <w:rsid w:val="00BF280C"/>
    <w:rsid w:val="00C061FA"/>
    <w:rsid w:val="00C14D2E"/>
    <w:rsid w:val="00C2200B"/>
    <w:rsid w:val="00C24C2F"/>
    <w:rsid w:val="00C30810"/>
    <w:rsid w:val="00C32088"/>
    <w:rsid w:val="00C55202"/>
    <w:rsid w:val="00C5738E"/>
    <w:rsid w:val="00C65E53"/>
    <w:rsid w:val="00C7058D"/>
    <w:rsid w:val="00C718DE"/>
    <w:rsid w:val="00C86C59"/>
    <w:rsid w:val="00C9520B"/>
    <w:rsid w:val="00C9585E"/>
    <w:rsid w:val="00CD1E2A"/>
    <w:rsid w:val="00CD3E69"/>
    <w:rsid w:val="00CE50EF"/>
    <w:rsid w:val="00CF4132"/>
    <w:rsid w:val="00CF4F2A"/>
    <w:rsid w:val="00CF658F"/>
    <w:rsid w:val="00D26710"/>
    <w:rsid w:val="00D30D2F"/>
    <w:rsid w:val="00D509F1"/>
    <w:rsid w:val="00D53D5B"/>
    <w:rsid w:val="00D55C4A"/>
    <w:rsid w:val="00D62326"/>
    <w:rsid w:val="00D65C84"/>
    <w:rsid w:val="00D66BF6"/>
    <w:rsid w:val="00D670E0"/>
    <w:rsid w:val="00D704BC"/>
    <w:rsid w:val="00D746B8"/>
    <w:rsid w:val="00D93CC1"/>
    <w:rsid w:val="00DA2B07"/>
    <w:rsid w:val="00DA2EE7"/>
    <w:rsid w:val="00DC1062"/>
    <w:rsid w:val="00DC4789"/>
    <w:rsid w:val="00DC5AAE"/>
    <w:rsid w:val="00DD7AFE"/>
    <w:rsid w:val="00DE374C"/>
    <w:rsid w:val="00DF48DB"/>
    <w:rsid w:val="00DF4C5A"/>
    <w:rsid w:val="00DF7767"/>
    <w:rsid w:val="00E11247"/>
    <w:rsid w:val="00E136BB"/>
    <w:rsid w:val="00E1390D"/>
    <w:rsid w:val="00E3610C"/>
    <w:rsid w:val="00E4002F"/>
    <w:rsid w:val="00E52D51"/>
    <w:rsid w:val="00E620A7"/>
    <w:rsid w:val="00E6596B"/>
    <w:rsid w:val="00E65BA3"/>
    <w:rsid w:val="00E65C1D"/>
    <w:rsid w:val="00E67188"/>
    <w:rsid w:val="00E8517E"/>
    <w:rsid w:val="00E85734"/>
    <w:rsid w:val="00E978EC"/>
    <w:rsid w:val="00EA4299"/>
    <w:rsid w:val="00EA6227"/>
    <w:rsid w:val="00EC612A"/>
    <w:rsid w:val="00EE1172"/>
    <w:rsid w:val="00F00346"/>
    <w:rsid w:val="00F07E0F"/>
    <w:rsid w:val="00F11112"/>
    <w:rsid w:val="00F1596E"/>
    <w:rsid w:val="00F21B45"/>
    <w:rsid w:val="00F378D1"/>
    <w:rsid w:val="00F443CA"/>
    <w:rsid w:val="00F4771B"/>
    <w:rsid w:val="00F502F7"/>
    <w:rsid w:val="00F56ED1"/>
    <w:rsid w:val="00F608FA"/>
    <w:rsid w:val="00F61BAE"/>
    <w:rsid w:val="00F6573E"/>
    <w:rsid w:val="00F77969"/>
    <w:rsid w:val="00F808EE"/>
    <w:rsid w:val="00F80D67"/>
    <w:rsid w:val="00F90960"/>
    <w:rsid w:val="00F96C20"/>
    <w:rsid w:val="00FA22C8"/>
    <w:rsid w:val="00FA4180"/>
    <w:rsid w:val="00FB2425"/>
    <w:rsid w:val="00FB312A"/>
    <w:rsid w:val="00FB664A"/>
    <w:rsid w:val="00FD16A6"/>
    <w:rsid w:val="00FD22A1"/>
    <w:rsid w:val="00FD4AC1"/>
    <w:rsid w:val="00FE7A75"/>
    <w:rsid w:val="00FF436B"/>
    <w:rsid w:val="00FF60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E38757"/>
  <w15:chartTrackingRefBased/>
  <w15:docId w15:val="{8537BAE8-AA20-42C0-A231-D8379B53E5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0D2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AC2132"/>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AC2132"/>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2132"/>
    <w:rPr>
      <w:rFonts w:ascii="Times New Roman" w:eastAsiaTheme="majorEastAsia" w:hAnsi="Times New Roman" w:cstheme="majorBidi"/>
      <w:b/>
      <w:color w:val="2F5496" w:themeColor="accent1" w:themeShade="BF"/>
      <w:sz w:val="32"/>
      <w:szCs w:val="32"/>
      <w:lang w:val="en-GB"/>
    </w:rPr>
  </w:style>
  <w:style w:type="character" w:customStyle="1" w:styleId="Heading2Char">
    <w:name w:val="Heading 2 Char"/>
    <w:basedOn w:val="DefaultParagraphFont"/>
    <w:link w:val="Heading2"/>
    <w:uiPriority w:val="9"/>
    <w:semiHidden/>
    <w:rsid w:val="00AC2132"/>
    <w:rPr>
      <w:rFonts w:ascii="Times New Roman" w:eastAsiaTheme="majorEastAsia" w:hAnsi="Times New Roman" w:cstheme="majorBidi"/>
      <w:b/>
      <w:color w:val="2F5496" w:themeColor="accent1" w:themeShade="BF"/>
      <w:sz w:val="28"/>
      <w:szCs w:val="26"/>
      <w:lang w:val="en-GB"/>
    </w:rPr>
  </w:style>
  <w:style w:type="paragraph" w:styleId="NormalWeb">
    <w:name w:val="Normal (Web)"/>
    <w:basedOn w:val="Normal"/>
    <w:uiPriority w:val="99"/>
    <w:semiHidden/>
    <w:unhideWhenUsed/>
    <w:rsid w:val="00A930F6"/>
    <w:pPr>
      <w:spacing w:before="100" w:beforeAutospacing="1" w:after="100" w:afterAutospacing="1" w:line="240" w:lineRule="auto"/>
      <w:jc w:val="left"/>
    </w:pPr>
    <w:rPr>
      <w:rFonts w:eastAsia="Times New Roman" w:cs="Times New Roman"/>
      <w:szCs w:val="24"/>
      <w:lang w:eastAsia="en-GB"/>
    </w:rPr>
  </w:style>
  <w:style w:type="character" w:styleId="Strong">
    <w:name w:val="Strong"/>
    <w:basedOn w:val="DefaultParagraphFont"/>
    <w:uiPriority w:val="22"/>
    <w:qFormat/>
    <w:rsid w:val="00A930F6"/>
    <w:rPr>
      <w:b/>
      <w:bCs/>
    </w:rPr>
  </w:style>
  <w:style w:type="paragraph" w:styleId="ListParagraph">
    <w:name w:val="List Paragraph"/>
    <w:basedOn w:val="Normal"/>
    <w:uiPriority w:val="34"/>
    <w:qFormat/>
    <w:rsid w:val="00B305EB"/>
    <w:pPr>
      <w:ind w:left="720"/>
      <w:contextualSpacing/>
    </w:pPr>
  </w:style>
  <w:style w:type="paragraph" w:styleId="Header">
    <w:name w:val="header"/>
    <w:basedOn w:val="Normal"/>
    <w:link w:val="HeaderChar"/>
    <w:uiPriority w:val="99"/>
    <w:unhideWhenUsed/>
    <w:rsid w:val="00F11112"/>
    <w:pPr>
      <w:tabs>
        <w:tab w:val="center" w:pos="4680"/>
        <w:tab w:val="right" w:pos="9360"/>
      </w:tabs>
      <w:spacing w:after="0" w:line="240" w:lineRule="auto"/>
    </w:pPr>
  </w:style>
  <w:style w:type="character" w:customStyle="1" w:styleId="HeaderChar">
    <w:name w:val="Header Char"/>
    <w:basedOn w:val="DefaultParagraphFont"/>
    <w:link w:val="Header"/>
    <w:uiPriority w:val="99"/>
    <w:rsid w:val="00F11112"/>
    <w:rPr>
      <w:rFonts w:ascii="Times New Roman" w:hAnsi="Times New Roman"/>
      <w:sz w:val="24"/>
      <w:lang w:val="en-GB"/>
    </w:rPr>
  </w:style>
  <w:style w:type="paragraph" w:styleId="Footer">
    <w:name w:val="footer"/>
    <w:basedOn w:val="Normal"/>
    <w:link w:val="FooterChar"/>
    <w:uiPriority w:val="99"/>
    <w:unhideWhenUsed/>
    <w:rsid w:val="00F11112"/>
    <w:pPr>
      <w:tabs>
        <w:tab w:val="center" w:pos="4680"/>
        <w:tab w:val="right" w:pos="9360"/>
      </w:tabs>
      <w:spacing w:after="0" w:line="240" w:lineRule="auto"/>
    </w:pPr>
  </w:style>
  <w:style w:type="character" w:customStyle="1" w:styleId="FooterChar">
    <w:name w:val="Footer Char"/>
    <w:basedOn w:val="DefaultParagraphFont"/>
    <w:link w:val="Footer"/>
    <w:uiPriority w:val="99"/>
    <w:rsid w:val="00F11112"/>
    <w:rPr>
      <w:rFonts w:ascii="Times New Roman" w:hAnsi="Times New Roman"/>
      <w:sz w:val="24"/>
      <w:lang w:val="en-GB"/>
    </w:rPr>
  </w:style>
  <w:style w:type="paragraph" w:styleId="TOCHeading">
    <w:name w:val="TOC Heading"/>
    <w:basedOn w:val="Heading1"/>
    <w:next w:val="Normal"/>
    <w:uiPriority w:val="39"/>
    <w:unhideWhenUsed/>
    <w:qFormat/>
    <w:rsid w:val="006A068B"/>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6A068B"/>
    <w:pPr>
      <w:spacing w:after="100"/>
    </w:pPr>
  </w:style>
  <w:style w:type="character" w:styleId="Hyperlink">
    <w:name w:val="Hyperlink"/>
    <w:basedOn w:val="DefaultParagraphFont"/>
    <w:uiPriority w:val="99"/>
    <w:unhideWhenUsed/>
    <w:rsid w:val="006A068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48667">
      <w:bodyDiv w:val="1"/>
      <w:marLeft w:val="0"/>
      <w:marRight w:val="0"/>
      <w:marTop w:val="0"/>
      <w:marBottom w:val="0"/>
      <w:divBdr>
        <w:top w:val="none" w:sz="0" w:space="0" w:color="auto"/>
        <w:left w:val="none" w:sz="0" w:space="0" w:color="auto"/>
        <w:bottom w:val="none" w:sz="0" w:space="0" w:color="auto"/>
        <w:right w:val="none" w:sz="0" w:space="0" w:color="auto"/>
      </w:divBdr>
      <w:divsChild>
        <w:div w:id="2117209923">
          <w:marLeft w:val="0"/>
          <w:marRight w:val="0"/>
          <w:marTop w:val="0"/>
          <w:marBottom w:val="0"/>
          <w:divBdr>
            <w:top w:val="none" w:sz="0" w:space="0" w:color="auto"/>
            <w:left w:val="none" w:sz="0" w:space="0" w:color="auto"/>
            <w:bottom w:val="none" w:sz="0" w:space="0" w:color="auto"/>
            <w:right w:val="none" w:sz="0" w:space="0" w:color="auto"/>
          </w:divBdr>
        </w:div>
      </w:divsChild>
    </w:div>
    <w:div w:id="54738282">
      <w:bodyDiv w:val="1"/>
      <w:marLeft w:val="0"/>
      <w:marRight w:val="0"/>
      <w:marTop w:val="0"/>
      <w:marBottom w:val="0"/>
      <w:divBdr>
        <w:top w:val="none" w:sz="0" w:space="0" w:color="auto"/>
        <w:left w:val="none" w:sz="0" w:space="0" w:color="auto"/>
        <w:bottom w:val="none" w:sz="0" w:space="0" w:color="auto"/>
        <w:right w:val="none" w:sz="0" w:space="0" w:color="auto"/>
      </w:divBdr>
      <w:divsChild>
        <w:div w:id="1158230380">
          <w:marLeft w:val="0"/>
          <w:marRight w:val="0"/>
          <w:marTop w:val="0"/>
          <w:marBottom w:val="0"/>
          <w:divBdr>
            <w:top w:val="none" w:sz="0" w:space="0" w:color="auto"/>
            <w:left w:val="none" w:sz="0" w:space="0" w:color="auto"/>
            <w:bottom w:val="none" w:sz="0" w:space="0" w:color="auto"/>
            <w:right w:val="none" w:sz="0" w:space="0" w:color="auto"/>
          </w:divBdr>
        </w:div>
      </w:divsChild>
    </w:div>
    <w:div w:id="270207649">
      <w:bodyDiv w:val="1"/>
      <w:marLeft w:val="0"/>
      <w:marRight w:val="0"/>
      <w:marTop w:val="0"/>
      <w:marBottom w:val="0"/>
      <w:divBdr>
        <w:top w:val="none" w:sz="0" w:space="0" w:color="auto"/>
        <w:left w:val="none" w:sz="0" w:space="0" w:color="auto"/>
        <w:bottom w:val="none" w:sz="0" w:space="0" w:color="auto"/>
        <w:right w:val="none" w:sz="0" w:space="0" w:color="auto"/>
      </w:divBdr>
      <w:divsChild>
        <w:div w:id="1603417646">
          <w:marLeft w:val="0"/>
          <w:marRight w:val="0"/>
          <w:marTop w:val="0"/>
          <w:marBottom w:val="0"/>
          <w:divBdr>
            <w:top w:val="none" w:sz="0" w:space="0" w:color="auto"/>
            <w:left w:val="none" w:sz="0" w:space="0" w:color="auto"/>
            <w:bottom w:val="none" w:sz="0" w:space="0" w:color="auto"/>
            <w:right w:val="none" w:sz="0" w:space="0" w:color="auto"/>
          </w:divBdr>
        </w:div>
      </w:divsChild>
    </w:div>
    <w:div w:id="393429227">
      <w:bodyDiv w:val="1"/>
      <w:marLeft w:val="0"/>
      <w:marRight w:val="0"/>
      <w:marTop w:val="0"/>
      <w:marBottom w:val="0"/>
      <w:divBdr>
        <w:top w:val="none" w:sz="0" w:space="0" w:color="auto"/>
        <w:left w:val="none" w:sz="0" w:space="0" w:color="auto"/>
        <w:bottom w:val="none" w:sz="0" w:space="0" w:color="auto"/>
        <w:right w:val="none" w:sz="0" w:space="0" w:color="auto"/>
      </w:divBdr>
      <w:divsChild>
        <w:div w:id="1408067211">
          <w:marLeft w:val="0"/>
          <w:marRight w:val="0"/>
          <w:marTop w:val="0"/>
          <w:marBottom w:val="0"/>
          <w:divBdr>
            <w:top w:val="none" w:sz="0" w:space="0" w:color="auto"/>
            <w:left w:val="none" w:sz="0" w:space="0" w:color="auto"/>
            <w:bottom w:val="none" w:sz="0" w:space="0" w:color="auto"/>
            <w:right w:val="none" w:sz="0" w:space="0" w:color="auto"/>
          </w:divBdr>
        </w:div>
      </w:divsChild>
    </w:div>
    <w:div w:id="444540441">
      <w:bodyDiv w:val="1"/>
      <w:marLeft w:val="0"/>
      <w:marRight w:val="0"/>
      <w:marTop w:val="0"/>
      <w:marBottom w:val="0"/>
      <w:divBdr>
        <w:top w:val="none" w:sz="0" w:space="0" w:color="auto"/>
        <w:left w:val="none" w:sz="0" w:space="0" w:color="auto"/>
        <w:bottom w:val="none" w:sz="0" w:space="0" w:color="auto"/>
        <w:right w:val="none" w:sz="0" w:space="0" w:color="auto"/>
      </w:divBdr>
    </w:div>
    <w:div w:id="457726954">
      <w:bodyDiv w:val="1"/>
      <w:marLeft w:val="0"/>
      <w:marRight w:val="0"/>
      <w:marTop w:val="0"/>
      <w:marBottom w:val="0"/>
      <w:divBdr>
        <w:top w:val="none" w:sz="0" w:space="0" w:color="auto"/>
        <w:left w:val="none" w:sz="0" w:space="0" w:color="auto"/>
        <w:bottom w:val="none" w:sz="0" w:space="0" w:color="auto"/>
        <w:right w:val="none" w:sz="0" w:space="0" w:color="auto"/>
      </w:divBdr>
      <w:divsChild>
        <w:div w:id="1565985336">
          <w:marLeft w:val="0"/>
          <w:marRight w:val="0"/>
          <w:marTop w:val="0"/>
          <w:marBottom w:val="0"/>
          <w:divBdr>
            <w:top w:val="none" w:sz="0" w:space="0" w:color="auto"/>
            <w:left w:val="none" w:sz="0" w:space="0" w:color="auto"/>
            <w:bottom w:val="none" w:sz="0" w:space="0" w:color="auto"/>
            <w:right w:val="none" w:sz="0" w:space="0" w:color="auto"/>
          </w:divBdr>
        </w:div>
      </w:divsChild>
    </w:div>
    <w:div w:id="467360755">
      <w:bodyDiv w:val="1"/>
      <w:marLeft w:val="0"/>
      <w:marRight w:val="0"/>
      <w:marTop w:val="0"/>
      <w:marBottom w:val="0"/>
      <w:divBdr>
        <w:top w:val="none" w:sz="0" w:space="0" w:color="auto"/>
        <w:left w:val="none" w:sz="0" w:space="0" w:color="auto"/>
        <w:bottom w:val="none" w:sz="0" w:space="0" w:color="auto"/>
        <w:right w:val="none" w:sz="0" w:space="0" w:color="auto"/>
      </w:divBdr>
      <w:divsChild>
        <w:div w:id="2064476672">
          <w:marLeft w:val="0"/>
          <w:marRight w:val="0"/>
          <w:marTop w:val="0"/>
          <w:marBottom w:val="0"/>
          <w:divBdr>
            <w:top w:val="none" w:sz="0" w:space="0" w:color="auto"/>
            <w:left w:val="none" w:sz="0" w:space="0" w:color="auto"/>
            <w:bottom w:val="none" w:sz="0" w:space="0" w:color="auto"/>
            <w:right w:val="none" w:sz="0" w:space="0" w:color="auto"/>
          </w:divBdr>
        </w:div>
      </w:divsChild>
    </w:div>
    <w:div w:id="522286906">
      <w:bodyDiv w:val="1"/>
      <w:marLeft w:val="0"/>
      <w:marRight w:val="0"/>
      <w:marTop w:val="0"/>
      <w:marBottom w:val="0"/>
      <w:divBdr>
        <w:top w:val="none" w:sz="0" w:space="0" w:color="auto"/>
        <w:left w:val="none" w:sz="0" w:space="0" w:color="auto"/>
        <w:bottom w:val="none" w:sz="0" w:space="0" w:color="auto"/>
        <w:right w:val="none" w:sz="0" w:space="0" w:color="auto"/>
      </w:divBdr>
      <w:divsChild>
        <w:div w:id="301430299">
          <w:marLeft w:val="0"/>
          <w:marRight w:val="0"/>
          <w:marTop w:val="0"/>
          <w:marBottom w:val="0"/>
          <w:divBdr>
            <w:top w:val="none" w:sz="0" w:space="0" w:color="auto"/>
            <w:left w:val="none" w:sz="0" w:space="0" w:color="auto"/>
            <w:bottom w:val="none" w:sz="0" w:space="0" w:color="auto"/>
            <w:right w:val="none" w:sz="0" w:space="0" w:color="auto"/>
          </w:divBdr>
        </w:div>
      </w:divsChild>
    </w:div>
    <w:div w:id="523783285">
      <w:bodyDiv w:val="1"/>
      <w:marLeft w:val="0"/>
      <w:marRight w:val="0"/>
      <w:marTop w:val="0"/>
      <w:marBottom w:val="0"/>
      <w:divBdr>
        <w:top w:val="none" w:sz="0" w:space="0" w:color="auto"/>
        <w:left w:val="none" w:sz="0" w:space="0" w:color="auto"/>
        <w:bottom w:val="none" w:sz="0" w:space="0" w:color="auto"/>
        <w:right w:val="none" w:sz="0" w:space="0" w:color="auto"/>
      </w:divBdr>
      <w:divsChild>
        <w:div w:id="1490829748">
          <w:marLeft w:val="0"/>
          <w:marRight w:val="0"/>
          <w:marTop w:val="0"/>
          <w:marBottom w:val="0"/>
          <w:divBdr>
            <w:top w:val="none" w:sz="0" w:space="0" w:color="auto"/>
            <w:left w:val="none" w:sz="0" w:space="0" w:color="auto"/>
            <w:bottom w:val="none" w:sz="0" w:space="0" w:color="auto"/>
            <w:right w:val="none" w:sz="0" w:space="0" w:color="auto"/>
          </w:divBdr>
        </w:div>
      </w:divsChild>
    </w:div>
    <w:div w:id="610750295">
      <w:bodyDiv w:val="1"/>
      <w:marLeft w:val="0"/>
      <w:marRight w:val="0"/>
      <w:marTop w:val="0"/>
      <w:marBottom w:val="0"/>
      <w:divBdr>
        <w:top w:val="none" w:sz="0" w:space="0" w:color="auto"/>
        <w:left w:val="none" w:sz="0" w:space="0" w:color="auto"/>
        <w:bottom w:val="none" w:sz="0" w:space="0" w:color="auto"/>
        <w:right w:val="none" w:sz="0" w:space="0" w:color="auto"/>
      </w:divBdr>
      <w:divsChild>
        <w:div w:id="1200973532">
          <w:marLeft w:val="0"/>
          <w:marRight w:val="0"/>
          <w:marTop w:val="0"/>
          <w:marBottom w:val="0"/>
          <w:divBdr>
            <w:top w:val="none" w:sz="0" w:space="0" w:color="auto"/>
            <w:left w:val="none" w:sz="0" w:space="0" w:color="auto"/>
            <w:bottom w:val="none" w:sz="0" w:space="0" w:color="auto"/>
            <w:right w:val="none" w:sz="0" w:space="0" w:color="auto"/>
          </w:divBdr>
        </w:div>
      </w:divsChild>
    </w:div>
    <w:div w:id="741483932">
      <w:bodyDiv w:val="1"/>
      <w:marLeft w:val="0"/>
      <w:marRight w:val="0"/>
      <w:marTop w:val="0"/>
      <w:marBottom w:val="0"/>
      <w:divBdr>
        <w:top w:val="none" w:sz="0" w:space="0" w:color="auto"/>
        <w:left w:val="none" w:sz="0" w:space="0" w:color="auto"/>
        <w:bottom w:val="none" w:sz="0" w:space="0" w:color="auto"/>
        <w:right w:val="none" w:sz="0" w:space="0" w:color="auto"/>
      </w:divBdr>
      <w:divsChild>
        <w:div w:id="658387819">
          <w:marLeft w:val="0"/>
          <w:marRight w:val="0"/>
          <w:marTop w:val="0"/>
          <w:marBottom w:val="0"/>
          <w:divBdr>
            <w:top w:val="none" w:sz="0" w:space="0" w:color="auto"/>
            <w:left w:val="none" w:sz="0" w:space="0" w:color="auto"/>
            <w:bottom w:val="none" w:sz="0" w:space="0" w:color="auto"/>
            <w:right w:val="none" w:sz="0" w:space="0" w:color="auto"/>
          </w:divBdr>
        </w:div>
      </w:divsChild>
    </w:div>
    <w:div w:id="809982089">
      <w:bodyDiv w:val="1"/>
      <w:marLeft w:val="0"/>
      <w:marRight w:val="0"/>
      <w:marTop w:val="0"/>
      <w:marBottom w:val="0"/>
      <w:divBdr>
        <w:top w:val="none" w:sz="0" w:space="0" w:color="auto"/>
        <w:left w:val="none" w:sz="0" w:space="0" w:color="auto"/>
        <w:bottom w:val="none" w:sz="0" w:space="0" w:color="auto"/>
        <w:right w:val="none" w:sz="0" w:space="0" w:color="auto"/>
      </w:divBdr>
      <w:divsChild>
        <w:div w:id="298269341">
          <w:marLeft w:val="0"/>
          <w:marRight w:val="0"/>
          <w:marTop w:val="0"/>
          <w:marBottom w:val="0"/>
          <w:divBdr>
            <w:top w:val="none" w:sz="0" w:space="0" w:color="auto"/>
            <w:left w:val="none" w:sz="0" w:space="0" w:color="auto"/>
            <w:bottom w:val="none" w:sz="0" w:space="0" w:color="auto"/>
            <w:right w:val="none" w:sz="0" w:space="0" w:color="auto"/>
          </w:divBdr>
        </w:div>
      </w:divsChild>
    </w:div>
    <w:div w:id="881870003">
      <w:bodyDiv w:val="1"/>
      <w:marLeft w:val="0"/>
      <w:marRight w:val="0"/>
      <w:marTop w:val="0"/>
      <w:marBottom w:val="0"/>
      <w:divBdr>
        <w:top w:val="none" w:sz="0" w:space="0" w:color="auto"/>
        <w:left w:val="none" w:sz="0" w:space="0" w:color="auto"/>
        <w:bottom w:val="none" w:sz="0" w:space="0" w:color="auto"/>
        <w:right w:val="none" w:sz="0" w:space="0" w:color="auto"/>
      </w:divBdr>
      <w:divsChild>
        <w:div w:id="1359576601">
          <w:marLeft w:val="0"/>
          <w:marRight w:val="0"/>
          <w:marTop w:val="0"/>
          <w:marBottom w:val="0"/>
          <w:divBdr>
            <w:top w:val="none" w:sz="0" w:space="0" w:color="auto"/>
            <w:left w:val="none" w:sz="0" w:space="0" w:color="auto"/>
            <w:bottom w:val="none" w:sz="0" w:space="0" w:color="auto"/>
            <w:right w:val="none" w:sz="0" w:space="0" w:color="auto"/>
          </w:divBdr>
        </w:div>
      </w:divsChild>
    </w:div>
    <w:div w:id="887642570">
      <w:bodyDiv w:val="1"/>
      <w:marLeft w:val="0"/>
      <w:marRight w:val="0"/>
      <w:marTop w:val="0"/>
      <w:marBottom w:val="0"/>
      <w:divBdr>
        <w:top w:val="none" w:sz="0" w:space="0" w:color="auto"/>
        <w:left w:val="none" w:sz="0" w:space="0" w:color="auto"/>
        <w:bottom w:val="none" w:sz="0" w:space="0" w:color="auto"/>
        <w:right w:val="none" w:sz="0" w:space="0" w:color="auto"/>
      </w:divBdr>
      <w:divsChild>
        <w:div w:id="2112627492">
          <w:marLeft w:val="0"/>
          <w:marRight w:val="0"/>
          <w:marTop w:val="0"/>
          <w:marBottom w:val="0"/>
          <w:divBdr>
            <w:top w:val="none" w:sz="0" w:space="0" w:color="auto"/>
            <w:left w:val="none" w:sz="0" w:space="0" w:color="auto"/>
            <w:bottom w:val="none" w:sz="0" w:space="0" w:color="auto"/>
            <w:right w:val="none" w:sz="0" w:space="0" w:color="auto"/>
          </w:divBdr>
        </w:div>
      </w:divsChild>
    </w:div>
    <w:div w:id="907345953">
      <w:bodyDiv w:val="1"/>
      <w:marLeft w:val="0"/>
      <w:marRight w:val="0"/>
      <w:marTop w:val="0"/>
      <w:marBottom w:val="0"/>
      <w:divBdr>
        <w:top w:val="none" w:sz="0" w:space="0" w:color="auto"/>
        <w:left w:val="none" w:sz="0" w:space="0" w:color="auto"/>
        <w:bottom w:val="none" w:sz="0" w:space="0" w:color="auto"/>
        <w:right w:val="none" w:sz="0" w:space="0" w:color="auto"/>
      </w:divBdr>
      <w:divsChild>
        <w:div w:id="533733389">
          <w:marLeft w:val="0"/>
          <w:marRight w:val="0"/>
          <w:marTop w:val="0"/>
          <w:marBottom w:val="0"/>
          <w:divBdr>
            <w:top w:val="none" w:sz="0" w:space="0" w:color="auto"/>
            <w:left w:val="none" w:sz="0" w:space="0" w:color="auto"/>
            <w:bottom w:val="none" w:sz="0" w:space="0" w:color="auto"/>
            <w:right w:val="none" w:sz="0" w:space="0" w:color="auto"/>
          </w:divBdr>
        </w:div>
      </w:divsChild>
    </w:div>
    <w:div w:id="1226843438">
      <w:bodyDiv w:val="1"/>
      <w:marLeft w:val="0"/>
      <w:marRight w:val="0"/>
      <w:marTop w:val="0"/>
      <w:marBottom w:val="0"/>
      <w:divBdr>
        <w:top w:val="none" w:sz="0" w:space="0" w:color="auto"/>
        <w:left w:val="none" w:sz="0" w:space="0" w:color="auto"/>
        <w:bottom w:val="none" w:sz="0" w:space="0" w:color="auto"/>
        <w:right w:val="none" w:sz="0" w:space="0" w:color="auto"/>
      </w:divBdr>
      <w:divsChild>
        <w:div w:id="796220134">
          <w:marLeft w:val="0"/>
          <w:marRight w:val="0"/>
          <w:marTop w:val="0"/>
          <w:marBottom w:val="0"/>
          <w:divBdr>
            <w:top w:val="none" w:sz="0" w:space="0" w:color="auto"/>
            <w:left w:val="none" w:sz="0" w:space="0" w:color="auto"/>
            <w:bottom w:val="none" w:sz="0" w:space="0" w:color="auto"/>
            <w:right w:val="none" w:sz="0" w:space="0" w:color="auto"/>
          </w:divBdr>
        </w:div>
      </w:divsChild>
    </w:div>
    <w:div w:id="1233931769">
      <w:bodyDiv w:val="1"/>
      <w:marLeft w:val="0"/>
      <w:marRight w:val="0"/>
      <w:marTop w:val="0"/>
      <w:marBottom w:val="0"/>
      <w:divBdr>
        <w:top w:val="none" w:sz="0" w:space="0" w:color="auto"/>
        <w:left w:val="none" w:sz="0" w:space="0" w:color="auto"/>
        <w:bottom w:val="none" w:sz="0" w:space="0" w:color="auto"/>
        <w:right w:val="none" w:sz="0" w:space="0" w:color="auto"/>
      </w:divBdr>
      <w:divsChild>
        <w:div w:id="249393275">
          <w:marLeft w:val="0"/>
          <w:marRight w:val="0"/>
          <w:marTop w:val="0"/>
          <w:marBottom w:val="0"/>
          <w:divBdr>
            <w:top w:val="none" w:sz="0" w:space="0" w:color="auto"/>
            <w:left w:val="none" w:sz="0" w:space="0" w:color="auto"/>
            <w:bottom w:val="none" w:sz="0" w:space="0" w:color="auto"/>
            <w:right w:val="none" w:sz="0" w:space="0" w:color="auto"/>
          </w:divBdr>
          <w:divsChild>
            <w:div w:id="2058971998">
              <w:marLeft w:val="0"/>
              <w:marRight w:val="0"/>
              <w:marTop w:val="0"/>
              <w:marBottom w:val="0"/>
              <w:divBdr>
                <w:top w:val="none" w:sz="0" w:space="0" w:color="auto"/>
                <w:left w:val="none" w:sz="0" w:space="0" w:color="auto"/>
                <w:bottom w:val="none" w:sz="0" w:space="0" w:color="auto"/>
                <w:right w:val="none" w:sz="0" w:space="0" w:color="auto"/>
              </w:divBdr>
              <w:divsChild>
                <w:div w:id="870263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5992875">
      <w:bodyDiv w:val="1"/>
      <w:marLeft w:val="0"/>
      <w:marRight w:val="0"/>
      <w:marTop w:val="0"/>
      <w:marBottom w:val="0"/>
      <w:divBdr>
        <w:top w:val="none" w:sz="0" w:space="0" w:color="auto"/>
        <w:left w:val="none" w:sz="0" w:space="0" w:color="auto"/>
        <w:bottom w:val="none" w:sz="0" w:space="0" w:color="auto"/>
        <w:right w:val="none" w:sz="0" w:space="0" w:color="auto"/>
      </w:divBdr>
      <w:divsChild>
        <w:div w:id="835537146">
          <w:marLeft w:val="0"/>
          <w:marRight w:val="0"/>
          <w:marTop w:val="0"/>
          <w:marBottom w:val="0"/>
          <w:divBdr>
            <w:top w:val="none" w:sz="0" w:space="0" w:color="auto"/>
            <w:left w:val="none" w:sz="0" w:space="0" w:color="auto"/>
            <w:bottom w:val="none" w:sz="0" w:space="0" w:color="auto"/>
            <w:right w:val="none" w:sz="0" w:space="0" w:color="auto"/>
          </w:divBdr>
        </w:div>
      </w:divsChild>
    </w:div>
    <w:div w:id="1480803843">
      <w:bodyDiv w:val="1"/>
      <w:marLeft w:val="0"/>
      <w:marRight w:val="0"/>
      <w:marTop w:val="0"/>
      <w:marBottom w:val="0"/>
      <w:divBdr>
        <w:top w:val="none" w:sz="0" w:space="0" w:color="auto"/>
        <w:left w:val="none" w:sz="0" w:space="0" w:color="auto"/>
        <w:bottom w:val="none" w:sz="0" w:space="0" w:color="auto"/>
        <w:right w:val="none" w:sz="0" w:space="0" w:color="auto"/>
      </w:divBdr>
    </w:div>
    <w:div w:id="1524902043">
      <w:bodyDiv w:val="1"/>
      <w:marLeft w:val="0"/>
      <w:marRight w:val="0"/>
      <w:marTop w:val="0"/>
      <w:marBottom w:val="0"/>
      <w:divBdr>
        <w:top w:val="none" w:sz="0" w:space="0" w:color="auto"/>
        <w:left w:val="none" w:sz="0" w:space="0" w:color="auto"/>
        <w:bottom w:val="none" w:sz="0" w:space="0" w:color="auto"/>
        <w:right w:val="none" w:sz="0" w:space="0" w:color="auto"/>
      </w:divBdr>
    </w:div>
    <w:div w:id="1778863699">
      <w:bodyDiv w:val="1"/>
      <w:marLeft w:val="0"/>
      <w:marRight w:val="0"/>
      <w:marTop w:val="0"/>
      <w:marBottom w:val="0"/>
      <w:divBdr>
        <w:top w:val="none" w:sz="0" w:space="0" w:color="auto"/>
        <w:left w:val="none" w:sz="0" w:space="0" w:color="auto"/>
        <w:bottom w:val="none" w:sz="0" w:space="0" w:color="auto"/>
        <w:right w:val="none" w:sz="0" w:space="0" w:color="auto"/>
      </w:divBdr>
      <w:divsChild>
        <w:div w:id="1727531892">
          <w:marLeft w:val="0"/>
          <w:marRight w:val="0"/>
          <w:marTop w:val="0"/>
          <w:marBottom w:val="0"/>
          <w:divBdr>
            <w:top w:val="none" w:sz="0" w:space="0" w:color="auto"/>
            <w:left w:val="none" w:sz="0" w:space="0" w:color="auto"/>
            <w:bottom w:val="none" w:sz="0" w:space="0" w:color="auto"/>
            <w:right w:val="none" w:sz="0" w:space="0" w:color="auto"/>
          </w:divBdr>
        </w:div>
      </w:divsChild>
    </w:div>
    <w:div w:id="1783500815">
      <w:bodyDiv w:val="1"/>
      <w:marLeft w:val="0"/>
      <w:marRight w:val="0"/>
      <w:marTop w:val="0"/>
      <w:marBottom w:val="0"/>
      <w:divBdr>
        <w:top w:val="none" w:sz="0" w:space="0" w:color="auto"/>
        <w:left w:val="none" w:sz="0" w:space="0" w:color="auto"/>
        <w:bottom w:val="none" w:sz="0" w:space="0" w:color="auto"/>
        <w:right w:val="none" w:sz="0" w:space="0" w:color="auto"/>
      </w:divBdr>
      <w:divsChild>
        <w:div w:id="921715746">
          <w:marLeft w:val="0"/>
          <w:marRight w:val="0"/>
          <w:marTop w:val="0"/>
          <w:marBottom w:val="0"/>
          <w:divBdr>
            <w:top w:val="none" w:sz="0" w:space="0" w:color="auto"/>
            <w:left w:val="none" w:sz="0" w:space="0" w:color="auto"/>
            <w:bottom w:val="none" w:sz="0" w:space="0" w:color="auto"/>
            <w:right w:val="none" w:sz="0" w:space="0" w:color="auto"/>
          </w:divBdr>
        </w:div>
      </w:divsChild>
    </w:div>
    <w:div w:id="2106346074">
      <w:bodyDiv w:val="1"/>
      <w:marLeft w:val="0"/>
      <w:marRight w:val="0"/>
      <w:marTop w:val="0"/>
      <w:marBottom w:val="0"/>
      <w:divBdr>
        <w:top w:val="none" w:sz="0" w:space="0" w:color="auto"/>
        <w:left w:val="none" w:sz="0" w:space="0" w:color="auto"/>
        <w:bottom w:val="none" w:sz="0" w:space="0" w:color="auto"/>
        <w:right w:val="none" w:sz="0" w:space="0" w:color="auto"/>
      </w:divBdr>
      <w:divsChild>
        <w:div w:id="1272396951">
          <w:marLeft w:val="0"/>
          <w:marRight w:val="0"/>
          <w:marTop w:val="0"/>
          <w:marBottom w:val="0"/>
          <w:divBdr>
            <w:top w:val="none" w:sz="0" w:space="0" w:color="auto"/>
            <w:left w:val="none" w:sz="0" w:space="0" w:color="auto"/>
            <w:bottom w:val="none" w:sz="0" w:space="0" w:color="auto"/>
            <w:right w:val="none" w:sz="0" w:space="0" w:color="auto"/>
          </w:divBdr>
        </w:div>
      </w:divsChild>
    </w:div>
    <w:div w:id="2130322356">
      <w:bodyDiv w:val="1"/>
      <w:marLeft w:val="0"/>
      <w:marRight w:val="0"/>
      <w:marTop w:val="0"/>
      <w:marBottom w:val="0"/>
      <w:divBdr>
        <w:top w:val="none" w:sz="0" w:space="0" w:color="auto"/>
        <w:left w:val="none" w:sz="0" w:space="0" w:color="auto"/>
        <w:bottom w:val="none" w:sz="0" w:space="0" w:color="auto"/>
        <w:right w:val="none" w:sz="0" w:space="0" w:color="auto"/>
      </w:divBdr>
      <w:divsChild>
        <w:div w:id="17201295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48A27C-8CE8-4624-95BF-FA483D4732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1</Pages>
  <Words>2416</Words>
  <Characters>13776</Characters>
  <Application>Microsoft Office Word</Application>
  <DocSecurity>0</DocSecurity>
  <Lines>114</Lines>
  <Paragraphs>32</Paragraphs>
  <ScaleCrop>false</ScaleCrop>
  <Company/>
  <LinksUpToDate>false</LinksUpToDate>
  <CharactersWithSpaces>16160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Eduard</dc:creator>
  <cp:keywords/>
  <dc:description/>
  <cp:lastModifiedBy>Eduard Popa (2133017)</cp:lastModifiedBy>
  <cp:revision>648</cp:revision>
  <dcterms:created xsi:type="dcterms:W3CDTF">2023-11-05T09:04:00Z</dcterms:created>
  <dcterms:modified xsi:type="dcterms:W3CDTF">2023-11-16T19:35:00Z</dcterms:modified>
</cp:coreProperties>
</file>