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1A00BA" w14:textId="29842CD4" w:rsidR="00271C5B" w:rsidRPr="00775D5D" w:rsidRDefault="00271C5B" w:rsidP="00765352">
      <w:pPr>
        <w:spacing w:line="360" w:lineRule="auto"/>
        <w:rPr>
          <w:rFonts w:cs="Times New Roman"/>
          <w:b/>
          <w:bCs/>
          <w:sz w:val="32"/>
          <w:szCs w:val="32"/>
        </w:rPr>
      </w:pPr>
    </w:p>
    <w:p w14:paraId="3D9ADCB3" w14:textId="7A635D7A" w:rsidR="00271C5B" w:rsidRPr="00775D5D" w:rsidRDefault="00271C5B" w:rsidP="00775D5D">
      <w:pPr>
        <w:spacing w:line="360" w:lineRule="auto"/>
        <w:jc w:val="center"/>
        <w:rPr>
          <w:rFonts w:cs="Times New Roman"/>
          <w:b/>
          <w:bCs/>
          <w:sz w:val="32"/>
          <w:szCs w:val="32"/>
        </w:rPr>
      </w:pPr>
      <w:r w:rsidRPr="00775D5D">
        <w:rPr>
          <w:rFonts w:cs="Times New Roman"/>
          <w:b/>
          <w:bCs/>
          <w:sz w:val="32"/>
          <w:szCs w:val="32"/>
        </w:rPr>
        <w:t xml:space="preserve">Module: Living well: A Life course approach to Health &amp; Wellbeing </w:t>
      </w:r>
    </w:p>
    <w:p w14:paraId="1B2442C5" w14:textId="7FAD2689" w:rsidR="00C06F83" w:rsidRPr="00775D5D" w:rsidRDefault="00271C5B" w:rsidP="00775D5D">
      <w:pPr>
        <w:spacing w:line="360" w:lineRule="auto"/>
        <w:jc w:val="center"/>
        <w:rPr>
          <w:rFonts w:cs="Times New Roman"/>
          <w:b/>
          <w:bCs/>
          <w:sz w:val="32"/>
          <w:szCs w:val="32"/>
        </w:rPr>
      </w:pPr>
      <w:r w:rsidRPr="00775D5D">
        <w:rPr>
          <w:rFonts w:cs="Times New Roman"/>
          <w:b/>
          <w:bCs/>
          <w:sz w:val="32"/>
          <w:szCs w:val="32"/>
        </w:rPr>
        <w:t>Module code: BMNS4014</w:t>
      </w:r>
    </w:p>
    <w:p w14:paraId="15F71B7D" w14:textId="4E4EC53A" w:rsidR="00271C5B" w:rsidRPr="00775D5D" w:rsidRDefault="00271C5B" w:rsidP="00775D5D">
      <w:pPr>
        <w:spacing w:line="360" w:lineRule="auto"/>
        <w:jc w:val="center"/>
        <w:rPr>
          <w:rFonts w:cs="Times New Roman"/>
          <w:b/>
          <w:bCs/>
          <w:sz w:val="32"/>
          <w:szCs w:val="32"/>
        </w:rPr>
      </w:pPr>
      <w:r w:rsidRPr="00775D5D">
        <w:rPr>
          <w:rFonts w:cs="Times New Roman"/>
          <w:b/>
          <w:bCs/>
          <w:sz w:val="32"/>
          <w:szCs w:val="32"/>
        </w:rPr>
        <w:t>Assignment Title: Assignment 2 Research report</w:t>
      </w:r>
    </w:p>
    <w:p w14:paraId="228E4C96" w14:textId="36C8B285" w:rsidR="00271C5B" w:rsidRPr="00775D5D" w:rsidRDefault="00271C5B" w:rsidP="00775D5D">
      <w:pPr>
        <w:spacing w:line="360" w:lineRule="auto"/>
        <w:rPr>
          <w:rFonts w:cs="Times New Roman"/>
        </w:rPr>
      </w:pPr>
      <w:r w:rsidRPr="00775D5D">
        <w:rPr>
          <w:rFonts w:cs="Times New Roman"/>
        </w:rPr>
        <w:br w:type="page"/>
      </w:r>
    </w:p>
    <w:sdt>
      <w:sdtPr>
        <w:rPr>
          <w:rFonts w:ascii="Times New Roman" w:eastAsiaTheme="minorHAnsi" w:hAnsi="Times New Roman" w:cs="Times New Roman"/>
          <w:color w:val="auto"/>
          <w:kern w:val="2"/>
          <w:sz w:val="24"/>
          <w:szCs w:val="24"/>
          <w:lang w:eastAsia="en-US"/>
          <w14:ligatures w14:val="standardContextual"/>
        </w:rPr>
        <w:id w:val="1087270777"/>
        <w:docPartObj>
          <w:docPartGallery w:val="Table of Contents"/>
          <w:docPartUnique/>
        </w:docPartObj>
      </w:sdtPr>
      <w:sdtEndPr>
        <w:rPr>
          <w:b/>
          <w:bCs/>
        </w:rPr>
      </w:sdtEndPr>
      <w:sdtContent>
        <w:p w14:paraId="3C9156A6" w14:textId="06F11A99" w:rsidR="00775D5D" w:rsidRPr="00775D5D" w:rsidRDefault="00775D5D" w:rsidP="00775D5D">
          <w:pPr>
            <w:pStyle w:val="TOCHeading"/>
            <w:spacing w:line="360" w:lineRule="auto"/>
            <w:jc w:val="center"/>
            <w:rPr>
              <w:rFonts w:ascii="Times New Roman" w:hAnsi="Times New Roman" w:cs="Times New Roman"/>
              <w:b/>
              <w:bCs/>
              <w:color w:val="auto"/>
            </w:rPr>
          </w:pPr>
          <w:r w:rsidRPr="00775D5D">
            <w:rPr>
              <w:rFonts w:ascii="Times New Roman" w:hAnsi="Times New Roman" w:cs="Times New Roman"/>
              <w:b/>
              <w:bCs/>
              <w:color w:val="auto"/>
            </w:rPr>
            <w:t>Table of Contents</w:t>
          </w:r>
        </w:p>
        <w:p w14:paraId="05D8CB2D" w14:textId="1A1144A1" w:rsidR="00775D5D" w:rsidRPr="00775D5D" w:rsidRDefault="00775D5D" w:rsidP="00775D5D">
          <w:pPr>
            <w:pStyle w:val="TOC1"/>
            <w:tabs>
              <w:tab w:val="right" w:leader="dot" w:pos="9016"/>
            </w:tabs>
            <w:spacing w:line="360" w:lineRule="auto"/>
            <w:rPr>
              <w:rFonts w:cs="Times New Roman"/>
              <w:noProof/>
            </w:rPr>
          </w:pPr>
          <w:r w:rsidRPr="00775D5D">
            <w:rPr>
              <w:rFonts w:cs="Times New Roman"/>
            </w:rPr>
            <w:fldChar w:fldCharType="begin"/>
          </w:r>
          <w:r w:rsidRPr="00775D5D">
            <w:rPr>
              <w:rFonts w:cs="Times New Roman"/>
            </w:rPr>
            <w:instrText xml:space="preserve"> TOC \o "1-3" \h \z \u </w:instrText>
          </w:r>
          <w:r w:rsidRPr="00775D5D">
            <w:rPr>
              <w:rFonts w:cs="Times New Roman"/>
            </w:rPr>
            <w:fldChar w:fldCharType="separate"/>
          </w:r>
          <w:hyperlink w:anchor="_Toc197007592" w:history="1">
            <w:r w:rsidRPr="00775D5D">
              <w:rPr>
                <w:rStyle w:val="Hyperlink"/>
                <w:rFonts w:cs="Times New Roman"/>
                <w:noProof/>
              </w:rPr>
              <w:t>Introduction</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_Toc197007592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3</w:t>
            </w:r>
            <w:r w:rsidRPr="00775D5D">
              <w:rPr>
                <w:rFonts w:cs="Times New Roman"/>
                <w:noProof/>
                <w:webHidden/>
              </w:rPr>
              <w:fldChar w:fldCharType="end"/>
            </w:r>
          </w:hyperlink>
        </w:p>
        <w:p w14:paraId="68F724E8" w14:textId="5E07AB26" w:rsidR="00775D5D" w:rsidRPr="00775D5D" w:rsidRDefault="00775D5D" w:rsidP="00775D5D">
          <w:pPr>
            <w:pStyle w:val="TOC1"/>
            <w:tabs>
              <w:tab w:val="right" w:leader="dot" w:pos="9016"/>
            </w:tabs>
            <w:spacing w:line="360" w:lineRule="auto"/>
            <w:rPr>
              <w:rFonts w:cs="Times New Roman"/>
              <w:noProof/>
            </w:rPr>
          </w:pPr>
          <w:hyperlink w:anchor="_Toc197007593" w:history="1">
            <w:r w:rsidRPr="00775D5D">
              <w:rPr>
                <w:rStyle w:val="Hyperlink"/>
                <w:rFonts w:cs="Times New Roman"/>
                <w:noProof/>
              </w:rPr>
              <w:t>The Life Course Approach and Early Childhood</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_Toc197007593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4</w:t>
            </w:r>
            <w:r w:rsidRPr="00775D5D">
              <w:rPr>
                <w:rFonts w:cs="Times New Roman"/>
                <w:noProof/>
                <w:webHidden/>
              </w:rPr>
              <w:fldChar w:fldCharType="end"/>
            </w:r>
          </w:hyperlink>
        </w:p>
        <w:p w14:paraId="6C4FD4E2" w14:textId="52C41019" w:rsidR="00775D5D" w:rsidRPr="00775D5D" w:rsidRDefault="00775D5D" w:rsidP="00775D5D">
          <w:pPr>
            <w:pStyle w:val="TOC1"/>
            <w:tabs>
              <w:tab w:val="right" w:leader="dot" w:pos="9016"/>
            </w:tabs>
            <w:spacing w:line="360" w:lineRule="auto"/>
            <w:rPr>
              <w:rFonts w:cs="Times New Roman"/>
              <w:noProof/>
            </w:rPr>
          </w:pPr>
          <w:hyperlink w:anchor="_Toc197007594" w:history="1">
            <w:r w:rsidRPr="00775D5D">
              <w:rPr>
                <w:rStyle w:val="Hyperlink"/>
                <w:rFonts w:cs="Times New Roman"/>
                <w:noProof/>
              </w:rPr>
              <w:t>Important Factors of Lifestyle in the Early Years</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_Toc197007594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4</w:t>
            </w:r>
            <w:r w:rsidRPr="00775D5D">
              <w:rPr>
                <w:rFonts w:cs="Times New Roman"/>
                <w:noProof/>
                <w:webHidden/>
              </w:rPr>
              <w:fldChar w:fldCharType="end"/>
            </w:r>
          </w:hyperlink>
        </w:p>
        <w:p w14:paraId="4DA6E4ED" w14:textId="0EAD9E7E" w:rsidR="00775D5D" w:rsidRPr="00775D5D" w:rsidRDefault="00775D5D" w:rsidP="00775D5D">
          <w:pPr>
            <w:pStyle w:val="TOC1"/>
            <w:tabs>
              <w:tab w:val="right" w:leader="dot" w:pos="9016"/>
            </w:tabs>
            <w:spacing w:line="360" w:lineRule="auto"/>
            <w:rPr>
              <w:rFonts w:cs="Times New Roman"/>
              <w:noProof/>
            </w:rPr>
          </w:pPr>
          <w:hyperlink w:anchor="_Toc197007595" w:history="1">
            <w:r w:rsidRPr="00775D5D">
              <w:rPr>
                <w:rStyle w:val="Hyperlink"/>
                <w:rFonts w:cs="Times New Roman"/>
                <w:noProof/>
              </w:rPr>
              <w:t>Social Determinants and Inequalities in Early Childhood</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_Toc197007595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6</w:t>
            </w:r>
            <w:r w:rsidRPr="00775D5D">
              <w:rPr>
                <w:rFonts w:cs="Times New Roman"/>
                <w:noProof/>
                <w:webHidden/>
              </w:rPr>
              <w:fldChar w:fldCharType="end"/>
            </w:r>
          </w:hyperlink>
        </w:p>
        <w:p w14:paraId="16A937A2" w14:textId="127B72A7" w:rsidR="00775D5D" w:rsidRPr="00775D5D" w:rsidRDefault="00775D5D" w:rsidP="00775D5D">
          <w:pPr>
            <w:pStyle w:val="TOC1"/>
            <w:tabs>
              <w:tab w:val="right" w:leader="dot" w:pos="9016"/>
            </w:tabs>
            <w:spacing w:line="360" w:lineRule="auto"/>
            <w:rPr>
              <w:rFonts w:cs="Times New Roman"/>
              <w:noProof/>
            </w:rPr>
          </w:pPr>
          <w:hyperlink w:anchor="_Toc197007596" w:history="1">
            <w:r w:rsidRPr="00775D5D">
              <w:rPr>
                <w:rStyle w:val="Hyperlink"/>
                <w:rFonts w:cs="Times New Roman"/>
                <w:noProof/>
              </w:rPr>
              <w:t>Impact and Effectiveness of Early Interventions</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_Toc197007596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6</w:t>
            </w:r>
            <w:r w:rsidRPr="00775D5D">
              <w:rPr>
                <w:rFonts w:cs="Times New Roman"/>
                <w:noProof/>
                <w:webHidden/>
              </w:rPr>
              <w:fldChar w:fldCharType="end"/>
            </w:r>
          </w:hyperlink>
        </w:p>
        <w:p w14:paraId="74C80C07" w14:textId="571B7474" w:rsidR="00775D5D" w:rsidRPr="00775D5D" w:rsidRDefault="00775D5D" w:rsidP="00775D5D">
          <w:pPr>
            <w:pStyle w:val="TOC1"/>
            <w:tabs>
              <w:tab w:val="right" w:leader="dot" w:pos="9016"/>
            </w:tabs>
            <w:spacing w:line="360" w:lineRule="auto"/>
            <w:rPr>
              <w:rFonts w:cs="Times New Roman"/>
              <w:noProof/>
            </w:rPr>
          </w:pPr>
          <w:hyperlink w:anchor="_Toc197007597" w:history="1">
            <w:r w:rsidRPr="00775D5D">
              <w:rPr>
                <w:rStyle w:val="Hyperlink"/>
                <w:rFonts w:cs="Times New Roman"/>
                <w:noProof/>
              </w:rPr>
              <w:t>Conclusion</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_Toc197007597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8</w:t>
            </w:r>
            <w:r w:rsidRPr="00775D5D">
              <w:rPr>
                <w:rFonts w:cs="Times New Roman"/>
                <w:noProof/>
                <w:webHidden/>
              </w:rPr>
              <w:fldChar w:fldCharType="end"/>
            </w:r>
          </w:hyperlink>
        </w:p>
        <w:p w14:paraId="39826201" w14:textId="7D38EE91" w:rsidR="00775D5D" w:rsidRPr="00775D5D" w:rsidRDefault="00775D5D" w:rsidP="00775D5D">
          <w:pPr>
            <w:pStyle w:val="TOC1"/>
            <w:tabs>
              <w:tab w:val="right" w:leader="dot" w:pos="9016"/>
            </w:tabs>
            <w:spacing w:line="360" w:lineRule="auto"/>
            <w:rPr>
              <w:rFonts w:cs="Times New Roman"/>
              <w:noProof/>
            </w:rPr>
          </w:pPr>
          <w:hyperlink w:anchor="_Toc197007598" w:history="1">
            <w:r w:rsidRPr="00775D5D">
              <w:rPr>
                <w:rStyle w:val="Hyperlink"/>
                <w:rFonts w:cs="Times New Roman"/>
                <w:noProof/>
              </w:rPr>
              <w:t>Reference List</w:t>
            </w:r>
            <w:r w:rsidRPr="00775D5D">
              <w:rPr>
                <w:rFonts w:cs="Times New Roman"/>
                <w:noProof/>
                <w:webHidden/>
              </w:rPr>
              <w:tab/>
            </w:r>
            <w:r w:rsidRPr="00775D5D">
              <w:rPr>
                <w:rFonts w:cs="Times New Roman"/>
                <w:noProof/>
                <w:webHidden/>
              </w:rPr>
              <w:fldChar w:fldCharType="begin"/>
            </w:r>
            <w:r w:rsidRPr="00775D5D">
              <w:rPr>
                <w:rFonts w:cs="Times New Roman"/>
                <w:noProof/>
                <w:webHidden/>
              </w:rPr>
              <w:instrText xml:space="preserve"> PAGEREF _Toc197007598 \h </w:instrText>
            </w:r>
            <w:r w:rsidRPr="00775D5D">
              <w:rPr>
                <w:rFonts w:cs="Times New Roman"/>
                <w:noProof/>
                <w:webHidden/>
              </w:rPr>
            </w:r>
            <w:r w:rsidRPr="00775D5D">
              <w:rPr>
                <w:rFonts w:cs="Times New Roman"/>
                <w:noProof/>
                <w:webHidden/>
              </w:rPr>
              <w:fldChar w:fldCharType="separate"/>
            </w:r>
            <w:r w:rsidRPr="00775D5D">
              <w:rPr>
                <w:rFonts w:cs="Times New Roman"/>
                <w:noProof/>
                <w:webHidden/>
              </w:rPr>
              <w:t>9</w:t>
            </w:r>
            <w:r w:rsidRPr="00775D5D">
              <w:rPr>
                <w:rFonts w:cs="Times New Roman"/>
                <w:noProof/>
                <w:webHidden/>
              </w:rPr>
              <w:fldChar w:fldCharType="end"/>
            </w:r>
          </w:hyperlink>
        </w:p>
        <w:p w14:paraId="2EB5E9FC" w14:textId="0C251DB3" w:rsidR="00775D5D" w:rsidRPr="00775D5D" w:rsidRDefault="00775D5D" w:rsidP="00775D5D">
          <w:pPr>
            <w:spacing w:line="360" w:lineRule="auto"/>
            <w:rPr>
              <w:rFonts w:cs="Times New Roman"/>
            </w:rPr>
          </w:pPr>
          <w:r w:rsidRPr="00775D5D">
            <w:rPr>
              <w:rFonts w:cs="Times New Roman"/>
              <w:b/>
              <w:bCs/>
            </w:rPr>
            <w:fldChar w:fldCharType="end"/>
          </w:r>
        </w:p>
      </w:sdtContent>
    </w:sdt>
    <w:p w14:paraId="611366F3" w14:textId="79051DA1" w:rsidR="00271C5B" w:rsidRPr="00775D5D" w:rsidRDefault="00271C5B" w:rsidP="00775D5D">
      <w:pPr>
        <w:pStyle w:val="Heading1"/>
        <w:rPr>
          <w:rFonts w:cs="Times New Roman"/>
        </w:rPr>
      </w:pPr>
      <w:r w:rsidRPr="00775D5D">
        <w:rPr>
          <w:rFonts w:cs="Times New Roman"/>
        </w:rPr>
        <w:br w:type="page"/>
      </w:r>
      <w:bookmarkStart w:id="0" w:name="_Toc197007592"/>
      <w:r w:rsidRPr="00775D5D">
        <w:rPr>
          <w:rFonts w:cs="Times New Roman"/>
        </w:rPr>
        <w:lastRenderedPageBreak/>
        <w:t>Introduction</w:t>
      </w:r>
      <w:bookmarkEnd w:id="0"/>
    </w:p>
    <w:p w14:paraId="64EE29CB" w14:textId="510618B7" w:rsidR="00271C5B" w:rsidRPr="00775D5D" w:rsidRDefault="00005262" w:rsidP="00775D5D">
      <w:pPr>
        <w:spacing w:line="360" w:lineRule="auto"/>
        <w:rPr>
          <w:rFonts w:cs="Times New Roman"/>
        </w:rPr>
      </w:pPr>
      <w:r w:rsidRPr="00775D5D">
        <w:rPr>
          <w:rFonts w:cs="Times New Roman"/>
        </w:rPr>
        <w:t>Early childhood, from</w:t>
      </w:r>
      <w:r w:rsidR="00271C5B" w:rsidRPr="00775D5D">
        <w:rPr>
          <w:rFonts w:cs="Times New Roman"/>
        </w:rPr>
        <w:t xml:space="preserve"> birth till age </w:t>
      </w:r>
      <w:r w:rsidRPr="00775D5D">
        <w:rPr>
          <w:rFonts w:cs="Times New Roman"/>
        </w:rPr>
        <w:t>eight,</w:t>
      </w:r>
      <w:r w:rsidR="00271C5B" w:rsidRPr="00775D5D">
        <w:rPr>
          <w:rFonts w:cs="Times New Roman"/>
        </w:rPr>
        <w:t xml:space="preserve"> </w:t>
      </w:r>
      <w:r w:rsidRPr="00775D5D">
        <w:rPr>
          <w:rFonts w:cs="Times New Roman"/>
        </w:rPr>
        <w:t>constitutes</w:t>
      </w:r>
      <w:r w:rsidR="00271C5B" w:rsidRPr="00775D5D">
        <w:rPr>
          <w:rFonts w:cs="Times New Roman"/>
        </w:rPr>
        <w:t xml:space="preserve"> an essential time for developing lifelong health and </w:t>
      </w:r>
      <w:r w:rsidRPr="00775D5D">
        <w:rPr>
          <w:rFonts w:cs="Times New Roman"/>
        </w:rPr>
        <w:t>well-being</w:t>
      </w:r>
      <w:r w:rsidR="00271C5B" w:rsidRPr="00775D5D">
        <w:rPr>
          <w:rFonts w:cs="Times New Roman"/>
        </w:rPr>
        <w:t xml:space="preserve"> patterns. The Healthy Child Programme within UK policy </w:t>
      </w:r>
      <w:r w:rsidRPr="00775D5D">
        <w:rPr>
          <w:rFonts w:cs="Times New Roman"/>
        </w:rPr>
        <w:t>emphasises</w:t>
      </w:r>
      <w:r w:rsidR="00271C5B" w:rsidRPr="00775D5D">
        <w:rPr>
          <w:rFonts w:cs="Times New Roman"/>
        </w:rPr>
        <w:t xml:space="preserve"> early intervention because it confronts increasing health issues such as childhood obesity at 20% and five-year-old tooth decay affecting one-quarter of children (UCL, 2024).</w:t>
      </w:r>
      <w:r w:rsidR="00CB3026" w:rsidRPr="00775D5D">
        <w:rPr>
          <w:rFonts w:cs="Times New Roman"/>
        </w:rPr>
        <w:t xml:space="preserve"> According to Lee </w:t>
      </w:r>
      <w:r w:rsidR="00CB3026" w:rsidRPr="00775D5D">
        <w:rPr>
          <w:rFonts w:cs="Times New Roman"/>
          <w:i/>
          <w:iCs/>
        </w:rPr>
        <w:t>et al.</w:t>
      </w:r>
      <w:r w:rsidR="00CB3026" w:rsidRPr="00775D5D">
        <w:rPr>
          <w:rFonts w:cs="Times New Roman"/>
        </w:rPr>
        <w:t xml:space="preserve"> (2023)</w:t>
      </w:r>
      <w:r w:rsidR="007A1146" w:rsidRPr="00775D5D">
        <w:rPr>
          <w:rFonts w:cs="Times New Roman"/>
        </w:rPr>
        <w:t>,</w:t>
      </w:r>
      <w:r w:rsidR="00CB3026" w:rsidRPr="00775D5D">
        <w:rPr>
          <w:rFonts w:cs="Times New Roman"/>
        </w:rPr>
        <w:t xml:space="preserve"> infant mortality</w:t>
      </w:r>
      <w:r w:rsidR="00271C5B" w:rsidRPr="00775D5D">
        <w:rPr>
          <w:rFonts w:cs="Times New Roman"/>
        </w:rPr>
        <w:t xml:space="preserve"> rates between deprived and affluent areas stand at a ratio of two to one. Early childhood lifestyle preferences regarding nutrition combined with exercise participation and emotional wellness connect to community conditions through ongoing assessment of life stages leading to important points for intervention. The report </w:t>
      </w:r>
      <w:r w:rsidRPr="00775D5D">
        <w:rPr>
          <w:rFonts w:cs="Times New Roman"/>
        </w:rPr>
        <w:t>analyses</w:t>
      </w:r>
      <w:r w:rsidR="00271C5B" w:rsidRPr="00775D5D">
        <w:rPr>
          <w:rFonts w:cs="Times New Roman"/>
        </w:rPr>
        <w:t xml:space="preserve"> UK program evidence and recent research to </w:t>
      </w:r>
      <w:proofErr w:type="gramStart"/>
      <w:r w:rsidR="00271C5B" w:rsidRPr="00775D5D">
        <w:rPr>
          <w:rFonts w:cs="Times New Roman"/>
        </w:rPr>
        <w:t>determine</w:t>
      </w:r>
      <w:proofErr w:type="gramEnd"/>
      <w:r w:rsidR="00271C5B" w:rsidRPr="00775D5D">
        <w:rPr>
          <w:rFonts w:cs="Times New Roman"/>
        </w:rPr>
        <w:t xml:space="preserve"> what works best and what </w:t>
      </w:r>
      <w:proofErr w:type="gramStart"/>
      <w:r w:rsidR="00271C5B" w:rsidRPr="00775D5D">
        <w:rPr>
          <w:rFonts w:cs="Times New Roman"/>
        </w:rPr>
        <w:t>remains</w:t>
      </w:r>
      <w:proofErr w:type="gramEnd"/>
      <w:r w:rsidR="00271C5B" w:rsidRPr="00775D5D">
        <w:rPr>
          <w:rFonts w:cs="Times New Roman"/>
        </w:rPr>
        <w:t xml:space="preserve"> unresolved in early childhood health effects</w:t>
      </w:r>
    </w:p>
    <w:p w14:paraId="5C6043ED" w14:textId="77777777" w:rsidR="00005262" w:rsidRPr="00775D5D" w:rsidRDefault="00005262" w:rsidP="00775D5D">
      <w:pPr>
        <w:spacing w:line="360" w:lineRule="auto"/>
        <w:rPr>
          <w:rFonts w:cs="Times New Roman"/>
        </w:rPr>
      </w:pPr>
      <w:r w:rsidRPr="00775D5D">
        <w:rPr>
          <w:rFonts w:cs="Times New Roman"/>
        </w:rPr>
        <w:br w:type="page"/>
      </w:r>
    </w:p>
    <w:p w14:paraId="19CB5FA8" w14:textId="327F655C" w:rsidR="00271C5B" w:rsidRPr="00775D5D" w:rsidRDefault="00271C5B" w:rsidP="00775D5D">
      <w:pPr>
        <w:pStyle w:val="Heading1"/>
        <w:rPr>
          <w:rFonts w:cs="Times New Roman"/>
        </w:rPr>
      </w:pPr>
      <w:bookmarkStart w:id="1" w:name="_Toc197007593"/>
      <w:r w:rsidRPr="00775D5D">
        <w:rPr>
          <w:rFonts w:cs="Times New Roman"/>
        </w:rPr>
        <w:lastRenderedPageBreak/>
        <w:t>The Life Course Approach and Early Childhood</w:t>
      </w:r>
      <w:bookmarkEnd w:id="1"/>
    </w:p>
    <w:p w14:paraId="30B56B65" w14:textId="08011188" w:rsidR="00271C5B" w:rsidRPr="00775D5D" w:rsidRDefault="00271C5B" w:rsidP="00775D5D">
      <w:pPr>
        <w:spacing w:line="360" w:lineRule="auto"/>
        <w:rPr>
          <w:rFonts w:cs="Times New Roman"/>
        </w:rPr>
      </w:pPr>
      <w:r w:rsidRPr="00775D5D">
        <w:rPr>
          <w:rFonts w:cs="Times New Roman"/>
        </w:rPr>
        <w:t xml:space="preserve">Through this </w:t>
      </w:r>
      <w:r w:rsidR="00005262" w:rsidRPr="00775D5D">
        <w:rPr>
          <w:rFonts w:cs="Times New Roman"/>
        </w:rPr>
        <w:t>method,</w:t>
      </w:r>
      <w:r w:rsidRPr="00775D5D">
        <w:rPr>
          <w:rFonts w:cs="Times New Roman"/>
        </w:rPr>
        <w:t xml:space="preserve"> researchers obtain an effective framework to understand how early life </w:t>
      </w:r>
      <w:r w:rsidR="00005262" w:rsidRPr="00775D5D">
        <w:rPr>
          <w:rFonts w:cs="Times New Roman"/>
        </w:rPr>
        <w:t>exposures,</w:t>
      </w:r>
      <w:r w:rsidRPr="00775D5D">
        <w:rPr>
          <w:rFonts w:cs="Times New Roman"/>
        </w:rPr>
        <w:t xml:space="preserve"> together with </w:t>
      </w:r>
      <w:r w:rsidR="00005262" w:rsidRPr="00775D5D">
        <w:rPr>
          <w:rFonts w:cs="Times New Roman"/>
        </w:rPr>
        <w:t>experiences,</w:t>
      </w:r>
      <w:r w:rsidRPr="00775D5D">
        <w:rPr>
          <w:rFonts w:cs="Times New Roman"/>
        </w:rPr>
        <w:t xml:space="preserve"> affect long-term health outcomes. The critical period model serves as a theoretical </w:t>
      </w:r>
      <w:r w:rsidR="00005262" w:rsidRPr="00775D5D">
        <w:rPr>
          <w:rFonts w:cs="Times New Roman"/>
        </w:rPr>
        <w:t>foundation,</w:t>
      </w:r>
      <w:r w:rsidRPr="00775D5D">
        <w:rPr>
          <w:rFonts w:cs="Times New Roman"/>
        </w:rPr>
        <w:t xml:space="preserve"> together with the accumulation of risk </w:t>
      </w:r>
      <w:r w:rsidR="00005262" w:rsidRPr="00775D5D">
        <w:rPr>
          <w:rFonts w:cs="Times New Roman"/>
        </w:rPr>
        <w:t>model,</w:t>
      </w:r>
      <w:r w:rsidRPr="00775D5D">
        <w:rPr>
          <w:rFonts w:cs="Times New Roman"/>
        </w:rPr>
        <w:t xml:space="preserve"> to explain how early in-utero and neonatal exposures lead to permanent health effects in individuals </w:t>
      </w:r>
      <w:r w:rsidR="009D0318" w:rsidRPr="00775D5D">
        <w:rPr>
          <w:rFonts w:cs="Times New Roman"/>
        </w:rPr>
        <w:t>(Ben-Shlomo and Kuh, 2022)</w:t>
      </w:r>
      <w:r w:rsidRPr="00775D5D">
        <w:rPr>
          <w:rFonts w:cs="Times New Roman"/>
        </w:rPr>
        <w:t xml:space="preserve">. The Marmot Review (2010) and Healthy Child Programme (2009) in the UK </w:t>
      </w:r>
      <w:r w:rsidR="00005262" w:rsidRPr="00775D5D">
        <w:rPr>
          <w:rFonts w:cs="Times New Roman"/>
        </w:rPr>
        <w:t>advocate</w:t>
      </w:r>
      <w:r w:rsidRPr="00775D5D">
        <w:rPr>
          <w:rFonts w:cs="Times New Roman"/>
        </w:rPr>
        <w:t xml:space="preserve"> (and articulate) an early intervention perspective based on the view that the early years are a ‘critical period’ in which biological and social factors interact to initiate trends in health </w:t>
      </w:r>
      <w:r w:rsidR="009D0318" w:rsidRPr="00775D5D">
        <w:rPr>
          <w:rFonts w:cs="Times New Roman"/>
        </w:rPr>
        <w:t>(Marmot </w:t>
      </w:r>
      <w:r w:rsidR="009D0318" w:rsidRPr="00775D5D">
        <w:rPr>
          <w:rFonts w:cs="Times New Roman"/>
          <w:i/>
          <w:iCs/>
        </w:rPr>
        <w:t>et al.</w:t>
      </w:r>
      <w:r w:rsidR="009D0318" w:rsidRPr="00775D5D">
        <w:rPr>
          <w:rFonts w:cs="Times New Roman"/>
        </w:rPr>
        <w:t>, 2010)</w:t>
      </w:r>
      <w:r w:rsidRPr="00775D5D">
        <w:rPr>
          <w:rFonts w:cs="Times New Roman"/>
        </w:rPr>
        <w:t>.</w:t>
      </w:r>
      <w:r w:rsidR="009D0318" w:rsidRPr="00775D5D">
        <w:rPr>
          <w:rFonts w:cs="Times New Roman"/>
        </w:rPr>
        <w:t xml:space="preserve"> </w:t>
      </w:r>
      <w:r w:rsidRPr="00775D5D">
        <w:rPr>
          <w:rFonts w:cs="Times New Roman"/>
        </w:rPr>
        <w:t xml:space="preserve">The second model, Dahlgren </w:t>
      </w:r>
      <w:r w:rsidR="00005262" w:rsidRPr="00775D5D">
        <w:rPr>
          <w:rFonts w:cs="Times New Roman"/>
        </w:rPr>
        <w:t>Whitehead,</w:t>
      </w:r>
      <w:r w:rsidRPr="00775D5D">
        <w:rPr>
          <w:rFonts w:cs="Times New Roman"/>
        </w:rPr>
        <w:t xml:space="preserve"> </w:t>
      </w:r>
      <w:r w:rsidR="00005262" w:rsidRPr="00775D5D">
        <w:rPr>
          <w:rFonts w:cs="Times New Roman"/>
        </w:rPr>
        <w:t>helps</w:t>
      </w:r>
      <w:r w:rsidRPr="00775D5D">
        <w:rPr>
          <w:rFonts w:cs="Times New Roman"/>
        </w:rPr>
        <w:t xml:space="preserve"> to show how individual lifestyle factors are placed in the wider social determinants of health, which </w:t>
      </w:r>
      <w:r w:rsidR="00005262" w:rsidRPr="00775D5D">
        <w:rPr>
          <w:rFonts w:cs="Times New Roman"/>
        </w:rPr>
        <w:t>reemphasise</w:t>
      </w:r>
      <w:r w:rsidRPr="00775D5D">
        <w:rPr>
          <w:rFonts w:cs="Times New Roman"/>
        </w:rPr>
        <w:t xml:space="preserve"> the importance of a more holistic approach. A major strength of the life course approach is the capacity to understand the temporality of exposures (timing and duration) in the context in which they occur </w:t>
      </w:r>
      <w:proofErr w:type="gramStart"/>
      <w:r w:rsidRPr="00775D5D">
        <w:rPr>
          <w:rFonts w:cs="Times New Roman"/>
        </w:rPr>
        <w:t>in order to</w:t>
      </w:r>
      <w:proofErr w:type="gramEnd"/>
      <w:r w:rsidRPr="00775D5D">
        <w:rPr>
          <w:rFonts w:cs="Times New Roman"/>
        </w:rPr>
        <w:t xml:space="preserve"> target interventions</w:t>
      </w:r>
      <w:r w:rsidR="009D0318" w:rsidRPr="00775D5D">
        <w:rPr>
          <w:rFonts w:cs="Times New Roman"/>
        </w:rPr>
        <w:t xml:space="preserve"> (Asmussen and Brims, 2018)</w:t>
      </w:r>
      <w:r w:rsidRPr="00775D5D">
        <w:rPr>
          <w:rFonts w:cs="Times New Roman"/>
        </w:rPr>
        <w:t xml:space="preserve">. Yet, its complexity can make its implementation and evaluation difficult because trying to separate out the effects of many concurrent influences on each other is </w:t>
      </w:r>
      <w:r w:rsidR="00005262" w:rsidRPr="00775D5D">
        <w:rPr>
          <w:rFonts w:cs="Times New Roman"/>
        </w:rPr>
        <w:t>methodologically difficult</w:t>
      </w:r>
      <w:r w:rsidRPr="00775D5D">
        <w:rPr>
          <w:rFonts w:cs="Times New Roman"/>
        </w:rPr>
        <w:t xml:space="preserve">. Yet, UK and international sources of evidence repeatedly demonstrate that early intervention on both </w:t>
      </w:r>
      <w:r w:rsidR="00005262" w:rsidRPr="00775D5D">
        <w:rPr>
          <w:rFonts w:cs="Times New Roman"/>
        </w:rPr>
        <w:t>individual-</w:t>
      </w:r>
      <w:r w:rsidRPr="00775D5D">
        <w:rPr>
          <w:rFonts w:cs="Times New Roman"/>
        </w:rPr>
        <w:t xml:space="preserve">level behaviours and structural determinants is effective in attenuating inequalities and improving outcomes for the next generation </w:t>
      </w:r>
      <w:r w:rsidR="009D0318" w:rsidRPr="00775D5D">
        <w:rPr>
          <w:rFonts w:cs="Times New Roman"/>
        </w:rPr>
        <w:t>(Marmot </w:t>
      </w:r>
      <w:r w:rsidR="009D0318" w:rsidRPr="00775D5D">
        <w:rPr>
          <w:rFonts w:cs="Times New Roman"/>
          <w:i/>
          <w:iCs/>
        </w:rPr>
        <w:t>et al.</w:t>
      </w:r>
      <w:r w:rsidR="009D0318" w:rsidRPr="00775D5D">
        <w:rPr>
          <w:rFonts w:cs="Times New Roman"/>
        </w:rPr>
        <w:t>, 2010)</w:t>
      </w:r>
      <w:r w:rsidRPr="00775D5D">
        <w:rPr>
          <w:rFonts w:cs="Times New Roman"/>
        </w:rPr>
        <w:t>.</w:t>
      </w:r>
    </w:p>
    <w:p w14:paraId="3AE5D802" w14:textId="12C00429" w:rsidR="00271C5B" w:rsidRPr="00775D5D" w:rsidRDefault="00271C5B" w:rsidP="00775D5D">
      <w:pPr>
        <w:pStyle w:val="Heading1"/>
        <w:rPr>
          <w:rFonts w:cs="Times New Roman"/>
        </w:rPr>
      </w:pPr>
      <w:bookmarkStart w:id="2" w:name="_Toc197007594"/>
      <w:r w:rsidRPr="00775D5D">
        <w:rPr>
          <w:rFonts w:cs="Times New Roman"/>
        </w:rPr>
        <w:t>Important Factors of Lifestyle in the Early Years</w:t>
      </w:r>
      <w:bookmarkEnd w:id="2"/>
    </w:p>
    <w:p w14:paraId="1E9CA829" w14:textId="77777777" w:rsidR="00271C5B" w:rsidRPr="00775D5D" w:rsidRDefault="00271C5B" w:rsidP="00775D5D">
      <w:pPr>
        <w:spacing w:line="360" w:lineRule="auto"/>
        <w:rPr>
          <w:rFonts w:cs="Times New Roman"/>
          <w:b/>
          <w:bCs/>
        </w:rPr>
      </w:pPr>
      <w:r w:rsidRPr="00775D5D">
        <w:rPr>
          <w:rFonts w:cs="Times New Roman"/>
          <w:b/>
          <w:bCs/>
        </w:rPr>
        <w:t>Diet and Nutrition</w:t>
      </w:r>
    </w:p>
    <w:p w14:paraId="7AEBE1CA" w14:textId="48AFFC1A" w:rsidR="00271C5B" w:rsidRPr="00775D5D" w:rsidRDefault="00271C5B" w:rsidP="00775D5D">
      <w:pPr>
        <w:spacing w:line="360" w:lineRule="auto"/>
        <w:rPr>
          <w:rFonts w:cs="Times New Roman"/>
        </w:rPr>
      </w:pPr>
      <w:r w:rsidRPr="00775D5D">
        <w:rPr>
          <w:rFonts w:cs="Times New Roman"/>
        </w:rPr>
        <w:t xml:space="preserve">Early childhood is the foundation of diet that is important for lifelong health. It is recommended that breastfeeding be exclusive for the first six months and is associated with decreased risks of infection, </w:t>
      </w:r>
      <w:r w:rsidR="00005262" w:rsidRPr="00775D5D">
        <w:rPr>
          <w:rFonts w:cs="Times New Roman"/>
        </w:rPr>
        <w:t>obesity,</w:t>
      </w:r>
      <w:r w:rsidRPr="00775D5D">
        <w:rPr>
          <w:rFonts w:cs="Times New Roman"/>
        </w:rPr>
        <w:t xml:space="preserve"> and better cognitive outcomes </w:t>
      </w:r>
      <w:r w:rsidR="007F27B3" w:rsidRPr="00775D5D">
        <w:rPr>
          <w:rFonts w:cs="Times New Roman"/>
        </w:rPr>
        <w:t xml:space="preserve">(Simpson </w:t>
      </w:r>
      <w:r w:rsidR="007F27B3" w:rsidRPr="00775D5D">
        <w:rPr>
          <w:rFonts w:cs="Times New Roman"/>
          <w:i/>
          <w:iCs/>
        </w:rPr>
        <w:t>et al</w:t>
      </w:r>
      <w:r w:rsidR="007F27B3" w:rsidRPr="00775D5D">
        <w:rPr>
          <w:rFonts w:cs="Times New Roman"/>
        </w:rPr>
        <w:t>., 2022)</w:t>
      </w:r>
      <w:r w:rsidRPr="00775D5D">
        <w:rPr>
          <w:rFonts w:cs="Times New Roman"/>
        </w:rPr>
        <w:t xml:space="preserve">. At six weeks, only 48% of infants are breastfed in the </w:t>
      </w:r>
      <w:r w:rsidR="00005262" w:rsidRPr="00775D5D">
        <w:rPr>
          <w:rFonts w:cs="Times New Roman"/>
        </w:rPr>
        <w:t>UK,</w:t>
      </w:r>
      <w:r w:rsidRPr="00775D5D">
        <w:rPr>
          <w:rFonts w:cs="Times New Roman"/>
        </w:rPr>
        <w:t xml:space="preserve"> and the rates are much lower among disadvantaged groups </w:t>
      </w:r>
      <w:r w:rsidR="007F27B3" w:rsidRPr="00775D5D">
        <w:rPr>
          <w:rFonts w:cs="Times New Roman"/>
        </w:rPr>
        <w:t xml:space="preserve">(Simpson </w:t>
      </w:r>
      <w:r w:rsidR="007F27B3" w:rsidRPr="00775D5D">
        <w:rPr>
          <w:rFonts w:cs="Times New Roman"/>
          <w:i/>
          <w:iCs/>
        </w:rPr>
        <w:t>et al</w:t>
      </w:r>
      <w:r w:rsidR="007F27B3" w:rsidRPr="00775D5D">
        <w:rPr>
          <w:rFonts w:cs="Times New Roman"/>
        </w:rPr>
        <w:t>., 2022)</w:t>
      </w:r>
      <w:r w:rsidRPr="00775D5D">
        <w:rPr>
          <w:rFonts w:cs="Times New Roman"/>
        </w:rPr>
        <w:t xml:space="preserve">. For example, </w:t>
      </w:r>
      <w:r w:rsidR="00005262" w:rsidRPr="00775D5D">
        <w:rPr>
          <w:rFonts w:cs="Times New Roman"/>
        </w:rPr>
        <w:t>the Healthy</w:t>
      </w:r>
      <w:r w:rsidRPr="00775D5D">
        <w:rPr>
          <w:rFonts w:cs="Times New Roman"/>
        </w:rPr>
        <w:t xml:space="preserve"> Start scheme, which provides vouchers and vitamins to </w:t>
      </w:r>
      <w:r w:rsidR="0083132A" w:rsidRPr="00775D5D">
        <w:rPr>
          <w:rFonts w:cs="Times New Roman"/>
        </w:rPr>
        <w:t>low-income</w:t>
      </w:r>
      <w:r w:rsidRPr="00775D5D">
        <w:rPr>
          <w:rFonts w:cs="Times New Roman"/>
        </w:rPr>
        <w:t xml:space="preserve"> families, has been proven to increase access to healthy foods; however, the uptake is still very </w:t>
      </w:r>
      <w:r w:rsidR="00005262" w:rsidRPr="00775D5D">
        <w:rPr>
          <w:rFonts w:cs="Times New Roman"/>
        </w:rPr>
        <w:t>low;</w:t>
      </w:r>
      <w:r w:rsidRPr="00775D5D">
        <w:rPr>
          <w:rFonts w:cs="Times New Roman"/>
        </w:rPr>
        <w:t xml:space="preserve"> only about 72% of eligible families participate, which means that over 140,000 children do not get support </w:t>
      </w:r>
      <w:r w:rsidR="009D0318" w:rsidRPr="00775D5D">
        <w:rPr>
          <w:rFonts w:cs="Times New Roman"/>
        </w:rPr>
        <w:t>(Health England, 2016)</w:t>
      </w:r>
      <w:r w:rsidRPr="00775D5D">
        <w:rPr>
          <w:rFonts w:cs="Times New Roman"/>
        </w:rPr>
        <w:t xml:space="preserve">. Stigma and lack of awareness remain as barriers, while the scheme has been improved with the digitalisation of the scheme </w:t>
      </w:r>
      <w:r w:rsidR="00005262" w:rsidRPr="00775D5D">
        <w:rPr>
          <w:rFonts w:cs="Times New Roman"/>
        </w:rPr>
        <w:t>and</w:t>
      </w:r>
      <w:r w:rsidRPr="00775D5D">
        <w:rPr>
          <w:rFonts w:cs="Times New Roman"/>
        </w:rPr>
        <w:t xml:space="preserve"> has improved usability.</w:t>
      </w:r>
    </w:p>
    <w:p w14:paraId="250CA92E" w14:textId="28346EE8" w:rsidR="00271C5B" w:rsidRPr="00775D5D" w:rsidRDefault="00271C5B" w:rsidP="00775D5D">
      <w:pPr>
        <w:spacing w:line="360" w:lineRule="auto"/>
        <w:rPr>
          <w:rFonts w:cs="Times New Roman"/>
        </w:rPr>
      </w:pPr>
      <w:r w:rsidRPr="00775D5D">
        <w:rPr>
          <w:rFonts w:cs="Times New Roman"/>
        </w:rPr>
        <w:lastRenderedPageBreak/>
        <w:t xml:space="preserve">There is a small but significant benefit in weight outcomes of child obesity interventions focused on diet among children aged 6 months to 5 years that also include parental involvement and draw on community support </w:t>
      </w:r>
      <w:r w:rsidR="009D0318" w:rsidRPr="00775D5D">
        <w:rPr>
          <w:rFonts w:cs="Times New Roman"/>
        </w:rPr>
        <w:t>(Brown </w:t>
      </w:r>
      <w:r w:rsidR="009D0318" w:rsidRPr="00775D5D">
        <w:rPr>
          <w:rFonts w:cs="Times New Roman"/>
          <w:i/>
          <w:iCs/>
        </w:rPr>
        <w:t>et al.</w:t>
      </w:r>
      <w:r w:rsidR="009D0318" w:rsidRPr="00775D5D">
        <w:rPr>
          <w:rFonts w:cs="Times New Roman"/>
        </w:rPr>
        <w:t>, 2019)</w:t>
      </w:r>
      <w:r w:rsidRPr="00775D5D">
        <w:rPr>
          <w:rFonts w:cs="Times New Roman"/>
        </w:rPr>
        <w:t>. Nevertheless, the most deprived families are difficult to reach by interventions, which perpetuates health inequalities.</w:t>
      </w:r>
    </w:p>
    <w:p w14:paraId="71C31B28" w14:textId="77777777" w:rsidR="00271C5B" w:rsidRPr="00775D5D" w:rsidRDefault="00271C5B" w:rsidP="00775D5D">
      <w:pPr>
        <w:spacing w:line="360" w:lineRule="auto"/>
        <w:rPr>
          <w:rFonts w:cs="Times New Roman"/>
          <w:b/>
          <w:bCs/>
        </w:rPr>
      </w:pPr>
      <w:r w:rsidRPr="00775D5D">
        <w:rPr>
          <w:rFonts w:cs="Times New Roman"/>
          <w:b/>
          <w:bCs/>
        </w:rPr>
        <w:t>Physical Activity</w:t>
      </w:r>
    </w:p>
    <w:p w14:paraId="6A40AA43" w14:textId="39EE0088" w:rsidR="00271C5B" w:rsidRPr="00775D5D" w:rsidRDefault="00271C5B" w:rsidP="00775D5D">
      <w:pPr>
        <w:spacing w:line="360" w:lineRule="auto"/>
        <w:rPr>
          <w:rFonts w:cs="Times New Roman"/>
        </w:rPr>
      </w:pPr>
      <w:r w:rsidRPr="00775D5D">
        <w:rPr>
          <w:rFonts w:cs="Times New Roman"/>
        </w:rPr>
        <w:t xml:space="preserve">It is important for healthy growth as well as for the development of motor skills and social skills. According to </w:t>
      </w:r>
      <w:r w:rsidR="009D0318" w:rsidRPr="00775D5D">
        <w:rPr>
          <w:rFonts w:cs="Times New Roman"/>
        </w:rPr>
        <w:t>Fitzsimons </w:t>
      </w:r>
      <w:r w:rsidR="009D0318" w:rsidRPr="00775D5D">
        <w:rPr>
          <w:rFonts w:cs="Times New Roman"/>
          <w:i/>
          <w:iCs/>
        </w:rPr>
        <w:t>et al.</w:t>
      </w:r>
      <w:r w:rsidR="009D0318" w:rsidRPr="00775D5D">
        <w:rPr>
          <w:rFonts w:cs="Times New Roman"/>
        </w:rPr>
        <w:t xml:space="preserve"> (2022)</w:t>
      </w:r>
      <w:r w:rsidRPr="00775D5D">
        <w:rPr>
          <w:rFonts w:cs="Times New Roman"/>
        </w:rPr>
        <w:t xml:space="preserve">, the UK guidelines </w:t>
      </w:r>
      <w:r w:rsidR="00005262" w:rsidRPr="00775D5D">
        <w:rPr>
          <w:rFonts w:cs="Times New Roman"/>
        </w:rPr>
        <w:t>recommend that</w:t>
      </w:r>
      <w:r w:rsidRPr="00775D5D">
        <w:rPr>
          <w:rFonts w:cs="Times New Roman"/>
        </w:rPr>
        <w:t xml:space="preserve"> children under five have at least 180 minutes of varied physical activity daily. However, most young children do not meet these </w:t>
      </w:r>
      <w:r w:rsidR="00005262" w:rsidRPr="00775D5D">
        <w:rPr>
          <w:rFonts w:cs="Times New Roman"/>
        </w:rPr>
        <w:t>guidelines;</w:t>
      </w:r>
      <w:r w:rsidRPr="00775D5D">
        <w:rPr>
          <w:rFonts w:cs="Times New Roman"/>
        </w:rPr>
        <w:t xml:space="preserve"> sedentary behaviours have increased due to increased screen time and lack of access to safe play spaces, particularly in deprived areas. Public health messaging is widespread, but critical analysis of these interventions shows that such messages will only be effective if there were also structural interventions at the point of </w:t>
      </w:r>
      <w:r w:rsidR="00005262" w:rsidRPr="00775D5D">
        <w:rPr>
          <w:rFonts w:cs="Times New Roman"/>
        </w:rPr>
        <w:t xml:space="preserve">delivery </w:t>
      </w:r>
      <w:r w:rsidRPr="00775D5D">
        <w:rPr>
          <w:rFonts w:cs="Times New Roman"/>
        </w:rPr>
        <w:t>or before, such as providing green space or making neighbourhoods safe</w:t>
      </w:r>
      <w:r w:rsidR="009D0318" w:rsidRPr="00775D5D">
        <w:rPr>
          <w:rFonts w:cs="Times New Roman"/>
        </w:rPr>
        <w:t xml:space="preserve"> (Cattan </w:t>
      </w:r>
      <w:r w:rsidR="009D0318" w:rsidRPr="00775D5D">
        <w:rPr>
          <w:rFonts w:cs="Times New Roman"/>
          <w:i/>
          <w:iCs/>
        </w:rPr>
        <w:t>et al.</w:t>
      </w:r>
      <w:r w:rsidR="009D0318" w:rsidRPr="00775D5D">
        <w:rPr>
          <w:rFonts w:cs="Times New Roman"/>
        </w:rPr>
        <w:t>, 2024)</w:t>
      </w:r>
      <w:r w:rsidRPr="00775D5D">
        <w:rPr>
          <w:rFonts w:cs="Times New Roman"/>
        </w:rPr>
        <w:t xml:space="preserve">. </w:t>
      </w:r>
      <w:r w:rsidR="009D0318" w:rsidRPr="00775D5D">
        <w:rPr>
          <w:rFonts w:cs="Times New Roman"/>
        </w:rPr>
        <w:t>Ferrucci </w:t>
      </w:r>
      <w:r w:rsidR="009D0318" w:rsidRPr="00775D5D">
        <w:rPr>
          <w:rFonts w:cs="Times New Roman"/>
          <w:i/>
          <w:iCs/>
        </w:rPr>
        <w:t>et al.</w:t>
      </w:r>
      <w:r w:rsidR="009D0318" w:rsidRPr="00775D5D">
        <w:rPr>
          <w:rFonts w:cs="Times New Roman"/>
        </w:rPr>
        <w:t xml:space="preserve"> (2022)</w:t>
      </w:r>
      <w:r w:rsidRPr="00775D5D">
        <w:rPr>
          <w:rFonts w:cs="Times New Roman"/>
        </w:rPr>
        <w:t xml:space="preserve"> suggest multi-component interventions taking up community engagement and environmental improvements for better successful outcomes in influencing sustained activity.</w:t>
      </w:r>
    </w:p>
    <w:p w14:paraId="4DD0C580" w14:textId="77777777" w:rsidR="00271C5B" w:rsidRPr="00775D5D" w:rsidRDefault="00271C5B" w:rsidP="00775D5D">
      <w:pPr>
        <w:spacing w:line="360" w:lineRule="auto"/>
        <w:rPr>
          <w:rFonts w:cs="Times New Roman"/>
          <w:b/>
          <w:bCs/>
        </w:rPr>
      </w:pPr>
      <w:r w:rsidRPr="00775D5D">
        <w:rPr>
          <w:rFonts w:cs="Times New Roman"/>
          <w:b/>
          <w:bCs/>
        </w:rPr>
        <w:t>Mental Health and Emotional Wellbeing</w:t>
      </w:r>
    </w:p>
    <w:p w14:paraId="4200634D" w14:textId="0B00DAA2" w:rsidR="00271C5B" w:rsidRPr="00775D5D" w:rsidRDefault="00271C5B" w:rsidP="00775D5D">
      <w:pPr>
        <w:spacing w:line="360" w:lineRule="auto"/>
        <w:rPr>
          <w:rFonts w:cs="Times New Roman"/>
        </w:rPr>
      </w:pPr>
      <w:r w:rsidRPr="00775D5D">
        <w:rPr>
          <w:rFonts w:cs="Times New Roman"/>
        </w:rPr>
        <w:t xml:space="preserve">The factors that shape early emotional </w:t>
      </w:r>
      <w:r w:rsidR="0083132A" w:rsidRPr="00775D5D">
        <w:rPr>
          <w:rFonts w:cs="Times New Roman"/>
        </w:rPr>
        <w:t>well-being</w:t>
      </w:r>
      <w:r w:rsidRPr="00775D5D">
        <w:rPr>
          <w:rFonts w:cs="Times New Roman"/>
        </w:rPr>
        <w:t xml:space="preserve"> include secure attachment, </w:t>
      </w:r>
      <w:r w:rsidR="00005262" w:rsidRPr="00775D5D">
        <w:rPr>
          <w:rFonts w:cs="Times New Roman"/>
        </w:rPr>
        <w:t>a stable</w:t>
      </w:r>
      <w:r w:rsidRPr="00775D5D">
        <w:rPr>
          <w:rFonts w:cs="Times New Roman"/>
        </w:rPr>
        <w:t xml:space="preserve"> </w:t>
      </w:r>
      <w:r w:rsidR="00005262" w:rsidRPr="00775D5D">
        <w:rPr>
          <w:rFonts w:cs="Times New Roman"/>
        </w:rPr>
        <w:t>family, and</w:t>
      </w:r>
      <w:r w:rsidRPr="00775D5D">
        <w:rPr>
          <w:rFonts w:cs="Times New Roman"/>
        </w:rPr>
        <w:t xml:space="preserve"> </w:t>
      </w:r>
      <w:r w:rsidR="00005262" w:rsidRPr="00775D5D">
        <w:rPr>
          <w:rFonts w:cs="Times New Roman"/>
        </w:rPr>
        <w:t>freedom from</w:t>
      </w:r>
      <w:r w:rsidRPr="00775D5D">
        <w:rPr>
          <w:rFonts w:cs="Times New Roman"/>
        </w:rPr>
        <w:t xml:space="preserve"> adverse childhood experiences (ACEs). </w:t>
      </w:r>
      <w:r w:rsidR="0083132A" w:rsidRPr="00775D5D">
        <w:rPr>
          <w:rFonts w:cs="Times New Roman"/>
        </w:rPr>
        <w:t>C</w:t>
      </w:r>
      <w:r w:rsidRPr="00775D5D">
        <w:rPr>
          <w:rFonts w:cs="Times New Roman"/>
        </w:rPr>
        <w:t xml:space="preserve">hildren exposed to several ACEs, for instance, parental mental illness, domestic violence, or poverty, are substantially more likely to have behavioural and emotional problems in adolescence </w:t>
      </w:r>
      <w:r w:rsidR="009D0318" w:rsidRPr="00775D5D">
        <w:rPr>
          <w:rFonts w:cs="Times New Roman"/>
        </w:rPr>
        <w:t>(Fitzsimons </w:t>
      </w:r>
      <w:r w:rsidR="009D0318" w:rsidRPr="00775D5D">
        <w:rPr>
          <w:rFonts w:cs="Times New Roman"/>
          <w:i/>
          <w:iCs/>
        </w:rPr>
        <w:t>et al.</w:t>
      </w:r>
      <w:r w:rsidR="009D0318" w:rsidRPr="00775D5D">
        <w:rPr>
          <w:rFonts w:cs="Times New Roman"/>
        </w:rPr>
        <w:t>, 2022)</w:t>
      </w:r>
      <w:r w:rsidRPr="00775D5D">
        <w:rPr>
          <w:rFonts w:cs="Times New Roman"/>
        </w:rPr>
        <w:t>. Children of mothers with no qualifications are almost four times as likely to have socioemotional difficulties as those of mothers with qualifications, and maternal education and family income are strong predictors of child mental health.</w:t>
      </w:r>
      <w:r w:rsidR="009D0318" w:rsidRPr="00775D5D">
        <w:rPr>
          <w:rFonts w:cs="Times New Roman"/>
        </w:rPr>
        <w:t xml:space="preserve"> </w:t>
      </w:r>
      <w:r w:rsidRPr="00775D5D">
        <w:rPr>
          <w:rFonts w:cs="Times New Roman"/>
        </w:rPr>
        <w:t xml:space="preserve">Early intervention is critical and is provided from UK support services, such as health visiting and early years mental health </w:t>
      </w:r>
      <w:r w:rsidR="00005262" w:rsidRPr="00775D5D">
        <w:rPr>
          <w:rFonts w:cs="Times New Roman"/>
        </w:rPr>
        <w:t>programs</w:t>
      </w:r>
      <w:r w:rsidR="009D0318" w:rsidRPr="00775D5D">
        <w:rPr>
          <w:rFonts w:cs="Times New Roman"/>
        </w:rPr>
        <w:t xml:space="preserve"> </w:t>
      </w:r>
      <w:r w:rsidR="007F27B3" w:rsidRPr="00775D5D">
        <w:rPr>
          <w:rFonts w:cs="Times New Roman"/>
        </w:rPr>
        <w:t xml:space="preserve">(Lee </w:t>
      </w:r>
      <w:r w:rsidR="007F27B3" w:rsidRPr="00775D5D">
        <w:rPr>
          <w:rFonts w:cs="Times New Roman"/>
          <w:i/>
          <w:iCs/>
        </w:rPr>
        <w:t>et al</w:t>
      </w:r>
      <w:r w:rsidR="007F27B3" w:rsidRPr="00775D5D">
        <w:rPr>
          <w:rFonts w:cs="Times New Roman"/>
        </w:rPr>
        <w:t>., 2023)</w:t>
      </w:r>
      <w:r w:rsidR="00005262" w:rsidRPr="00775D5D">
        <w:rPr>
          <w:rFonts w:cs="Times New Roman"/>
        </w:rPr>
        <w:t>.</w:t>
      </w:r>
      <w:r w:rsidRPr="00775D5D">
        <w:rPr>
          <w:rFonts w:cs="Times New Roman"/>
        </w:rPr>
        <w:t xml:space="preserve"> Universal and targeted support is provided via the Healthy Child </w:t>
      </w:r>
      <w:r w:rsidR="00005262" w:rsidRPr="00775D5D">
        <w:rPr>
          <w:rFonts w:cs="Times New Roman"/>
        </w:rPr>
        <w:t>Programme; however,</w:t>
      </w:r>
      <w:r w:rsidRPr="00775D5D">
        <w:rPr>
          <w:rFonts w:cs="Times New Roman"/>
        </w:rPr>
        <w:t xml:space="preserve"> service fragmentation and cuts to funding have limited reach and continuity, particularly in </w:t>
      </w:r>
      <w:r w:rsidR="00005262" w:rsidRPr="00775D5D">
        <w:rPr>
          <w:rFonts w:cs="Times New Roman"/>
        </w:rPr>
        <w:t>the case</w:t>
      </w:r>
      <w:r w:rsidRPr="00775D5D">
        <w:rPr>
          <w:rFonts w:cs="Times New Roman"/>
        </w:rPr>
        <w:t xml:space="preserve"> of more vulnerable groups </w:t>
      </w:r>
      <w:r w:rsidR="00775D5D" w:rsidRPr="00775D5D">
        <w:rPr>
          <w:rFonts w:cs="Times New Roman"/>
        </w:rPr>
        <w:t xml:space="preserve">(Daro </w:t>
      </w:r>
      <w:r w:rsidR="00775D5D" w:rsidRPr="00775D5D">
        <w:rPr>
          <w:rFonts w:cs="Times New Roman"/>
          <w:i/>
          <w:iCs/>
        </w:rPr>
        <w:t>et al.,</w:t>
      </w:r>
      <w:r w:rsidR="00775D5D" w:rsidRPr="00775D5D">
        <w:rPr>
          <w:rFonts w:cs="Times New Roman"/>
        </w:rPr>
        <w:t xml:space="preserve"> 2019)</w:t>
      </w:r>
      <w:r w:rsidRPr="00775D5D">
        <w:rPr>
          <w:rFonts w:cs="Times New Roman"/>
        </w:rPr>
        <w:t xml:space="preserve">. </w:t>
      </w:r>
      <w:r w:rsidR="00005262" w:rsidRPr="00775D5D">
        <w:rPr>
          <w:rFonts w:cs="Times New Roman"/>
        </w:rPr>
        <w:t>Evidence-</w:t>
      </w:r>
      <w:r w:rsidRPr="00775D5D">
        <w:rPr>
          <w:rFonts w:cs="Times New Roman"/>
        </w:rPr>
        <w:t xml:space="preserve">based parenting </w:t>
      </w:r>
      <w:r w:rsidR="00005262" w:rsidRPr="00775D5D">
        <w:rPr>
          <w:rFonts w:cs="Times New Roman"/>
        </w:rPr>
        <w:t>programs</w:t>
      </w:r>
      <w:r w:rsidRPr="00775D5D">
        <w:rPr>
          <w:rFonts w:cs="Times New Roman"/>
        </w:rPr>
        <w:t xml:space="preserve"> do work for improving </w:t>
      </w:r>
      <w:r w:rsidR="00005262" w:rsidRPr="00775D5D">
        <w:rPr>
          <w:rFonts w:cs="Times New Roman"/>
        </w:rPr>
        <w:t>outcomes,</w:t>
      </w:r>
      <w:r w:rsidRPr="00775D5D">
        <w:rPr>
          <w:rFonts w:cs="Times New Roman"/>
        </w:rPr>
        <w:t xml:space="preserve"> but access to them is </w:t>
      </w:r>
      <w:r w:rsidR="00005262" w:rsidRPr="00775D5D">
        <w:rPr>
          <w:rFonts w:cs="Times New Roman"/>
        </w:rPr>
        <w:t>inequitable,</w:t>
      </w:r>
      <w:r w:rsidRPr="00775D5D">
        <w:rPr>
          <w:rFonts w:cs="Times New Roman"/>
        </w:rPr>
        <w:t xml:space="preserve"> and there is stigma that prevents engagement </w:t>
      </w:r>
      <w:r w:rsidR="007F27B3" w:rsidRPr="00775D5D">
        <w:rPr>
          <w:rFonts w:cs="Times New Roman"/>
        </w:rPr>
        <w:t>(Ferrucci </w:t>
      </w:r>
      <w:r w:rsidR="007F27B3" w:rsidRPr="00775D5D">
        <w:rPr>
          <w:rFonts w:cs="Times New Roman"/>
          <w:i/>
          <w:iCs/>
        </w:rPr>
        <w:t>et al.</w:t>
      </w:r>
      <w:r w:rsidR="007F27B3" w:rsidRPr="00775D5D">
        <w:rPr>
          <w:rFonts w:cs="Times New Roman"/>
        </w:rPr>
        <w:t>, 2022)</w:t>
      </w:r>
      <w:r w:rsidRPr="00775D5D">
        <w:rPr>
          <w:rFonts w:cs="Times New Roman"/>
        </w:rPr>
        <w:t>.</w:t>
      </w:r>
    </w:p>
    <w:p w14:paraId="773B39FE" w14:textId="77777777" w:rsidR="007F27B3" w:rsidRPr="00775D5D" w:rsidRDefault="007F27B3" w:rsidP="00775D5D">
      <w:pPr>
        <w:spacing w:line="360" w:lineRule="auto"/>
        <w:rPr>
          <w:rFonts w:cs="Times New Roman"/>
        </w:rPr>
      </w:pPr>
    </w:p>
    <w:p w14:paraId="6D8F9747" w14:textId="77777777" w:rsidR="007F27B3" w:rsidRPr="00775D5D" w:rsidRDefault="007F27B3" w:rsidP="00775D5D">
      <w:pPr>
        <w:spacing w:line="360" w:lineRule="auto"/>
        <w:rPr>
          <w:rFonts w:cs="Times New Roman"/>
        </w:rPr>
      </w:pPr>
    </w:p>
    <w:p w14:paraId="23EE5B1D" w14:textId="362CBE5C" w:rsidR="00271C5B" w:rsidRPr="00775D5D" w:rsidRDefault="00271C5B" w:rsidP="00775D5D">
      <w:pPr>
        <w:pStyle w:val="Heading1"/>
        <w:rPr>
          <w:rFonts w:cs="Times New Roman"/>
        </w:rPr>
      </w:pPr>
      <w:bookmarkStart w:id="3" w:name="_Toc197007595"/>
      <w:r w:rsidRPr="00775D5D">
        <w:rPr>
          <w:rFonts w:cs="Times New Roman"/>
        </w:rPr>
        <w:lastRenderedPageBreak/>
        <w:t>Social Determinants and Inequalities in Early Childhood</w:t>
      </w:r>
      <w:bookmarkEnd w:id="3"/>
    </w:p>
    <w:p w14:paraId="4754F86E" w14:textId="50382B28" w:rsidR="00271C5B" w:rsidRPr="00775D5D" w:rsidRDefault="00271C5B" w:rsidP="00775D5D">
      <w:pPr>
        <w:spacing w:line="360" w:lineRule="auto"/>
        <w:rPr>
          <w:rFonts w:cs="Times New Roman"/>
        </w:rPr>
      </w:pPr>
      <w:r w:rsidRPr="00775D5D">
        <w:rPr>
          <w:rFonts w:cs="Times New Roman"/>
        </w:rPr>
        <w:t xml:space="preserve">The social determinants of early childhood health trajectories are family structure, poverty, parental education, </w:t>
      </w:r>
      <w:r w:rsidR="00005262" w:rsidRPr="00775D5D">
        <w:rPr>
          <w:rFonts w:cs="Times New Roman"/>
        </w:rPr>
        <w:t>housing, and</w:t>
      </w:r>
      <w:r w:rsidRPr="00775D5D">
        <w:rPr>
          <w:rFonts w:cs="Times New Roman"/>
        </w:rPr>
        <w:t xml:space="preserve"> community environment. One in three children in the UK lives in relative </w:t>
      </w:r>
      <w:r w:rsidR="00005262" w:rsidRPr="00775D5D">
        <w:rPr>
          <w:rFonts w:cs="Times New Roman"/>
        </w:rPr>
        <w:t>poverty,</w:t>
      </w:r>
      <w:r w:rsidRPr="00775D5D">
        <w:rPr>
          <w:rFonts w:cs="Times New Roman"/>
        </w:rPr>
        <w:t xml:space="preserve"> and there are clear links between poverty and increased paediatric morbidity and mortality </w:t>
      </w:r>
      <w:r w:rsidR="007F27B3" w:rsidRPr="00775D5D">
        <w:rPr>
          <w:rFonts w:cs="Times New Roman"/>
        </w:rPr>
        <w:t>(Lee </w:t>
      </w:r>
      <w:r w:rsidR="007F27B3" w:rsidRPr="00775D5D">
        <w:rPr>
          <w:rFonts w:cs="Times New Roman"/>
          <w:i/>
          <w:iCs/>
        </w:rPr>
        <w:t>et al.</w:t>
      </w:r>
      <w:r w:rsidR="007F27B3" w:rsidRPr="00775D5D">
        <w:rPr>
          <w:rFonts w:cs="Times New Roman"/>
        </w:rPr>
        <w:t>, 2023)</w:t>
      </w:r>
      <w:r w:rsidRPr="00775D5D">
        <w:rPr>
          <w:rFonts w:cs="Times New Roman"/>
        </w:rPr>
        <w:t xml:space="preserve">. </w:t>
      </w:r>
      <w:r w:rsidR="00005262" w:rsidRPr="00775D5D">
        <w:rPr>
          <w:rFonts w:cs="Times New Roman"/>
        </w:rPr>
        <w:t>The Millennium</w:t>
      </w:r>
      <w:r w:rsidRPr="00775D5D">
        <w:rPr>
          <w:rFonts w:cs="Times New Roman"/>
        </w:rPr>
        <w:t xml:space="preserve"> Cohort Study shows that at age three, children’s development gaps are already immense: children from </w:t>
      </w:r>
      <w:r w:rsidR="00005262" w:rsidRPr="00775D5D">
        <w:rPr>
          <w:rFonts w:cs="Times New Roman"/>
        </w:rPr>
        <w:t>low-</w:t>
      </w:r>
      <w:r w:rsidRPr="00775D5D">
        <w:rPr>
          <w:rFonts w:cs="Times New Roman"/>
        </w:rPr>
        <w:t xml:space="preserve">income or low </w:t>
      </w:r>
      <w:r w:rsidR="00005262" w:rsidRPr="00775D5D">
        <w:rPr>
          <w:rFonts w:cs="Times New Roman"/>
        </w:rPr>
        <w:t>socio-</w:t>
      </w:r>
      <w:r w:rsidRPr="00775D5D">
        <w:rPr>
          <w:rFonts w:cs="Times New Roman"/>
        </w:rPr>
        <w:t xml:space="preserve">economic families are significantly behind their fellow peers in cognitive, </w:t>
      </w:r>
      <w:r w:rsidR="00005262" w:rsidRPr="00775D5D">
        <w:rPr>
          <w:rFonts w:cs="Times New Roman"/>
        </w:rPr>
        <w:t>social,</w:t>
      </w:r>
      <w:r w:rsidRPr="00775D5D">
        <w:rPr>
          <w:rFonts w:cs="Times New Roman"/>
        </w:rPr>
        <w:t xml:space="preserve"> and behavioural outcomes </w:t>
      </w:r>
      <w:r w:rsidR="007F27B3" w:rsidRPr="00775D5D">
        <w:rPr>
          <w:rFonts w:cs="Times New Roman"/>
        </w:rPr>
        <w:t>(Rougeaux </w:t>
      </w:r>
      <w:r w:rsidR="007F27B3" w:rsidRPr="00775D5D">
        <w:rPr>
          <w:rFonts w:cs="Times New Roman"/>
          <w:i/>
          <w:iCs/>
        </w:rPr>
        <w:t>et al.</w:t>
      </w:r>
      <w:r w:rsidR="007F27B3" w:rsidRPr="00775D5D">
        <w:rPr>
          <w:rFonts w:cs="Times New Roman"/>
        </w:rPr>
        <w:t>, 2023)</w:t>
      </w:r>
      <w:r w:rsidRPr="00775D5D">
        <w:rPr>
          <w:rFonts w:cs="Times New Roman"/>
        </w:rPr>
        <w:t>.</w:t>
      </w:r>
      <w:r w:rsidR="007F27B3" w:rsidRPr="00775D5D">
        <w:rPr>
          <w:rFonts w:cs="Times New Roman"/>
        </w:rPr>
        <w:t xml:space="preserve"> </w:t>
      </w:r>
      <w:r w:rsidRPr="00775D5D">
        <w:rPr>
          <w:rFonts w:cs="Times New Roman"/>
        </w:rPr>
        <w:t xml:space="preserve">Among various factors, education of parents and family stability are of great importance. By age 11, children in unstable family environments or with parents with no qualifications are at higher risk of obesity, limited </w:t>
      </w:r>
      <w:r w:rsidR="00005262" w:rsidRPr="00775D5D">
        <w:rPr>
          <w:rFonts w:cs="Times New Roman"/>
        </w:rPr>
        <w:t>long-</w:t>
      </w:r>
      <w:r w:rsidRPr="00775D5D">
        <w:rPr>
          <w:rFonts w:cs="Times New Roman"/>
        </w:rPr>
        <w:t xml:space="preserve">standing </w:t>
      </w:r>
      <w:r w:rsidR="00005262" w:rsidRPr="00775D5D">
        <w:rPr>
          <w:rFonts w:cs="Times New Roman"/>
        </w:rPr>
        <w:t>illness,</w:t>
      </w:r>
      <w:r w:rsidRPr="00775D5D">
        <w:rPr>
          <w:rFonts w:cs="Times New Roman"/>
        </w:rPr>
        <w:t xml:space="preserve"> and socioemotional difficulties </w:t>
      </w:r>
      <w:r w:rsidR="007F27B3" w:rsidRPr="00775D5D">
        <w:rPr>
          <w:rFonts w:cs="Times New Roman"/>
        </w:rPr>
        <w:t>(Rougeaux </w:t>
      </w:r>
      <w:r w:rsidR="007F27B3" w:rsidRPr="00775D5D">
        <w:rPr>
          <w:rFonts w:cs="Times New Roman"/>
          <w:i/>
          <w:iCs/>
        </w:rPr>
        <w:t>et al.</w:t>
      </w:r>
      <w:r w:rsidR="007F27B3" w:rsidRPr="00775D5D">
        <w:rPr>
          <w:rFonts w:cs="Times New Roman"/>
        </w:rPr>
        <w:t>, 2023)</w:t>
      </w:r>
      <w:r w:rsidRPr="00775D5D">
        <w:rPr>
          <w:rFonts w:cs="Times New Roman"/>
        </w:rPr>
        <w:t xml:space="preserve">. A poor housing condition and </w:t>
      </w:r>
      <w:r w:rsidR="00005262" w:rsidRPr="00775D5D">
        <w:rPr>
          <w:rFonts w:cs="Times New Roman"/>
        </w:rPr>
        <w:t>neighbourhood</w:t>
      </w:r>
      <w:r w:rsidRPr="00775D5D">
        <w:rPr>
          <w:rFonts w:cs="Times New Roman"/>
        </w:rPr>
        <w:t xml:space="preserve"> deprivation additionally increase these risks, making healthy foods, safe play </w:t>
      </w:r>
      <w:r w:rsidR="00005262" w:rsidRPr="00775D5D">
        <w:rPr>
          <w:rFonts w:cs="Times New Roman"/>
        </w:rPr>
        <w:t>space,</w:t>
      </w:r>
      <w:r w:rsidRPr="00775D5D">
        <w:rPr>
          <w:rFonts w:cs="Times New Roman"/>
        </w:rPr>
        <w:t xml:space="preserve"> and quality early education inaccessible.</w:t>
      </w:r>
      <w:r w:rsidR="007F27B3" w:rsidRPr="00775D5D">
        <w:rPr>
          <w:rFonts w:cs="Times New Roman"/>
        </w:rPr>
        <w:t xml:space="preserve"> </w:t>
      </w:r>
      <w:r w:rsidRPr="00775D5D">
        <w:rPr>
          <w:rFonts w:cs="Times New Roman"/>
        </w:rPr>
        <w:t xml:space="preserve">The ambivalence of policy responses to such inequalities in </w:t>
      </w:r>
      <w:r w:rsidR="00005262" w:rsidRPr="00775D5D">
        <w:rPr>
          <w:rFonts w:cs="Times New Roman"/>
        </w:rPr>
        <w:t>the UK</w:t>
      </w:r>
      <w:r w:rsidRPr="00775D5D">
        <w:rPr>
          <w:rFonts w:cs="Times New Roman"/>
        </w:rPr>
        <w:t xml:space="preserve"> as Sure Start </w:t>
      </w:r>
      <w:proofErr w:type="gramStart"/>
      <w:r w:rsidRPr="00775D5D">
        <w:rPr>
          <w:rFonts w:cs="Times New Roman"/>
        </w:rPr>
        <w:t>and also</w:t>
      </w:r>
      <w:proofErr w:type="gramEnd"/>
      <w:r w:rsidRPr="00775D5D">
        <w:rPr>
          <w:rFonts w:cs="Times New Roman"/>
        </w:rPr>
        <w:t xml:space="preserve"> </w:t>
      </w:r>
      <w:r w:rsidR="00005262" w:rsidRPr="00775D5D">
        <w:rPr>
          <w:rFonts w:cs="Times New Roman"/>
        </w:rPr>
        <w:t>the Healthy</w:t>
      </w:r>
      <w:r w:rsidRPr="00775D5D">
        <w:rPr>
          <w:rFonts w:cs="Times New Roman"/>
        </w:rPr>
        <w:t xml:space="preserve"> Child Programme </w:t>
      </w:r>
      <w:r w:rsidR="00005262" w:rsidRPr="00775D5D">
        <w:rPr>
          <w:rFonts w:cs="Times New Roman"/>
        </w:rPr>
        <w:t>was</w:t>
      </w:r>
      <w:r w:rsidRPr="00775D5D">
        <w:rPr>
          <w:rFonts w:cs="Times New Roman"/>
        </w:rPr>
        <w:t xml:space="preserve"> to reduce these inequalities. In deprived </w:t>
      </w:r>
      <w:r w:rsidR="00005262" w:rsidRPr="00775D5D">
        <w:rPr>
          <w:rFonts w:cs="Times New Roman"/>
        </w:rPr>
        <w:t>areas,</w:t>
      </w:r>
      <w:r w:rsidRPr="00775D5D">
        <w:rPr>
          <w:rFonts w:cs="Times New Roman"/>
        </w:rPr>
        <w:t xml:space="preserve"> Sure Start initially showed positive impacts on child development, </w:t>
      </w:r>
      <w:r w:rsidR="00005262" w:rsidRPr="00775D5D">
        <w:rPr>
          <w:rFonts w:cs="Times New Roman"/>
        </w:rPr>
        <w:t>health,</w:t>
      </w:r>
      <w:r w:rsidRPr="00775D5D">
        <w:rPr>
          <w:rFonts w:cs="Times New Roman"/>
        </w:rPr>
        <w:t xml:space="preserve"> and parental support (Melhuish </w:t>
      </w:r>
      <w:r w:rsidRPr="00775D5D">
        <w:rPr>
          <w:rFonts w:cs="Times New Roman"/>
          <w:i/>
          <w:iCs/>
        </w:rPr>
        <w:t>et al.,</w:t>
      </w:r>
      <w:r w:rsidRPr="00775D5D">
        <w:rPr>
          <w:rFonts w:cs="Times New Roman"/>
        </w:rPr>
        <w:t xml:space="preserve"> 2015). Nevertheless, areas have so far been sidestepped by </w:t>
      </w:r>
      <w:r w:rsidR="00005262" w:rsidRPr="00775D5D">
        <w:rPr>
          <w:rFonts w:cs="Times New Roman"/>
        </w:rPr>
        <w:t>long-</w:t>
      </w:r>
      <w:r w:rsidRPr="00775D5D">
        <w:rPr>
          <w:rFonts w:cs="Times New Roman"/>
        </w:rPr>
        <w:t xml:space="preserve">term effectiveness due to funding cuts and inconsistent implementation, with regional disparities widened. According to the Marmot </w:t>
      </w:r>
      <w:r w:rsidR="007F27B3" w:rsidRPr="00775D5D">
        <w:rPr>
          <w:rFonts w:cs="Times New Roman"/>
          <w:i/>
          <w:iCs/>
        </w:rPr>
        <w:t>et al</w:t>
      </w:r>
      <w:r w:rsidR="007F27B3" w:rsidRPr="00775D5D">
        <w:rPr>
          <w:rFonts w:cs="Times New Roman"/>
        </w:rPr>
        <w:t>.</w:t>
      </w:r>
      <w:r w:rsidRPr="00775D5D">
        <w:rPr>
          <w:rFonts w:cs="Times New Roman"/>
        </w:rPr>
        <w:t xml:space="preserve"> </w:t>
      </w:r>
      <w:r w:rsidR="00005262" w:rsidRPr="00775D5D">
        <w:rPr>
          <w:rFonts w:cs="Times New Roman"/>
        </w:rPr>
        <w:t>(2010),</w:t>
      </w:r>
      <w:r w:rsidRPr="00775D5D">
        <w:rPr>
          <w:rFonts w:cs="Times New Roman"/>
        </w:rPr>
        <w:t xml:space="preserve"> there was a need for sustained investment in the early years and for policies that give every child the best start in life and tackle the social gradient in health.</w:t>
      </w:r>
    </w:p>
    <w:p w14:paraId="21CB5E24" w14:textId="77777777" w:rsidR="00271C5B" w:rsidRPr="00775D5D" w:rsidRDefault="00271C5B" w:rsidP="00775D5D">
      <w:pPr>
        <w:pStyle w:val="Heading1"/>
        <w:rPr>
          <w:rFonts w:cs="Times New Roman"/>
        </w:rPr>
      </w:pPr>
      <w:bookmarkStart w:id="4" w:name="_Toc197007596"/>
      <w:r w:rsidRPr="00775D5D">
        <w:rPr>
          <w:rFonts w:cs="Times New Roman"/>
        </w:rPr>
        <w:t>Impact and Effectiveness of Early Interventions</w:t>
      </w:r>
      <w:bookmarkEnd w:id="4"/>
    </w:p>
    <w:p w14:paraId="1B276D2F" w14:textId="27002A22" w:rsidR="00005262" w:rsidRPr="00775D5D" w:rsidRDefault="00005262" w:rsidP="00775D5D">
      <w:pPr>
        <w:spacing w:line="360" w:lineRule="auto"/>
        <w:rPr>
          <w:rFonts w:cs="Times New Roman"/>
        </w:rPr>
      </w:pPr>
      <w:r w:rsidRPr="00775D5D">
        <w:rPr>
          <w:rFonts w:cs="Times New Roman"/>
        </w:rPr>
        <w:t>Early intervention programs across the UK establish significant advantages for child well-being and health, while their results depend heavily on how well they integrate into local contexts and how well they perform and how broadly they reach populations</w:t>
      </w:r>
      <w:r w:rsidR="00775D5D" w:rsidRPr="00775D5D">
        <w:rPr>
          <w:rFonts w:cs="Times New Roman"/>
        </w:rPr>
        <w:t xml:space="preserve"> (Smith, 2022)</w:t>
      </w:r>
      <w:r w:rsidRPr="00775D5D">
        <w:rPr>
          <w:rFonts w:cs="Times New Roman"/>
        </w:rPr>
        <w:t xml:space="preserve">. The Healthy Child Programme functions as a universal prevention and early intervention framework that supports high immunisation rates and strengthens parental support and speeds up developmental concern detection </w:t>
      </w:r>
      <w:r w:rsidR="00775D5D" w:rsidRPr="00775D5D">
        <w:rPr>
          <w:rFonts w:cs="Times New Roman"/>
        </w:rPr>
        <w:t>(Guralnick, 2018)</w:t>
      </w:r>
      <w:r w:rsidRPr="00775D5D">
        <w:rPr>
          <w:rFonts w:cs="Times New Roman"/>
        </w:rPr>
        <w:t xml:space="preserve">. Health visiting stands out as an essential component because it delivers excellent results for vulnerable families by producing better child health outcomes </w:t>
      </w:r>
      <w:r w:rsidR="007F27B3" w:rsidRPr="00775D5D">
        <w:rPr>
          <w:rFonts w:cs="Times New Roman"/>
        </w:rPr>
        <w:t>(Sylva </w:t>
      </w:r>
      <w:r w:rsidR="007F27B3" w:rsidRPr="00775D5D">
        <w:rPr>
          <w:rFonts w:cs="Times New Roman"/>
          <w:i/>
          <w:iCs/>
        </w:rPr>
        <w:t>et al.</w:t>
      </w:r>
      <w:r w:rsidR="007F27B3" w:rsidRPr="00775D5D">
        <w:rPr>
          <w:rFonts w:cs="Times New Roman"/>
        </w:rPr>
        <w:t>, 2010)</w:t>
      </w:r>
      <w:r w:rsidRPr="00775D5D">
        <w:rPr>
          <w:rFonts w:cs="Times New Roman"/>
        </w:rPr>
        <w:t xml:space="preserve">. Parenting programs assessed thoroughly by the Early Intervention Foundation demonstrate regular success through better school readiness as well as improved parent-child relationships and fewer behavioural problems. Early education programs providing quality learning experiences to all three- and four-year-olds demonstrate </w:t>
      </w:r>
      <w:r w:rsidRPr="00775D5D">
        <w:rPr>
          <w:rFonts w:cs="Times New Roman"/>
        </w:rPr>
        <w:lastRenderedPageBreak/>
        <w:t xml:space="preserve">better cognitive, behavioural, and social outcomes, specifically benefiting children from disadvantaged backgrounds (Melhuish </w:t>
      </w:r>
      <w:r w:rsidRPr="00775D5D">
        <w:rPr>
          <w:rFonts w:cs="Times New Roman"/>
          <w:i/>
          <w:iCs/>
        </w:rPr>
        <w:t>et al</w:t>
      </w:r>
      <w:r w:rsidRPr="00775D5D">
        <w:rPr>
          <w:rFonts w:cs="Times New Roman"/>
        </w:rPr>
        <w:t>., 2015).</w:t>
      </w:r>
      <w:r w:rsidR="00775D5D" w:rsidRPr="00775D5D">
        <w:rPr>
          <w:rFonts w:cs="Times New Roman"/>
        </w:rPr>
        <w:t xml:space="preserve"> </w:t>
      </w:r>
      <w:r w:rsidRPr="00775D5D">
        <w:rPr>
          <w:rFonts w:cs="Times New Roman"/>
        </w:rPr>
        <w:t>The progress made by the ECEC sector faces ongoing difficulties. The combination of inadequate funding and service fragmentation and insufficient staff numbers creates major operational challenges in disadvantaged areas</w:t>
      </w:r>
      <w:r w:rsidR="00775D5D" w:rsidRPr="00775D5D">
        <w:rPr>
          <w:rFonts w:cs="Times New Roman"/>
        </w:rPr>
        <w:t xml:space="preserve"> (Sammons </w:t>
      </w:r>
      <w:r w:rsidR="00775D5D" w:rsidRPr="00775D5D">
        <w:rPr>
          <w:rFonts w:cs="Times New Roman"/>
          <w:i/>
          <w:iCs/>
        </w:rPr>
        <w:t>et al.</w:t>
      </w:r>
      <w:r w:rsidR="00775D5D" w:rsidRPr="00775D5D">
        <w:rPr>
          <w:rFonts w:cs="Times New Roman"/>
        </w:rPr>
        <w:t>, 2022)</w:t>
      </w:r>
      <w:r w:rsidRPr="00775D5D">
        <w:rPr>
          <w:rFonts w:cs="Times New Roman"/>
        </w:rPr>
        <w:t xml:space="preserve">. The most vulnerable population faces obstacles including stigma along with a lack of understanding and difficult access procedures, which prevent them from taking advantage of services. Without focusing on proportionate universalism along with targeted intervention, some populations primarily receive benefits while others experience worsening inequalities (Marmot </w:t>
      </w:r>
      <w:r w:rsidRPr="00775D5D">
        <w:rPr>
          <w:rFonts w:cs="Times New Roman"/>
          <w:i/>
          <w:iCs/>
        </w:rPr>
        <w:t>et al</w:t>
      </w:r>
      <w:r w:rsidRPr="00775D5D">
        <w:rPr>
          <w:rFonts w:cs="Times New Roman"/>
        </w:rPr>
        <w:t xml:space="preserve">., 2010). International research demonstrates that properly funded integrated early years systems, which unite government departments, reduce health disparities by supporting public collaboration with communities </w:t>
      </w:r>
      <w:r w:rsidR="00775D5D" w:rsidRPr="00775D5D">
        <w:rPr>
          <w:rFonts w:cs="Times New Roman"/>
        </w:rPr>
        <w:t>(Sylva </w:t>
      </w:r>
      <w:r w:rsidR="00775D5D" w:rsidRPr="00775D5D">
        <w:rPr>
          <w:rFonts w:cs="Times New Roman"/>
          <w:i/>
          <w:iCs/>
        </w:rPr>
        <w:t>et al.</w:t>
      </w:r>
      <w:r w:rsidR="00775D5D" w:rsidRPr="00775D5D">
        <w:rPr>
          <w:rFonts w:cs="Times New Roman"/>
        </w:rPr>
        <w:t>, 2010)</w:t>
      </w:r>
      <w:r w:rsidRPr="00775D5D">
        <w:rPr>
          <w:rFonts w:cs="Times New Roman"/>
        </w:rPr>
        <w:t>.</w:t>
      </w:r>
    </w:p>
    <w:p w14:paraId="0FF3D7CA" w14:textId="77777777" w:rsidR="00005262" w:rsidRPr="00775D5D" w:rsidRDefault="00005262" w:rsidP="00775D5D">
      <w:pPr>
        <w:spacing w:line="360" w:lineRule="auto"/>
        <w:rPr>
          <w:rFonts w:cs="Times New Roman"/>
        </w:rPr>
      </w:pPr>
      <w:r w:rsidRPr="00775D5D">
        <w:rPr>
          <w:rFonts w:cs="Times New Roman"/>
        </w:rPr>
        <w:br w:type="page"/>
      </w:r>
    </w:p>
    <w:p w14:paraId="529468B5" w14:textId="69201C8A" w:rsidR="00005262" w:rsidRPr="00775D5D" w:rsidRDefault="00005262" w:rsidP="00775D5D">
      <w:pPr>
        <w:pStyle w:val="Heading1"/>
        <w:rPr>
          <w:rFonts w:cs="Times New Roman"/>
        </w:rPr>
      </w:pPr>
      <w:bookmarkStart w:id="5" w:name="_Toc197007597"/>
      <w:r w:rsidRPr="00775D5D">
        <w:rPr>
          <w:rFonts w:cs="Times New Roman"/>
        </w:rPr>
        <w:lastRenderedPageBreak/>
        <w:t>Conclusion</w:t>
      </w:r>
      <w:bookmarkEnd w:id="5"/>
    </w:p>
    <w:p w14:paraId="09920958" w14:textId="191AC189" w:rsidR="008E409A" w:rsidRPr="00775D5D" w:rsidRDefault="00005262" w:rsidP="00775D5D">
      <w:pPr>
        <w:spacing w:line="360" w:lineRule="auto"/>
        <w:rPr>
          <w:rFonts w:cs="Times New Roman"/>
        </w:rPr>
      </w:pPr>
      <w:r w:rsidRPr="00775D5D">
        <w:rPr>
          <w:rFonts w:cs="Times New Roman"/>
        </w:rPr>
        <w:t>The establishment of lifelong health during early childhood depends heavily on intervention effectiveness and equity because the United Kingdom experiences ongoing health disparities. Well-funded early year’s programs achieve major advantages in nutrition, physical activities, and emotional well-being, specifically among disadvantaged communities, when they provide integrative systems combined with accessibility. Early year programs face challenges from fundamental infrastructure problems, including service separation and budget reductions, and social discrimination, which make it harder for them to help disadvantaged areas. The delivery of the best start in life for every child requires continuous financial support together with joint public and private sector efforts and purposeful assistance programs. In-depth strategic approaches that provide broad inclusivity will create the necessary reduction of health inequalities and generate lasting positive results for every child.</w:t>
      </w:r>
    </w:p>
    <w:p w14:paraId="6243C187" w14:textId="5C643986" w:rsidR="00775D5D" w:rsidRPr="00775D5D" w:rsidRDefault="00775D5D" w:rsidP="00775D5D">
      <w:pPr>
        <w:spacing w:line="360" w:lineRule="auto"/>
        <w:rPr>
          <w:rFonts w:cs="Times New Roman"/>
        </w:rPr>
      </w:pPr>
      <w:r w:rsidRPr="00775D5D">
        <w:rPr>
          <w:rFonts w:cs="Times New Roman"/>
        </w:rPr>
        <w:br w:type="page"/>
      </w:r>
    </w:p>
    <w:p w14:paraId="1973C12C" w14:textId="77777777" w:rsidR="00775D5D" w:rsidRPr="00775D5D" w:rsidRDefault="00775D5D" w:rsidP="00775D5D">
      <w:pPr>
        <w:pStyle w:val="Heading1"/>
        <w:rPr>
          <w:rFonts w:cs="Times New Roman"/>
        </w:rPr>
      </w:pPr>
      <w:bookmarkStart w:id="6" w:name="_Toc197007598"/>
      <w:r w:rsidRPr="00775D5D">
        <w:rPr>
          <w:rFonts w:cs="Times New Roman"/>
        </w:rPr>
        <w:lastRenderedPageBreak/>
        <w:t>Reference List</w:t>
      </w:r>
      <w:bookmarkEnd w:id="6"/>
    </w:p>
    <w:p w14:paraId="405FD47E" w14:textId="092122C1" w:rsidR="00775D5D" w:rsidRPr="00775D5D" w:rsidRDefault="00775D5D" w:rsidP="00775D5D">
      <w:pPr>
        <w:spacing w:line="360" w:lineRule="auto"/>
        <w:rPr>
          <w:rFonts w:cs="Times New Roman"/>
        </w:rPr>
      </w:pPr>
      <w:r w:rsidRPr="00775D5D">
        <w:rPr>
          <w:rFonts w:cs="Times New Roman"/>
        </w:rPr>
        <w:t>Asmussen, K. and Brims, L. (2018) “What works to enhance the effectiveness of the healthy child programme: An evidence update,” </w:t>
      </w:r>
      <w:r w:rsidRPr="00775D5D">
        <w:rPr>
          <w:rFonts w:cs="Times New Roman"/>
          <w:i/>
          <w:iCs/>
        </w:rPr>
        <w:t>Early Intervention Foundation</w:t>
      </w:r>
      <w:r w:rsidRPr="00775D5D">
        <w:rPr>
          <w:rFonts w:cs="Times New Roman"/>
        </w:rPr>
        <w:t>, pp. 1–130.</w:t>
      </w:r>
    </w:p>
    <w:p w14:paraId="24200556" w14:textId="5E7D548A" w:rsidR="00775D5D" w:rsidRPr="00775D5D" w:rsidRDefault="00775D5D" w:rsidP="00775D5D">
      <w:pPr>
        <w:spacing w:line="360" w:lineRule="auto"/>
        <w:rPr>
          <w:rFonts w:cs="Times New Roman"/>
        </w:rPr>
      </w:pPr>
      <w:r w:rsidRPr="00775D5D">
        <w:rPr>
          <w:rFonts w:cs="Times New Roman"/>
        </w:rPr>
        <w:t>Ben-Shlomo, Y. and Kuh, D. (2022) “A life course approach to chronic disease epidemiology: conceptual models, empirical challenges and interdisciplinary perspectives,” </w:t>
      </w:r>
      <w:r w:rsidRPr="00775D5D">
        <w:rPr>
          <w:rFonts w:cs="Times New Roman"/>
          <w:i/>
          <w:iCs/>
        </w:rPr>
        <w:t>International journal of epidemiology</w:t>
      </w:r>
      <w:r w:rsidRPr="00775D5D">
        <w:rPr>
          <w:rFonts w:cs="Times New Roman"/>
        </w:rPr>
        <w:t xml:space="preserve">, 31(2), pp. 285–293. Available at: </w:t>
      </w:r>
      <w:hyperlink r:id="rId7" w:history="1">
        <w:r w:rsidRPr="00775D5D">
          <w:rPr>
            <w:rStyle w:val="Hyperlink"/>
            <w:rFonts w:cs="Times New Roman"/>
          </w:rPr>
          <w:t>https://doi.org/10.1093/intjepid/31.2.285</w:t>
        </w:r>
      </w:hyperlink>
      <w:r w:rsidRPr="00775D5D">
        <w:rPr>
          <w:rFonts w:cs="Times New Roman"/>
        </w:rPr>
        <w:t xml:space="preserve">. </w:t>
      </w:r>
    </w:p>
    <w:p w14:paraId="7DDFD4BE" w14:textId="5A68E836" w:rsidR="00775D5D" w:rsidRPr="00775D5D" w:rsidRDefault="00775D5D" w:rsidP="00775D5D">
      <w:pPr>
        <w:spacing w:line="360" w:lineRule="auto"/>
        <w:rPr>
          <w:rFonts w:cs="Times New Roman"/>
        </w:rPr>
      </w:pPr>
      <w:r w:rsidRPr="00775D5D">
        <w:rPr>
          <w:rFonts w:cs="Times New Roman"/>
        </w:rPr>
        <w:t>Brown, V. </w:t>
      </w:r>
      <w:r w:rsidRPr="00775D5D">
        <w:rPr>
          <w:rFonts w:cs="Times New Roman"/>
          <w:i/>
          <w:iCs/>
        </w:rPr>
        <w:t>et al.</w:t>
      </w:r>
      <w:r w:rsidRPr="00775D5D">
        <w:rPr>
          <w:rFonts w:cs="Times New Roman"/>
        </w:rPr>
        <w:t> (2019) “The potential for long-term cost-effectiveness of obesity prevention interventions in the early years of life,” </w:t>
      </w:r>
      <w:proofErr w:type="spellStart"/>
      <w:r w:rsidRPr="00775D5D">
        <w:rPr>
          <w:rFonts w:cs="Times New Roman"/>
          <w:i/>
          <w:iCs/>
        </w:rPr>
        <w:t>Pediatric</w:t>
      </w:r>
      <w:proofErr w:type="spellEnd"/>
      <w:r w:rsidRPr="00775D5D">
        <w:rPr>
          <w:rFonts w:cs="Times New Roman"/>
          <w:i/>
          <w:iCs/>
        </w:rPr>
        <w:t xml:space="preserve"> obesity</w:t>
      </w:r>
      <w:r w:rsidRPr="00775D5D">
        <w:rPr>
          <w:rFonts w:cs="Times New Roman"/>
        </w:rPr>
        <w:t xml:space="preserve">, 14(8), p. e12517. Available at: </w:t>
      </w:r>
      <w:hyperlink r:id="rId8" w:history="1">
        <w:r w:rsidRPr="00775D5D">
          <w:rPr>
            <w:rStyle w:val="Hyperlink"/>
            <w:rFonts w:cs="Times New Roman"/>
          </w:rPr>
          <w:t>https://doi.org/10.1111/ijpo.12517</w:t>
        </w:r>
      </w:hyperlink>
      <w:r w:rsidRPr="00775D5D">
        <w:rPr>
          <w:rFonts w:cs="Times New Roman"/>
        </w:rPr>
        <w:t xml:space="preserve">. </w:t>
      </w:r>
    </w:p>
    <w:p w14:paraId="5FF3BC1C" w14:textId="47A7B6D8" w:rsidR="00775D5D" w:rsidRPr="00775D5D" w:rsidRDefault="00775D5D" w:rsidP="00775D5D">
      <w:pPr>
        <w:spacing w:line="360" w:lineRule="auto"/>
        <w:rPr>
          <w:rFonts w:cs="Times New Roman"/>
        </w:rPr>
      </w:pPr>
      <w:r w:rsidRPr="00775D5D">
        <w:rPr>
          <w:rFonts w:cs="Times New Roman"/>
        </w:rPr>
        <w:t>Cattan, S. </w:t>
      </w:r>
      <w:r w:rsidRPr="00775D5D">
        <w:rPr>
          <w:rFonts w:cs="Times New Roman"/>
          <w:i/>
          <w:iCs/>
        </w:rPr>
        <w:t>et al.</w:t>
      </w:r>
      <w:r w:rsidRPr="00775D5D">
        <w:rPr>
          <w:rFonts w:cs="Times New Roman"/>
        </w:rPr>
        <w:t> (2024) “Early childhood inequalities,” </w:t>
      </w:r>
      <w:r w:rsidRPr="00775D5D">
        <w:rPr>
          <w:rFonts w:cs="Times New Roman"/>
          <w:i/>
          <w:iCs/>
        </w:rPr>
        <w:t>Oxford Open Economics</w:t>
      </w:r>
      <w:r w:rsidRPr="00775D5D">
        <w:rPr>
          <w:rFonts w:cs="Times New Roman"/>
        </w:rPr>
        <w:t xml:space="preserve">, 3(Supplement_1), pp. i711–i740. Available at: </w:t>
      </w:r>
      <w:hyperlink r:id="rId9" w:history="1">
        <w:r w:rsidRPr="00775D5D">
          <w:rPr>
            <w:rStyle w:val="Hyperlink"/>
            <w:rFonts w:cs="Times New Roman"/>
          </w:rPr>
          <w:t>https://doi.org/10.1093/ooec/odad072</w:t>
        </w:r>
      </w:hyperlink>
      <w:r w:rsidRPr="00775D5D">
        <w:rPr>
          <w:rFonts w:cs="Times New Roman"/>
        </w:rPr>
        <w:t xml:space="preserve">. </w:t>
      </w:r>
    </w:p>
    <w:p w14:paraId="083EEE14" w14:textId="69A58CC3" w:rsidR="00775D5D" w:rsidRPr="00775D5D" w:rsidRDefault="00775D5D" w:rsidP="00775D5D">
      <w:pPr>
        <w:spacing w:line="360" w:lineRule="auto"/>
        <w:rPr>
          <w:rFonts w:cs="Times New Roman"/>
        </w:rPr>
      </w:pPr>
      <w:r w:rsidRPr="00775D5D">
        <w:rPr>
          <w:rFonts w:cs="Times New Roman"/>
        </w:rPr>
        <w:t>Daro, D., Dodge, K.A. and Haskins, R. (2019) “Universal approaches to promoting healthy development: Introducing the issue,” </w:t>
      </w:r>
      <w:r w:rsidRPr="00775D5D">
        <w:rPr>
          <w:rFonts w:cs="Times New Roman"/>
          <w:i/>
          <w:iCs/>
        </w:rPr>
        <w:t>The Future of children</w:t>
      </w:r>
      <w:r w:rsidRPr="00775D5D">
        <w:rPr>
          <w:rFonts w:cs="Times New Roman"/>
        </w:rPr>
        <w:t xml:space="preserve">, 29(1), pp. 3–16. Available at: </w:t>
      </w:r>
      <w:hyperlink r:id="rId10" w:history="1">
        <w:r w:rsidRPr="00775D5D">
          <w:rPr>
            <w:rStyle w:val="Hyperlink"/>
            <w:rFonts w:cs="Times New Roman"/>
          </w:rPr>
          <w:t>https://doi.org/10.1353/foc.2019.0001</w:t>
        </w:r>
      </w:hyperlink>
      <w:r w:rsidRPr="00775D5D">
        <w:rPr>
          <w:rFonts w:cs="Times New Roman"/>
        </w:rPr>
        <w:t xml:space="preserve">. </w:t>
      </w:r>
    </w:p>
    <w:p w14:paraId="469B64DB" w14:textId="55896401" w:rsidR="00775D5D" w:rsidRPr="00775D5D" w:rsidRDefault="00775D5D" w:rsidP="00775D5D">
      <w:pPr>
        <w:spacing w:line="360" w:lineRule="auto"/>
        <w:rPr>
          <w:rFonts w:cs="Times New Roman"/>
        </w:rPr>
      </w:pPr>
      <w:r w:rsidRPr="00775D5D">
        <w:rPr>
          <w:rFonts w:cs="Times New Roman"/>
        </w:rPr>
        <w:t>Ferrucci, L. </w:t>
      </w:r>
      <w:r w:rsidRPr="00775D5D">
        <w:rPr>
          <w:rFonts w:cs="Times New Roman"/>
          <w:i/>
          <w:iCs/>
        </w:rPr>
        <w:t>et al.</w:t>
      </w:r>
      <w:r w:rsidRPr="00775D5D">
        <w:rPr>
          <w:rFonts w:cs="Times New Roman"/>
        </w:rPr>
        <w:t xml:space="preserve"> (2022) “Age-related change in mobility: Perspectives from life course epidemiology and </w:t>
      </w:r>
      <w:proofErr w:type="spellStart"/>
      <w:r w:rsidRPr="00775D5D">
        <w:rPr>
          <w:rFonts w:cs="Times New Roman"/>
        </w:rPr>
        <w:t>geroscience</w:t>
      </w:r>
      <w:proofErr w:type="spellEnd"/>
      <w:r w:rsidRPr="00775D5D">
        <w:rPr>
          <w:rFonts w:cs="Times New Roman"/>
        </w:rPr>
        <w:t>,” </w:t>
      </w:r>
      <w:r w:rsidRPr="00775D5D">
        <w:rPr>
          <w:rFonts w:cs="Times New Roman"/>
          <w:i/>
          <w:iCs/>
        </w:rPr>
        <w:t>The journals of gerontology. Series A, Biological sciences and medical sciences</w:t>
      </w:r>
      <w:r w:rsidRPr="00775D5D">
        <w:rPr>
          <w:rFonts w:cs="Times New Roman"/>
        </w:rPr>
        <w:t xml:space="preserve">, 71(9), pp. 1184–1194. Available at: </w:t>
      </w:r>
      <w:hyperlink r:id="rId11" w:history="1">
        <w:r w:rsidRPr="00775D5D">
          <w:rPr>
            <w:rStyle w:val="Hyperlink"/>
            <w:rFonts w:cs="Times New Roman"/>
          </w:rPr>
          <w:t>https://doi.org/10.1093/gerona/glw043</w:t>
        </w:r>
      </w:hyperlink>
      <w:r w:rsidRPr="00775D5D">
        <w:rPr>
          <w:rFonts w:cs="Times New Roman"/>
        </w:rPr>
        <w:t xml:space="preserve">. </w:t>
      </w:r>
    </w:p>
    <w:p w14:paraId="2E3207BC" w14:textId="77777777" w:rsidR="00775D5D" w:rsidRPr="00775D5D" w:rsidRDefault="00775D5D" w:rsidP="00775D5D">
      <w:pPr>
        <w:spacing w:line="360" w:lineRule="auto"/>
        <w:rPr>
          <w:rFonts w:cs="Times New Roman"/>
        </w:rPr>
      </w:pPr>
      <w:r w:rsidRPr="00775D5D">
        <w:rPr>
          <w:rFonts w:cs="Times New Roman"/>
        </w:rPr>
        <w:t>Fitzsimons, E. </w:t>
      </w:r>
      <w:r w:rsidRPr="00775D5D">
        <w:rPr>
          <w:rFonts w:cs="Times New Roman"/>
          <w:i/>
          <w:iCs/>
        </w:rPr>
        <w:t>et al.</w:t>
      </w:r>
      <w:r w:rsidRPr="00775D5D">
        <w:rPr>
          <w:rFonts w:cs="Times New Roman"/>
        </w:rPr>
        <w:t> (2022) “How do early-life factors explain social inequalities in adolescent mental health? Findings from the UK Millennium Cohort Study,” </w:t>
      </w:r>
      <w:r w:rsidRPr="00775D5D">
        <w:rPr>
          <w:rFonts w:cs="Times New Roman"/>
          <w:i/>
          <w:iCs/>
        </w:rPr>
        <w:t>BMJ Open</w:t>
      </w:r>
      <w:r w:rsidRPr="00775D5D">
        <w:rPr>
          <w:rFonts w:cs="Times New Roman"/>
        </w:rPr>
        <w:t>, 7(1).</w:t>
      </w:r>
    </w:p>
    <w:p w14:paraId="08DB7C19" w14:textId="5201E81A" w:rsidR="00775D5D" w:rsidRPr="00775D5D" w:rsidRDefault="00775D5D" w:rsidP="00775D5D">
      <w:pPr>
        <w:spacing w:line="360" w:lineRule="auto"/>
        <w:rPr>
          <w:rFonts w:cs="Times New Roman"/>
        </w:rPr>
      </w:pPr>
      <w:r w:rsidRPr="00775D5D">
        <w:rPr>
          <w:rFonts w:cs="Times New Roman"/>
        </w:rPr>
        <w:t>Guralnick, M.J. (2018) “Effectiveness of early intervention for vulnerable children: A developmental perspective,” in </w:t>
      </w:r>
      <w:r w:rsidRPr="00775D5D">
        <w:rPr>
          <w:rFonts w:cs="Times New Roman"/>
          <w:i/>
          <w:iCs/>
        </w:rPr>
        <w:t>Early Intervention</w:t>
      </w:r>
      <w:r w:rsidRPr="00775D5D">
        <w:rPr>
          <w:rFonts w:cs="Times New Roman"/>
        </w:rPr>
        <w:t>. Oxford, UK: Blackwell Publishing Ltd, pp. 8–50.</w:t>
      </w:r>
    </w:p>
    <w:p w14:paraId="65B9B0AB" w14:textId="38550E12" w:rsidR="00775D5D" w:rsidRPr="00775D5D" w:rsidRDefault="00775D5D" w:rsidP="00775D5D">
      <w:pPr>
        <w:spacing w:line="360" w:lineRule="auto"/>
        <w:rPr>
          <w:rFonts w:cs="Times New Roman"/>
        </w:rPr>
      </w:pPr>
      <w:r w:rsidRPr="00775D5D">
        <w:rPr>
          <w:rFonts w:cs="Times New Roman"/>
        </w:rPr>
        <w:t>Health England, P. (2016) “National Diet and Nutrition Survey: Results from Years 9 to 11,” </w:t>
      </w:r>
      <w:r w:rsidRPr="00775D5D">
        <w:rPr>
          <w:rFonts w:cs="Times New Roman"/>
          <w:i/>
          <w:iCs/>
        </w:rPr>
        <w:t>National Diet and Nutrition Survey: Results from Years</w:t>
      </w:r>
      <w:r w:rsidRPr="00775D5D">
        <w:rPr>
          <w:rFonts w:cs="Times New Roman"/>
        </w:rPr>
        <w:t>, 9(11).</w:t>
      </w:r>
    </w:p>
    <w:p w14:paraId="773B2D3D" w14:textId="16D9B081" w:rsidR="00775D5D" w:rsidRPr="00775D5D" w:rsidRDefault="00775D5D" w:rsidP="00775D5D">
      <w:pPr>
        <w:spacing w:line="360" w:lineRule="auto"/>
        <w:rPr>
          <w:rFonts w:cs="Times New Roman"/>
        </w:rPr>
      </w:pPr>
      <w:r w:rsidRPr="00775D5D">
        <w:rPr>
          <w:rFonts w:cs="Times New Roman"/>
        </w:rPr>
        <w:t>Lee, A.R. </w:t>
      </w:r>
      <w:r w:rsidRPr="00775D5D">
        <w:rPr>
          <w:rFonts w:cs="Times New Roman"/>
          <w:i/>
          <w:iCs/>
        </w:rPr>
        <w:t>et al.</w:t>
      </w:r>
      <w:r w:rsidRPr="00775D5D">
        <w:rPr>
          <w:rFonts w:cs="Times New Roman"/>
        </w:rPr>
        <w:t> (2023) “Child poverty and health inequalities in the UK: a guide for paediatricians,” </w:t>
      </w:r>
      <w:r w:rsidRPr="00775D5D">
        <w:rPr>
          <w:rFonts w:cs="Times New Roman"/>
          <w:i/>
          <w:iCs/>
        </w:rPr>
        <w:t>Archives of disease in childhood</w:t>
      </w:r>
      <w:r w:rsidRPr="00775D5D">
        <w:rPr>
          <w:rFonts w:cs="Times New Roman"/>
        </w:rPr>
        <w:t xml:space="preserve">, 108(2), pp. 94–101. Available at: </w:t>
      </w:r>
      <w:hyperlink r:id="rId12" w:history="1">
        <w:r w:rsidRPr="00775D5D">
          <w:rPr>
            <w:rStyle w:val="Hyperlink"/>
            <w:rFonts w:cs="Times New Roman"/>
          </w:rPr>
          <w:t>https://doi.org/10.1136/archdischild-2021-323671</w:t>
        </w:r>
      </w:hyperlink>
      <w:r w:rsidRPr="00775D5D">
        <w:rPr>
          <w:rFonts w:cs="Times New Roman"/>
        </w:rPr>
        <w:t xml:space="preserve">. </w:t>
      </w:r>
    </w:p>
    <w:p w14:paraId="1ACE7A50" w14:textId="18A17652" w:rsidR="00775D5D" w:rsidRPr="00775D5D" w:rsidRDefault="00775D5D" w:rsidP="00775D5D">
      <w:pPr>
        <w:spacing w:line="360" w:lineRule="auto"/>
        <w:rPr>
          <w:rFonts w:cs="Times New Roman"/>
        </w:rPr>
      </w:pPr>
      <w:r w:rsidRPr="00775D5D">
        <w:rPr>
          <w:rFonts w:cs="Times New Roman"/>
        </w:rPr>
        <w:lastRenderedPageBreak/>
        <w:t>Marmot, M. </w:t>
      </w:r>
      <w:r w:rsidRPr="00775D5D">
        <w:rPr>
          <w:rFonts w:cs="Times New Roman"/>
          <w:i/>
          <w:iCs/>
        </w:rPr>
        <w:t>et al.</w:t>
      </w:r>
      <w:r w:rsidRPr="00775D5D">
        <w:rPr>
          <w:rFonts w:cs="Times New Roman"/>
        </w:rPr>
        <w:t> (2010) </w:t>
      </w:r>
      <w:r w:rsidRPr="00775D5D">
        <w:rPr>
          <w:rFonts w:cs="Times New Roman"/>
          <w:i/>
          <w:iCs/>
        </w:rPr>
        <w:t>Healthy Lives: The Marmot Review. London: The Marmot Review</w:t>
      </w:r>
      <w:r w:rsidRPr="00775D5D">
        <w:rPr>
          <w:rFonts w:cs="Times New Roman"/>
        </w:rPr>
        <w:t>. Fair Society.</w:t>
      </w:r>
    </w:p>
    <w:p w14:paraId="20FE8792" w14:textId="356902E9" w:rsidR="00775D5D" w:rsidRPr="00775D5D" w:rsidRDefault="00775D5D" w:rsidP="00775D5D">
      <w:pPr>
        <w:spacing w:line="360" w:lineRule="auto"/>
        <w:rPr>
          <w:rFonts w:cs="Times New Roman"/>
        </w:rPr>
      </w:pPr>
      <w:r w:rsidRPr="00775D5D">
        <w:rPr>
          <w:rFonts w:cs="Times New Roman"/>
        </w:rPr>
        <w:t>Melhuish, E., Gardiner, J. and Morris, S. (2015) </w:t>
      </w:r>
      <w:r w:rsidRPr="00775D5D">
        <w:rPr>
          <w:rFonts w:cs="Times New Roman"/>
          <w:i/>
          <w:iCs/>
        </w:rPr>
        <w:t>Impact study on early education use and child outcomes up to age 4. London: Department for Education</w:t>
      </w:r>
      <w:r w:rsidRPr="00775D5D">
        <w:rPr>
          <w:rFonts w:cs="Times New Roman"/>
        </w:rPr>
        <w:t>.</w:t>
      </w:r>
    </w:p>
    <w:p w14:paraId="280524C2" w14:textId="3879D83A" w:rsidR="00775D5D" w:rsidRPr="00775D5D" w:rsidRDefault="00775D5D" w:rsidP="00775D5D">
      <w:pPr>
        <w:spacing w:line="360" w:lineRule="auto"/>
        <w:rPr>
          <w:rFonts w:cs="Times New Roman"/>
        </w:rPr>
      </w:pPr>
      <w:r w:rsidRPr="00775D5D">
        <w:rPr>
          <w:rFonts w:cs="Times New Roman"/>
        </w:rPr>
        <w:t>Rougeaux, E. </w:t>
      </w:r>
      <w:r w:rsidRPr="00775D5D">
        <w:rPr>
          <w:rFonts w:cs="Times New Roman"/>
          <w:i/>
          <w:iCs/>
        </w:rPr>
        <w:t>et al.</w:t>
      </w:r>
      <w:r w:rsidRPr="00775D5D">
        <w:rPr>
          <w:rFonts w:cs="Times New Roman"/>
        </w:rPr>
        <w:t> (2023) “Have health inequalities changed during childhood in the New Labour generation? Findings from the UK Millennium Cohort Study,” </w:t>
      </w:r>
      <w:r w:rsidRPr="00775D5D">
        <w:rPr>
          <w:rFonts w:cs="Times New Roman"/>
          <w:i/>
          <w:iCs/>
        </w:rPr>
        <w:t>BMJ open</w:t>
      </w:r>
      <w:r w:rsidRPr="00775D5D">
        <w:rPr>
          <w:rFonts w:cs="Times New Roman"/>
        </w:rPr>
        <w:t xml:space="preserve">, 7(1), p. e012868. Available at: </w:t>
      </w:r>
      <w:hyperlink r:id="rId13" w:history="1">
        <w:r w:rsidRPr="00775D5D">
          <w:rPr>
            <w:rStyle w:val="Hyperlink"/>
            <w:rFonts w:cs="Times New Roman"/>
          </w:rPr>
          <w:t>https://doi.org/10.1136/bmjopen-2016-012868</w:t>
        </w:r>
      </w:hyperlink>
      <w:r w:rsidRPr="00775D5D">
        <w:rPr>
          <w:rFonts w:cs="Times New Roman"/>
        </w:rPr>
        <w:t xml:space="preserve">. </w:t>
      </w:r>
    </w:p>
    <w:p w14:paraId="4391D0C6" w14:textId="7BAB555F" w:rsidR="00775D5D" w:rsidRPr="00775D5D" w:rsidRDefault="00775D5D" w:rsidP="00775D5D">
      <w:pPr>
        <w:spacing w:line="360" w:lineRule="auto"/>
        <w:rPr>
          <w:rFonts w:cs="Times New Roman"/>
        </w:rPr>
      </w:pPr>
      <w:r w:rsidRPr="00775D5D">
        <w:rPr>
          <w:rFonts w:cs="Times New Roman"/>
        </w:rPr>
        <w:t>Sammons, P. </w:t>
      </w:r>
      <w:r w:rsidRPr="00775D5D">
        <w:rPr>
          <w:rFonts w:cs="Times New Roman"/>
          <w:i/>
          <w:iCs/>
        </w:rPr>
        <w:t>et al.</w:t>
      </w:r>
      <w:r w:rsidRPr="00775D5D">
        <w:rPr>
          <w:rFonts w:cs="Times New Roman"/>
        </w:rPr>
        <w:t> (2022) “Challenges facing interventions to promote equity in the early years: exploring the ‘impact’, legacy and lessons learned from a national evaluation of Children’s Centres in England,” </w:t>
      </w:r>
      <w:r w:rsidRPr="00775D5D">
        <w:rPr>
          <w:rFonts w:cs="Times New Roman"/>
          <w:i/>
          <w:iCs/>
        </w:rPr>
        <w:t>Oxford review of education</w:t>
      </w:r>
      <w:r w:rsidRPr="00775D5D">
        <w:rPr>
          <w:rFonts w:cs="Times New Roman"/>
        </w:rPr>
        <w:t xml:space="preserve">, pp. 1–22. Available at: </w:t>
      </w:r>
      <w:hyperlink r:id="rId14" w:history="1">
        <w:r w:rsidRPr="00775D5D">
          <w:rPr>
            <w:rStyle w:val="Hyperlink"/>
            <w:rFonts w:cs="Times New Roman"/>
          </w:rPr>
          <w:t>https://doi.org/10.1080/03054985.2022.2125371</w:t>
        </w:r>
      </w:hyperlink>
      <w:r w:rsidRPr="00775D5D">
        <w:rPr>
          <w:rFonts w:cs="Times New Roman"/>
        </w:rPr>
        <w:t xml:space="preserve">. </w:t>
      </w:r>
    </w:p>
    <w:p w14:paraId="2D4479CB" w14:textId="3AC4467B" w:rsidR="00775D5D" w:rsidRPr="00775D5D" w:rsidRDefault="00775D5D" w:rsidP="00775D5D">
      <w:pPr>
        <w:spacing w:line="360" w:lineRule="auto"/>
        <w:rPr>
          <w:rFonts w:cs="Times New Roman"/>
        </w:rPr>
      </w:pPr>
      <w:r w:rsidRPr="00775D5D">
        <w:rPr>
          <w:rFonts w:cs="Times New Roman"/>
        </w:rPr>
        <w:t>Simpson, D.A. </w:t>
      </w:r>
      <w:r w:rsidRPr="00775D5D">
        <w:rPr>
          <w:rFonts w:cs="Times New Roman"/>
          <w:i/>
          <w:iCs/>
        </w:rPr>
        <w:t>et al.</w:t>
      </w:r>
      <w:r w:rsidRPr="00775D5D">
        <w:rPr>
          <w:rFonts w:cs="Times New Roman"/>
        </w:rPr>
        <w:t> (2022) “Trends and inequalities in breastfeeding continuation from 1 to 6 weeks: findings from six population-based British cohorts, 1985-2010,” </w:t>
      </w:r>
      <w:r w:rsidRPr="00775D5D">
        <w:rPr>
          <w:rFonts w:cs="Times New Roman"/>
          <w:i/>
          <w:iCs/>
        </w:rPr>
        <w:t>European journal of clinical nutrition</w:t>
      </w:r>
      <w:r w:rsidRPr="00775D5D">
        <w:rPr>
          <w:rFonts w:cs="Times New Roman"/>
        </w:rPr>
        <w:t xml:space="preserve">, 76(5), pp. 671–679. Available at: </w:t>
      </w:r>
      <w:hyperlink r:id="rId15" w:history="1">
        <w:r w:rsidRPr="00775D5D">
          <w:rPr>
            <w:rStyle w:val="Hyperlink"/>
            <w:rFonts w:cs="Times New Roman"/>
          </w:rPr>
          <w:t>https://doi.org/10.1038/s41430-021-01031-z</w:t>
        </w:r>
      </w:hyperlink>
      <w:r w:rsidRPr="00775D5D">
        <w:rPr>
          <w:rFonts w:cs="Times New Roman"/>
        </w:rPr>
        <w:t xml:space="preserve">. </w:t>
      </w:r>
    </w:p>
    <w:p w14:paraId="4109CE04" w14:textId="4136CBE2" w:rsidR="00775D5D" w:rsidRPr="00775D5D" w:rsidRDefault="00775D5D" w:rsidP="00775D5D">
      <w:pPr>
        <w:spacing w:line="360" w:lineRule="auto"/>
        <w:rPr>
          <w:rFonts w:cs="Times New Roman"/>
        </w:rPr>
      </w:pPr>
      <w:r w:rsidRPr="00775D5D">
        <w:rPr>
          <w:rFonts w:cs="Times New Roman"/>
        </w:rPr>
        <w:t>Smith, M. (2022) </w:t>
      </w:r>
      <w:r w:rsidRPr="00775D5D">
        <w:rPr>
          <w:rFonts w:cs="Times New Roman"/>
          <w:i/>
          <w:iCs/>
        </w:rPr>
        <w:t>Early interventions with young children and their parents in the UK. Enhancing the Well-being of Children and Families through Effective Interventions: International evidence for practice</w:t>
      </w:r>
      <w:r w:rsidRPr="00775D5D">
        <w:rPr>
          <w:rFonts w:cs="Times New Roman"/>
        </w:rPr>
        <w:t>.</w:t>
      </w:r>
    </w:p>
    <w:p w14:paraId="6C4EA581" w14:textId="205A3F30" w:rsidR="00775D5D" w:rsidRPr="00775D5D" w:rsidRDefault="00775D5D" w:rsidP="00775D5D">
      <w:pPr>
        <w:spacing w:line="360" w:lineRule="auto"/>
        <w:rPr>
          <w:rFonts w:cs="Times New Roman"/>
        </w:rPr>
      </w:pPr>
      <w:r w:rsidRPr="00775D5D">
        <w:rPr>
          <w:rFonts w:cs="Times New Roman"/>
        </w:rPr>
        <w:t>Sylva, K. </w:t>
      </w:r>
      <w:r w:rsidRPr="00775D5D">
        <w:rPr>
          <w:rFonts w:cs="Times New Roman"/>
          <w:i/>
          <w:iCs/>
        </w:rPr>
        <w:t>et al.</w:t>
      </w:r>
      <w:r w:rsidRPr="00775D5D">
        <w:rPr>
          <w:rFonts w:cs="Times New Roman"/>
        </w:rPr>
        <w:t> (2010) </w:t>
      </w:r>
      <w:r w:rsidRPr="00775D5D">
        <w:rPr>
          <w:rFonts w:cs="Times New Roman"/>
          <w:i/>
          <w:iCs/>
        </w:rPr>
        <w:t>Early childhood matters: Evidence from the Effective Pre-school and Primary Education Project</w:t>
      </w:r>
      <w:r w:rsidRPr="00775D5D">
        <w:rPr>
          <w:rFonts w:cs="Times New Roman"/>
        </w:rPr>
        <w:t>. London: Routledge.</w:t>
      </w:r>
    </w:p>
    <w:p w14:paraId="203036A2" w14:textId="3E716C73" w:rsidR="00775D5D" w:rsidRPr="00775D5D" w:rsidRDefault="00775D5D" w:rsidP="00775D5D">
      <w:pPr>
        <w:spacing w:line="360" w:lineRule="auto"/>
        <w:rPr>
          <w:rFonts w:cs="Times New Roman"/>
        </w:rPr>
      </w:pPr>
      <w:r w:rsidRPr="00775D5D">
        <w:rPr>
          <w:rFonts w:cs="Times New Roman"/>
        </w:rPr>
        <w:t>UCL (2024) </w:t>
      </w:r>
      <w:r w:rsidRPr="00775D5D">
        <w:rPr>
          <w:rFonts w:cs="Times New Roman"/>
          <w:i/>
          <w:iCs/>
        </w:rPr>
        <w:t>Analysis: Child health is in crisis in the UK – here’s what needs to change</w:t>
      </w:r>
      <w:r w:rsidRPr="00775D5D">
        <w:rPr>
          <w:rFonts w:cs="Times New Roman"/>
        </w:rPr>
        <w:t>, </w:t>
      </w:r>
      <w:r w:rsidRPr="00775D5D">
        <w:rPr>
          <w:rFonts w:cs="Times New Roman"/>
          <w:i/>
          <w:iCs/>
        </w:rPr>
        <w:t>UCL News</w:t>
      </w:r>
      <w:r w:rsidRPr="00775D5D">
        <w:rPr>
          <w:rFonts w:cs="Times New Roman"/>
        </w:rPr>
        <w:t xml:space="preserve">. Available at: </w:t>
      </w:r>
      <w:hyperlink r:id="rId16" w:history="1">
        <w:r w:rsidRPr="00775D5D">
          <w:rPr>
            <w:rStyle w:val="Hyperlink"/>
            <w:rFonts w:cs="Times New Roman"/>
          </w:rPr>
          <w:t>https://www.ucl.ac.uk/news/2024/mar/analysis-child-health-crisis-uk-heres-what-needs-change</w:t>
        </w:r>
      </w:hyperlink>
      <w:r w:rsidRPr="00775D5D">
        <w:rPr>
          <w:rFonts w:cs="Times New Roman"/>
        </w:rPr>
        <w:t xml:space="preserve"> (Accessed: May 1, 2025).</w:t>
      </w:r>
    </w:p>
    <w:p w14:paraId="0BFFAF96" w14:textId="77777777" w:rsidR="00775D5D" w:rsidRPr="00775D5D" w:rsidRDefault="00775D5D" w:rsidP="00775D5D">
      <w:pPr>
        <w:spacing w:line="360" w:lineRule="auto"/>
        <w:rPr>
          <w:rFonts w:cs="Times New Roman"/>
        </w:rPr>
      </w:pPr>
    </w:p>
    <w:sectPr w:rsidR="00775D5D" w:rsidRPr="00775D5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8762B" w14:textId="77777777" w:rsidR="008924B7" w:rsidRDefault="008924B7" w:rsidP="00775D5D">
      <w:pPr>
        <w:spacing w:after="0" w:line="240" w:lineRule="auto"/>
      </w:pPr>
      <w:r>
        <w:separator/>
      </w:r>
    </w:p>
  </w:endnote>
  <w:endnote w:type="continuationSeparator" w:id="0">
    <w:p w14:paraId="0C299531" w14:textId="77777777" w:rsidR="008924B7" w:rsidRDefault="008924B7" w:rsidP="00775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0F01E" w14:textId="77777777" w:rsidR="008924B7" w:rsidRDefault="008924B7" w:rsidP="00775D5D">
      <w:pPr>
        <w:spacing w:after="0" w:line="240" w:lineRule="auto"/>
      </w:pPr>
      <w:r>
        <w:separator/>
      </w:r>
    </w:p>
  </w:footnote>
  <w:footnote w:type="continuationSeparator" w:id="0">
    <w:p w14:paraId="60F13226" w14:textId="77777777" w:rsidR="008924B7" w:rsidRDefault="008924B7" w:rsidP="00775D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1FE"/>
    <w:rsid w:val="00005262"/>
    <w:rsid w:val="00084B8C"/>
    <w:rsid w:val="000E123F"/>
    <w:rsid w:val="0017105A"/>
    <w:rsid w:val="001A2DDC"/>
    <w:rsid w:val="002111FE"/>
    <w:rsid w:val="00271C5B"/>
    <w:rsid w:val="0028672F"/>
    <w:rsid w:val="00330095"/>
    <w:rsid w:val="00376B6F"/>
    <w:rsid w:val="00521D81"/>
    <w:rsid w:val="005C562A"/>
    <w:rsid w:val="00602D4C"/>
    <w:rsid w:val="00765352"/>
    <w:rsid w:val="00775D5D"/>
    <w:rsid w:val="007A1146"/>
    <w:rsid w:val="007F27B3"/>
    <w:rsid w:val="0081760F"/>
    <w:rsid w:val="008177E6"/>
    <w:rsid w:val="0083132A"/>
    <w:rsid w:val="008924B7"/>
    <w:rsid w:val="008E409A"/>
    <w:rsid w:val="009B1151"/>
    <w:rsid w:val="009D0318"/>
    <w:rsid w:val="00AD1F80"/>
    <w:rsid w:val="00C06F83"/>
    <w:rsid w:val="00CB3026"/>
    <w:rsid w:val="00D3627D"/>
    <w:rsid w:val="00FB0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95A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F80"/>
    <w:pPr>
      <w:jc w:val="both"/>
    </w:pPr>
    <w:rPr>
      <w:rFonts w:ascii="Times New Roman" w:hAnsi="Times New Roman"/>
    </w:rPr>
  </w:style>
  <w:style w:type="paragraph" w:styleId="Heading1">
    <w:name w:val="heading 1"/>
    <w:basedOn w:val="Normal"/>
    <w:next w:val="Normal"/>
    <w:link w:val="Heading1Char"/>
    <w:autoRedefine/>
    <w:uiPriority w:val="9"/>
    <w:qFormat/>
    <w:rsid w:val="00AD1F80"/>
    <w:pPr>
      <w:keepNext/>
      <w:keepLines/>
      <w:spacing w:before="360" w:after="80" w:line="360" w:lineRule="auto"/>
      <w:outlineLvl w:val="0"/>
    </w:pPr>
    <w:rPr>
      <w:rFonts w:eastAsiaTheme="majorEastAsia" w:cstheme="majorBidi"/>
      <w:b/>
      <w:sz w:val="32"/>
      <w:szCs w:val="40"/>
    </w:rPr>
  </w:style>
  <w:style w:type="paragraph" w:styleId="Heading2">
    <w:name w:val="heading 2"/>
    <w:basedOn w:val="Normal"/>
    <w:next w:val="Normal"/>
    <w:link w:val="Heading2Char"/>
    <w:autoRedefine/>
    <w:uiPriority w:val="9"/>
    <w:semiHidden/>
    <w:unhideWhenUsed/>
    <w:qFormat/>
    <w:rsid w:val="00AD1F80"/>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autoRedefine/>
    <w:uiPriority w:val="9"/>
    <w:unhideWhenUsed/>
    <w:qFormat/>
    <w:rsid w:val="00AD1F8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111F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111F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111F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111F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111F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111F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80"/>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AD1F80"/>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AD1F80"/>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211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1FE"/>
    <w:rPr>
      <w:rFonts w:eastAsiaTheme="majorEastAsia" w:cstheme="majorBidi"/>
      <w:color w:val="272727" w:themeColor="text1" w:themeTint="D8"/>
    </w:rPr>
  </w:style>
  <w:style w:type="paragraph" w:styleId="Title">
    <w:name w:val="Title"/>
    <w:basedOn w:val="Normal"/>
    <w:next w:val="Normal"/>
    <w:link w:val="TitleChar"/>
    <w:uiPriority w:val="10"/>
    <w:qFormat/>
    <w:rsid w:val="00211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1F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1FE"/>
    <w:pPr>
      <w:spacing w:before="160"/>
      <w:jc w:val="center"/>
    </w:pPr>
    <w:rPr>
      <w:i/>
      <w:iCs/>
      <w:color w:val="404040" w:themeColor="text1" w:themeTint="BF"/>
    </w:rPr>
  </w:style>
  <w:style w:type="character" w:customStyle="1" w:styleId="QuoteChar">
    <w:name w:val="Quote Char"/>
    <w:basedOn w:val="DefaultParagraphFont"/>
    <w:link w:val="Quote"/>
    <w:uiPriority w:val="29"/>
    <w:rsid w:val="002111FE"/>
    <w:rPr>
      <w:rFonts w:ascii="Times New Roman" w:hAnsi="Times New Roman"/>
      <w:i/>
      <w:iCs/>
      <w:color w:val="404040" w:themeColor="text1" w:themeTint="BF"/>
    </w:rPr>
  </w:style>
  <w:style w:type="paragraph" w:styleId="ListParagraph">
    <w:name w:val="List Paragraph"/>
    <w:basedOn w:val="Normal"/>
    <w:uiPriority w:val="34"/>
    <w:qFormat/>
    <w:rsid w:val="002111FE"/>
    <w:pPr>
      <w:ind w:left="720"/>
      <w:contextualSpacing/>
    </w:pPr>
  </w:style>
  <w:style w:type="character" w:styleId="IntenseEmphasis">
    <w:name w:val="Intense Emphasis"/>
    <w:basedOn w:val="DefaultParagraphFont"/>
    <w:uiPriority w:val="21"/>
    <w:qFormat/>
    <w:rsid w:val="002111FE"/>
    <w:rPr>
      <w:i/>
      <w:iCs/>
      <w:color w:val="0F4761" w:themeColor="accent1" w:themeShade="BF"/>
    </w:rPr>
  </w:style>
  <w:style w:type="paragraph" w:styleId="IntenseQuote">
    <w:name w:val="Intense Quote"/>
    <w:basedOn w:val="Normal"/>
    <w:next w:val="Normal"/>
    <w:link w:val="IntenseQuoteChar"/>
    <w:uiPriority w:val="30"/>
    <w:qFormat/>
    <w:rsid w:val="00211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1FE"/>
    <w:rPr>
      <w:rFonts w:ascii="Times New Roman" w:hAnsi="Times New Roman"/>
      <w:i/>
      <w:iCs/>
      <w:color w:val="0F4761" w:themeColor="accent1" w:themeShade="BF"/>
    </w:rPr>
  </w:style>
  <w:style w:type="character" w:styleId="IntenseReference">
    <w:name w:val="Intense Reference"/>
    <w:basedOn w:val="DefaultParagraphFont"/>
    <w:uiPriority w:val="32"/>
    <w:qFormat/>
    <w:rsid w:val="002111FE"/>
    <w:rPr>
      <w:b/>
      <w:bCs/>
      <w:smallCaps/>
      <w:color w:val="0F4761" w:themeColor="accent1" w:themeShade="BF"/>
      <w:spacing w:val="5"/>
    </w:rPr>
  </w:style>
  <w:style w:type="character" w:styleId="Hyperlink">
    <w:name w:val="Hyperlink"/>
    <w:basedOn w:val="DefaultParagraphFont"/>
    <w:uiPriority w:val="99"/>
    <w:unhideWhenUsed/>
    <w:rsid w:val="00271C5B"/>
    <w:rPr>
      <w:color w:val="467886" w:themeColor="hyperlink"/>
      <w:u w:val="single"/>
    </w:rPr>
  </w:style>
  <w:style w:type="character" w:styleId="UnresolvedMention">
    <w:name w:val="Unresolved Mention"/>
    <w:basedOn w:val="DefaultParagraphFont"/>
    <w:uiPriority w:val="99"/>
    <w:semiHidden/>
    <w:unhideWhenUsed/>
    <w:rsid w:val="00271C5B"/>
    <w:rPr>
      <w:color w:val="605E5C"/>
      <w:shd w:val="clear" w:color="auto" w:fill="E1DFDD"/>
    </w:rPr>
  </w:style>
  <w:style w:type="paragraph" w:styleId="TOCHeading">
    <w:name w:val="TOC Heading"/>
    <w:basedOn w:val="Heading1"/>
    <w:next w:val="Normal"/>
    <w:uiPriority w:val="39"/>
    <w:unhideWhenUsed/>
    <w:qFormat/>
    <w:rsid w:val="00775D5D"/>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775D5D"/>
    <w:pPr>
      <w:spacing w:after="100"/>
    </w:pPr>
  </w:style>
  <w:style w:type="paragraph" w:styleId="Header">
    <w:name w:val="header"/>
    <w:basedOn w:val="Normal"/>
    <w:link w:val="HeaderChar"/>
    <w:uiPriority w:val="99"/>
    <w:unhideWhenUsed/>
    <w:rsid w:val="00775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D5D"/>
    <w:rPr>
      <w:rFonts w:ascii="Times New Roman" w:hAnsi="Times New Roman"/>
    </w:rPr>
  </w:style>
  <w:style w:type="paragraph" w:styleId="Footer">
    <w:name w:val="footer"/>
    <w:basedOn w:val="Normal"/>
    <w:link w:val="FooterChar"/>
    <w:uiPriority w:val="99"/>
    <w:unhideWhenUsed/>
    <w:rsid w:val="00775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D5D"/>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56678">
      <w:bodyDiv w:val="1"/>
      <w:marLeft w:val="0"/>
      <w:marRight w:val="0"/>
      <w:marTop w:val="0"/>
      <w:marBottom w:val="0"/>
      <w:divBdr>
        <w:top w:val="none" w:sz="0" w:space="0" w:color="auto"/>
        <w:left w:val="none" w:sz="0" w:space="0" w:color="auto"/>
        <w:bottom w:val="none" w:sz="0" w:space="0" w:color="auto"/>
        <w:right w:val="none" w:sz="0" w:space="0" w:color="auto"/>
      </w:divBdr>
      <w:divsChild>
        <w:div w:id="1714885247">
          <w:marLeft w:val="0"/>
          <w:marRight w:val="0"/>
          <w:marTop w:val="0"/>
          <w:marBottom w:val="0"/>
          <w:divBdr>
            <w:top w:val="none" w:sz="0" w:space="0" w:color="auto"/>
            <w:left w:val="none" w:sz="0" w:space="0" w:color="auto"/>
            <w:bottom w:val="none" w:sz="0" w:space="0" w:color="auto"/>
            <w:right w:val="none" w:sz="0" w:space="0" w:color="auto"/>
          </w:divBdr>
          <w:divsChild>
            <w:div w:id="276839888">
              <w:marLeft w:val="0"/>
              <w:marRight w:val="0"/>
              <w:marTop w:val="0"/>
              <w:marBottom w:val="0"/>
              <w:divBdr>
                <w:top w:val="none" w:sz="0" w:space="0" w:color="auto"/>
                <w:left w:val="none" w:sz="0" w:space="0" w:color="auto"/>
                <w:bottom w:val="none" w:sz="0" w:space="0" w:color="auto"/>
                <w:right w:val="none" w:sz="0" w:space="0" w:color="auto"/>
              </w:divBdr>
            </w:div>
            <w:div w:id="1820612380">
              <w:marLeft w:val="0"/>
              <w:marRight w:val="0"/>
              <w:marTop w:val="0"/>
              <w:marBottom w:val="0"/>
              <w:divBdr>
                <w:top w:val="none" w:sz="0" w:space="0" w:color="auto"/>
                <w:left w:val="none" w:sz="0" w:space="0" w:color="auto"/>
                <w:bottom w:val="none" w:sz="0" w:space="0" w:color="auto"/>
                <w:right w:val="none" w:sz="0" w:space="0" w:color="auto"/>
              </w:divBdr>
            </w:div>
            <w:div w:id="1782601681">
              <w:marLeft w:val="0"/>
              <w:marRight w:val="0"/>
              <w:marTop w:val="0"/>
              <w:marBottom w:val="0"/>
              <w:divBdr>
                <w:top w:val="none" w:sz="0" w:space="0" w:color="auto"/>
                <w:left w:val="none" w:sz="0" w:space="0" w:color="auto"/>
                <w:bottom w:val="none" w:sz="0" w:space="0" w:color="auto"/>
                <w:right w:val="none" w:sz="0" w:space="0" w:color="auto"/>
              </w:divBdr>
            </w:div>
            <w:div w:id="277572059">
              <w:marLeft w:val="0"/>
              <w:marRight w:val="0"/>
              <w:marTop w:val="0"/>
              <w:marBottom w:val="0"/>
              <w:divBdr>
                <w:top w:val="none" w:sz="0" w:space="0" w:color="auto"/>
                <w:left w:val="none" w:sz="0" w:space="0" w:color="auto"/>
                <w:bottom w:val="none" w:sz="0" w:space="0" w:color="auto"/>
                <w:right w:val="none" w:sz="0" w:space="0" w:color="auto"/>
              </w:divBdr>
            </w:div>
            <w:div w:id="521675253">
              <w:marLeft w:val="0"/>
              <w:marRight w:val="0"/>
              <w:marTop w:val="0"/>
              <w:marBottom w:val="0"/>
              <w:divBdr>
                <w:top w:val="none" w:sz="0" w:space="0" w:color="auto"/>
                <w:left w:val="none" w:sz="0" w:space="0" w:color="auto"/>
                <w:bottom w:val="none" w:sz="0" w:space="0" w:color="auto"/>
                <w:right w:val="none" w:sz="0" w:space="0" w:color="auto"/>
              </w:divBdr>
            </w:div>
            <w:div w:id="1348171609">
              <w:marLeft w:val="0"/>
              <w:marRight w:val="0"/>
              <w:marTop w:val="0"/>
              <w:marBottom w:val="0"/>
              <w:divBdr>
                <w:top w:val="none" w:sz="0" w:space="0" w:color="auto"/>
                <w:left w:val="none" w:sz="0" w:space="0" w:color="auto"/>
                <w:bottom w:val="none" w:sz="0" w:space="0" w:color="auto"/>
                <w:right w:val="none" w:sz="0" w:space="0" w:color="auto"/>
              </w:divBdr>
            </w:div>
            <w:div w:id="906184663">
              <w:marLeft w:val="0"/>
              <w:marRight w:val="0"/>
              <w:marTop w:val="0"/>
              <w:marBottom w:val="0"/>
              <w:divBdr>
                <w:top w:val="none" w:sz="0" w:space="0" w:color="auto"/>
                <w:left w:val="none" w:sz="0" w:space="0" w:color="auto"/>
                <w:bottom w:val="none" w:sz="0" w:space="0" w:color="auto"/>
                <w:right w:val="none" w:sz="0" w:space="0" w:color="auto"/>
              </w:divBdr>
            </w:div>
            <w:div w:id="369840159">
              <w:marLeft w:val="0"/>
              <w:marRight w:val="0"/>
              <w:marTop w:val="0"/>
              <w:marBottom w:val="0"/>
              <w:divBdr>
                <w:top w:val="none" w:sz="0" w:space="0" w:color="auto"/>
                <w:left w:val="none" w:sz="0" w:space="0" w:color="auto"/>
                <w:bottom w:val="none" w:sz="0" w:space="0" w:color="auto"/>
                <w:right w:val="none" w:sz="0" w:space="0" w:color="auto"/>
              </w:divBdr>
            </w:div>
            <w:div w:id="1258557762">
              <w:marLeft w:val="0"/>
              <w:marRight w:val="0"/>
              <w:marTop w:val="0"/>
              <w:marBottom w:val="0"/>
              <w:divBdr>
                <w:top w:val="none" w:sz="0" w:space="0" w:color="auto"/>
                <w:left w:val="none" w:sz="0" w:space="0" w:color="auto"/>
                <w:bottom w:val="none" w:sz="0" w:space="0" w:color="auto"/>
                <w:right w:val="none" w:sz="0" w:space="0" w:color="auto"/>
              </w:divBdr>
            </w:div>
            <w:div w:id="480537069">
              <w:marLeft w:val="0"/>
              <w:marRight w:val="0"/>
              <w:marTop w:val="0"/>
              <w:marBottom w:val="0"/>
              <w:divBdr>
                <w:top w:val="none" w:sz="0" w:space="0" w:color="auto"/>
                <w:left w:val="none" w:sz="0" w:space="0" w:color="auto"/>
                <w:bottom w:val="none" w:sz="0" w:space="0" w:color="auto"/>
                <w:right w:val="none" w:sz="0" w:space="0" w:color="auto"/>
              </w:divBdr>
            </w:div>
            <w:div w:id="1301109098">
              <w:marLeft w:val="0"/>
              <w:marRight w:val="0"/>
              <w:marTop w:val="0"/>
              <w:marBottom w:val="0"/>
              <w:divBdr>
                <w:top w:val="none" w:sz="0" w:space="0" w:color="auto"/>
                <w:left w:val="none" w:sz="0" w:space="0" w:color="auto"/>
                <w:bottom w:val="none" w:sz="0" w:space="0" w:color="auto"/>
                <w:right w:val="none" w:sz="0" w:space="0" w:color="auto"/>
              </w:divBdr>
            </w:div>
            <w:div w:id="1314992049">
              <w:marLeft w:val="0"/>
              <w:marRight w:val="0"/>
              <w:marTop w:val="0"/>
              <w:marBottom w:val="0"/>
              <w:divBdr>
                <w:top w:val="none" w:sz="0" w:space="0" w:color="auto"/>
                <w:left w:val="none" w:sz="0" w:space="0" w:color="auto"/>
                <w:bottom w:val="none" w:sz="0" w:space="0" w:color="auto"/>
                <w:right w:val="none" w:sz="0" w:space="0" w:color="auto"/>
              </w:divBdr>
            </w:div>
            <w:div w:id="974985625">
              <w:marLeft w:val="0"/>
              <w:marRight w:val="0"/>
              <w:marTop w:val="0"/>
              <w:marBottom w:val="0"/>
              <w:divBdr>
                <w:top w:val="none" w:sz="0" w:space="0" w:color="auto"/>
                <w:left w:val="none" w:sz="0" w:space="0" w:color="auto"/>
                <w:bottom w:val="none" w:sz="0" w:space="0" w:color="auto"/>
                <w:right w:val="none" w:sz="0" w:space="0" w:color="auto"/>
              </w:divBdr>
            </w:div>
            <w:div w:id="332686588">
              <w:marLeft w:val="0"/>
              <w:marRight w:val="0"/>
              <w:marTop w:val="0"/>
              <w:marBottom w:val="0"/>
              <w:divBdr>
                <w:top w:val="none" w:sz="0" w:space="0" w:color="auto"/>
                <w:left w:val="none" w:sz="0" w:space="0" w:color="auto"/>
                <w:bottom w:val="none" w:sz="0" w:space="0" w:color="auto"/>
                <w:right w:val="none" w:sz="0" w:space="0" w:color="auto"/>
              </w:divBdr>
            </w:div>
            <w:div w:id="939023329">
              <w:marLeft w:val="0"/>
              <w:marRight w:val="0"/>
              <w:marTop w:val="0"/>
              <w:marBottom w:val="0"/>
              <w:divBdr>
                <w:top w:val="none" w:sz="0" w:space="0" w:color="auto"/>
                <w:left w:val="none" w:sz="0" w:space="0" w:color="auto"/>
                <w:bottom w:val="none" w:sz="0" w:space="0" w:color="auto"/>
                <w:right w:val="none" w:sz="0" w:space="0" w:color="auto"/>
              </w:divBdr>
            </w:div>
            <w:div w:id="1960068319">
              <w:marLeft w:val="0"/>
              <w:marRight w:val="0"/>
              <w:marTop w:val="0"/>
              <w:marBottom w:val="0"/>
              <w:divBdr>
                <w:top w:val="none" w:sz="0" w:space="0" w:color="auto"/>
                <w:left w:val="none" w:sz="0" w:space="0" w:color="auto"/>
                <w:bottom w:val="none" w:sz="0" w:space="0" w:color="auto"/>
                <w:right w:val="none" w:sz="0" w:space="0" w:color="auto"/>
              </w:divBdr>
            </w:div>
            <w:div w:id="118070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665690">
      <w:bodyDiv w:val="1"/>
      <w:marLeft w:val="0"/>
      <w:marRight w:val="0"/>
      <w:marTop w:val="0"/>
      <w:marBottom w:val="0"/>
      <w:divBdr>
        <w:top w:val="none" w:sz="0" w:space="0" w:color="auto"/>
        <w:left w:val="none" w:sz="0" w:space="0" w:color="auto"/>
        <w:bottom w:val="none" w:sz="0" w:space="0" w:color="auto"/>
        <w:right w:val="none" w:sz="0" w:space="0" w:color="auto"/>
      </w:divBdr>
    </w:div>
    <w:div w:id="563837402">
      <w:bodyDiv w:val="1"/>
      <w:marLeft w:val="0"/>
      <w:marRight w:val="0"/>
      <w:marTop w:val="0"/>
      <w:marBottom w:val="0"/>
      <w:divBdr>
        <w:top w:val="none" w:sz="0" w:space="0" w:color="auto"/>
        <w:left w:val="none" w:sz="0" w:space="0" w:color="auto"/>
        <w:bottom w:val="none" w:sz="0" w:space="0" w:color="auto"/>
        <w:right w:val="none" w:sz="0" w:space="0" w:color="auto"/>
      </w:divBdr>
      <w:divsChild>
        <w:div w:id="764423869">
          <w:marLeft w:val="0"/>
          <w:marRight w:val="0"/>
          <w:marTop w:val="0"/>
          <w:marBottom w:val="0"/>
          <w:divBdr>
            <w:top w:val="none" w:sz="0" w:space="0" w:color="auto"/>
            <w:left w:val="none" w:sz="0" w:space="0" w:color="auto"/>
            <w:bottom w:val="none" w:sz="0" w:space="0" w:color="auto"/>
            <w:right w:val="none" w:sz="0" w:space="0" w:color="auto"/>
          </w:divBdr>
          <w:divsChild>
            <w:div w:id="1602755873">
              <w:marLeft w:val="0"/>
              <w:marRight w:val="0"/>
              <w:marTop w:val="0"/>
              <w:marBottom w:val="0"/>
              <w:divBdr>
                <w:top w:val="none" w:sz="0" w:space="0" w:color="auto"/>
                <w:left w:val="none" w:sz="0" w:space="0" w:color="auto"/>
                <w:bottom w:val="none" w:sz="0" w:space="0" w:color="auto"/>
                <w:right w:val="none" w:sz="0" w:space="0" w:color="auto"/>
              </w:divBdr>
            </w:div>
            <w:div w:id="56711595">
              <w:marLeft w:val="0"/>
              <w:marRight w:val="0"/>
              <w:marTop w:val="0"/>
              <w:marBottom w:val="0"/>
              <w:divBdr>
                <w:top w:val="none" w:sz="0" w:space="0" w:color="auto"/>
                <w:left w:val="none" w:sz="0" w:space="0" w:color="auto"/>
                <w:bottom w:val="none" w:sz="0" w:space="0" w:color="auto"/>
                <w:right w:val="none" w:sz="0" w:space="0" w:color="auto"/>
              </w:divBdr>
            </w:div>
            <w:div w:id="239602144">
              <w:marLeft w:val="0"/>
              <w:marRight w:val="0"/>
              <w:marTop w:val="0"/>
              <w:marBottom w:val="0"/>
              <w:divBdr>
                <w:top w:val="none" w:sz="0" w:space="0" w:color="auto"/>
                <w:left w:val="none" w:sz="0" w:space="0" w:color="auto"/>
                <w:bottom w:val="none" w:sz="0" w:space="0" w:color="auto"/>
                <w:right w:val="none" w:sz="0" w:space="0" w:color="auto"/>
              </w:divBdr>
            </w:div>
            <w:div w:id="1716081452">
              <w:marLeft w:val="0"/>
              <w:marRight w:val="0"/>
              <w:marTop w:val="0"/>
              <w:marBottom w:val="0"/>
              <w:divBdr>
                <w:top w:val="none" w:sz="0" w:space="0" w:color="auto"/>
                <w:left w:val="none" w:sz="0" w:space="0" w:color="auto"/>
                <w:bottom w:val="none" w:sz="0" w:space="0" w:color="auto"/>
                <w:right w:val="none" w:sz="0" w:space="0" w:color="auto"/>
              </w:divBdr>
            </w:div>
            <w:div w:id="1307779090">
              <w:marLeft w:val="0"/>
              <w:marRight w:val="0"/>
              <w:marTop w:val="0"/>
              <w:marBottom w:val="0"/>
              <w:divBdr>
                <w:top w:val="none" w:sz="0" w:space="0" w:color="auto"/>
                <w:left w:val="none" w:sz="0" w:space="0" w:color="auto"/>
                <w:bottom w:val="none" w:sz="0" w:space="0" w:color="auto"/>
                <w:right w:val="none" w:sz="0" w:space="0" w:color="auto"/>
              </w:divBdr>
            </w:div>
            <w:div w:id="1966808706">
              <w:marLeft w:val="0"/>
              <w:marRight w:val="0"/>
              <w:marTop w:val="0"/>
              <w:marBottom w:val="0"/>
              <w:divBdr>
                <w:top w:val="none" w:sz="0" w:space="0" w:color="auto"/>
                <w:left w:val="none" w:sz="0" w:space="0" w:color="auto"/>
                <w:bottom w:val="none" w:sz="0" w:space="0" w:color="auto"/>
                <w:right w:val="none" w:sz="0" w:space="0" w:color="auto"/>
              </w:divBdr>
            </w:div>
            <w:div w:id="1605771030">
              <w:marLeft w:val="0"/>
              <w:marRight w:val="0"/>
              <w:marTop w:val="0"/>
              <w:marBottom w:val="0"/>
              <w:divBdr>
                <w:top w:val="none" w:sz="0" w:space="0" w:color="auto"/>
                <w:left w:val="none" w:sz="0" w:space="0" w:color="auto"/>
                <w:bottom w:val="none" w:sz="0" w:space="0" w:color="auto"/>
                <w:right w:val="none" w:sz="0" w:space="0" w:color="auto"/>
              </w:divBdr>
            </w:div>
            <w:div w:id="329480986">
              <w:marLeft w:val="0"/>
              <w:marRight w:val="0"/>
              <w:marTop w:val="0"/>
              <w:marBottom w:val="0"/>
              <w:divBdr>
                <w:top w:val="none" w:sz="0" w:space="0" w:color="auto"/>
                <w:left w:val="none" w:sz="0" w:space="0" w:color="auto"/>
                <w:bottom w:val="none" w:sz="0" w:space="0" w:color="auto"/>
                <w:right w:val="none" w:sz="0" w:space="0" w:color="auto"/>
              </w:divBdr>
            </w:div>
            <w:div w:id="1047486992">
              <w:marLeft w:val="0"/>
              <w:marRight w:val="0"/>
              <w:marTop w:val="0"/>
              <w:marBottom w:val="0"/>
              <w:divBdr>
                <w:top w:val="none" w:sz="0" w:space="0" w:color="auto"/>
                <w:left w:val="none" w:sz="0" w:space="0" w:color="auto"/>
                <w:bottom w:val="none" w:sz="0" w:space="0" w:color="auto"/>
                <w:right w:val="none" w:sz="0" w:space="0" w:color="auto"/>
              </w:divBdr>
            </w:div>
            <w:div w:id="306787684">
              <w:marLeft w:val="0"/>
              <w:marRight w:val="0"/>
              <w:marTop w:val="0"/>
              <w:marBottom w:val="0"/>
              <w:divBdr>
                <w:top w:val="none" w:sz="0" w:space="0" w:color="auto"/>
                <w:left w:val="none" w:sz="0" w:space="0" w:color="auto"/>
                <w:bottom w:val="none" w:sz="0" w:space="0" w:color="auto"/>
                <w:right w:val="none" w:sz="0" w:space="0" w:color="auto"/>
              </w:divBdr>
            </w:div>
            <w:div w:id="1702778541">
              <w:marLeft w:val="0"/>
              <w:marRight w:val="0"/>
              <w:marTop w:val="0"/>
              <w:marBottom w:val="0"/>
              <w:divBdr>
                <w:top w:val="none" w:sz="0" w:space="0" w:color="auto"/>
                <w:left w:val="none" w:sz="0" w:space="0" w:color="auto"/>
                <w:bottom w:val="none" w:sz="0" w:space="0" w:color="auto"/>
                <w:right w:val="none" w:sz="0" w:space="0" w:color="auto"/>
              </w:divBdr>
            </w:div>
            <w:div w:id="1323007021">
              <w:marLeft w:val="0"/>
              <w:marRight w:val="0"/>
              <w:marTop w:val="0"/>
              <w:marBottom w:val="0"/>
              <w:divBdr>
                <w:top w:val="none" w:sz="0" w:space="0" w:color="auto"/>
                <w:left w:val="none" w:sz="0" w:space="0" w:color="auto"/>
                <w:bottom w:val="none" w:sz="0" w:space="0" w:color="auto"/>
                <w:right w:val="none" w:sz="0" w:space="0" w:color="auto"/>
              </w:divBdr>
            </w:div>
            <w:div w:id="2145543710">
              <w:marLeft w:val="0"/>
              <w:marRight w:val="0"/>
              <w:marTop w:val="0"/>
              <w:marBottom w:val="0"/>
              <w:divBdr>
                <w:top w:val="none" w:sz="0" w:space="0" w:color="auto"/>
                <w:left w:val="none" w:sz="0" w:space="0" w:color="auto"/>
                <w:bottom w:val="none" w:sz="0" w:space="0" w:color="auto"/>
                <w:right w:val="none" w:sz="0" w:space="0" w:color="auto"/>
              </w:divBdr>
            </w:div>
            <w:div w:id="774786360">
              <w:marLeft w:val="0"/>
              <w:marRight w:val="0"/>
              <w:marTop w:val="0"/>
              <w:marBottom w:val="0"/>
              <w:divBdr>
                <w:top w:val="none" w:sz="0" w:space="0" w:color="auto"/>
                <w:left w:val="none" w:sz="0" w:space="0" w:color="auto"/>
                <w:bottom w:val="none" w:sz="0" w:space="0" w:color="auto"/>
                <w:right w:val="none" w:sz="0" w:space="0" w:color="auto"/>
              </w:divBdr>
            </w:div>
            <w:div w:id="2080974237">
              <w:marLeft w:val="0"/>
              <w:marRight w:val="0"/>
              <w:marTop w:val="0"/>
              <w:marBottom w:val="0"/>
              <w:divBdr>
                <w:top w:val="none" w:sz="0" w:space="0" w:color="auto"/>
                <w:left w:val="none" w:sz="0" w:space="0" w:color="auto"/>
                <w:bottom w:val="none" w:sz="0" w:space="0" w:color="auto"/>
                <w:right w:val="none" w:sz="0" w:space="0" w:color="auto"/>
              </w:divBdr>
            </w:div>
            <w:div w:id="35393002">
              <w:marLeft w:val="0"/>
              <w:marRight w:val="0"/>
              <w:marTop w:val="0"/>
              <w:marBottom w:val="0"/>
              <w:divBdr>
                <w:top w:val="none" w:sz="0" w:space="0" w:color="auto"/>
                <w:left w:val="none" w:sz="0" w:space="0" w:color="auto"/>
                <w:bottom w:val="none" w:sz="0" w:space="0" w:color="auto"/>
                <w:right w:val="none" w:sz="0" w:space="0" w:color="auto"/>
              </w:divBdr>
            </w:div>
            <w:div w:id="136559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656237">
      <w:bodyDiv w:val="1"/>
      <w:marLeft w:val="0"/>
      <w:marRight w:val="0"/>
      <w:marTop w:val="0"/>
      <w:marBottom w:val="0"/>
      <w:divBdr>
        <w:top w:val="none" w:sz="0" w:space="0" w:color="auto"/>
        <w:left w:val="none" w:sz="0" w:space="0" w:color="auto"/>
        <w:bottom w:val="none" w:sz="0" w:space="0" w:color="auto"/>
        <w:right w:val="none" w:sz="0" w:space="0" w:color="auto"/>
      </w:divBdr>
    </w:div>
    <w:div w:id="1020398396">
      <w:bodyDiv w:val="1"/>
      <w:marLeft w:val="0"/>
      <w:marRight w:val="0"/>
      <w:marTop w:val="0"/>
      <w:marBottom w:val="0"/>
      <w:divBdr>
        <w:top w:val="none" w:sz="0" w:space="0" w:color="auto"/>
        <w:left w:val="none" w:sz="0" w:space="0" w:color="auto"/>
        <w:bottom w:val="none" w:sz="0" w:space="0" w:color="auto"/>
        <w:right w:val="none" w:sz="0" w:space="0" w:color="auto"/>
      </w:divBdr>
    </w:div>
    <w:div w:id="1587298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ijpo.12517" TargetMode="External"/><Relationship Id="rId13" Type="http://schemas.openxmlformats.org/officeDocument/2006/relationships/hyperlink" Target="https://doi.org/10.1136/bmjopen-2016-01286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93/intjepid/31.2.285" TargetMode="External"/><Relationship Id="rId12" Type="http://schemas.openxmlformats.org/officeDocument/2006/relationships/hyperlink" Target="https://doi.org/10.1136/archdischild-2021-32367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cl.ac.uk/news/2024/mar/analysis-child-health-crisis-uk-heres-what-needs-chang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93/gerona/glw043" TargetMode="External"/><Relationship Id="rId5" Type="http://schemas.openxmlformats.org/officeDocument/2006/relationships/footnotes" Target="footnotes.xml"/><Relationship Id="rId15" Type="http://schemas.openxmlformats.org/officeDocument/2006/relationships/hyperlink" Target="https://doi.org/10.1038/s41430-021-01031-z" TargetMode="External"/><Relationship Id="rId10" Type="http://schemas.openxmlformats.org/officeDocument/2006/relationships/hyperlink" Target="https://doi.org/10.1353/foc.2019.0001" TargetMode="External"/><Relationship Id="rId4" Type="http://schemas.openxmlformats.org/officeDocument/2006/relationships/webSettings" Target="webSettings.xml"/><Relationship Id="rId9" Type="http://schemas.openxmlformats.org/officeDocument/2006/relationships/hyperlink" Target="https://doi.org/10.1093/ooec/odad072" TargetMode="External"/><Relationship Id="rId14" Type="http://schemas.openxmlformats.org/officeDocument/2006/relationships/hyperlink" Target="https://doi.org/10.1080/03054985.2022.21253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2AECA9-74BE-447C-A381-6C8C4DA96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2397</Words>
  <Characters>13664</Characters>
  <Application>Microsoft Office Word</Application>
  <DocSecurity>0</DocSecurity>
  <Lines>113</Lines>
  <Paragraphs>32</Paragraphs>
  <ScaleCrop>false</ScaleCrop>
  <Company/>
  <LinksUpToDate>false</LinksUpToDate>
  <CharactersWithSpaces>16029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2025-05-10T06:35:00Z</dcterms:created>
  <dcterms:modified xsi:type="dcterms:W3CDTF">2025-05-10T06:39:00Z</dcterms:modified>
</cp:coreProperties>
</file>