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B44FE" w14:textId="77777777" w:rsidR="00571A15" w:rsidRDefault="00571A15" w:rsidP="00571A15">
      <w:pPr>
        <w:jc w:val="center"/>
        <w:rPr>
          <w:lang w:val="en-SG"/>
        </w:rPr>
      </w:pPr>
    </w:p>
    <w:sdt>
      <w:sdtPr>
        <w:rPr>
          <w:rFonts w:cs="Times New Roman"/>
          <w:szCs w:val="24"/>
        </w:rPr>
        <w:id w:val="-618605249"/>
        <w:docPartObj>
          <w:docPartGallery w:val="Cover Pages"/>
          <w:docPartUnique/>
        </w:docPartObj>
      </w:sdtPr>
      <w:sdtEndPr/>
      <w:sdtContent>
        <w:p w14:paraId="337318A3" w14:textId="77777777" w:rsidR="002B2836" w:rsidRPr="006F0BA2" w:rsidRDefault="002B2836" w:rsidP="002B2836">
          <w:pPr>
            <w:spacing w:line="360" w:lineRule="auto"/>
            <w:rPr>
              <w:rFonts w:cs="Times New Roman"/>
              <w:szCs w:val="24"/>
            </w:rPr>
          </w:pPr>
          <w:r w:rsidRPr="00113493">
            <w:rPr>
              <w:noProof/>
              <w:lang w:val="en-GB" w:eastAsia="en-GB"/>
            </w:rPr>
            <w:drawing>
              <wp:inline distT="0" distB="0" distL="0" distR="0" wp14:anchorId="41B65547" wp14:editId="0AF267B4">
                <wp:extent cx="1816735" cy="752475"/>
                <wp:effectExtent l="19050" t="0" r="0" b="0"/>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52475"/>
                        </a:xfrm>
                        <a:prstGeom prst="rect">
                          <a:avLst/>
                        </a:prstGeom>
                        <a:noFill/>
                      </pic:spPr>
                    </pic:pic>
                  </a:graphicData>
                </a:graphic>
              </wp:inline>
            </w:drawing>
          </w:r>
        </w:p>
        <w:p w14:paraId="6184EBDF" w14:textId="77777777" w:rsidR="002B2836" w:rsidRDefault="002B2836" w:rsidP="002B2836">
          <w:pPr>
            <w:spacing w:line="360" w:lineRule="auto"/>
            <w:rPr>
              <w:rFonts w:cs="Times New Roman"/>
              <w:sz w:val="28"/>
              <w:szCs w:val="28"/>
            </w:rPr>
          </w:pPr>
        </w:p>
        <w:p w14:paraId="4359AEDE" w14:textId="77777777" w:rsidR="002B2836" w:rsidRDefault="002B2836" w:rsidP="002B2836">
          <w:pPr>
            <w:spacing w:line="360" w:lineRule="auto"/>
            <w:rPr>
              <w:rFonts w:cs="Times New Roman"/>
              <w:sz w:val="28"/>
              <w:szCs w:val="28"/>
            </w:rPr>
          </w:pPr>
        </w:p>
        <w:p w14:paraId="629640DB" w14:textId="53CB6A5F" w:rsidR="002B2836" w:rsidRPr="00344F90" w:rsidRDefault="00475A5B" w:rsidP="002B2836">
          <w:pPr>
            <w:spacing w:line="360" w:lineRule="auto"/>
            <w:rPr>
              <w:rFonts w:cs="Times New Roman"/>
              <w:sz w:val="28"/>
              <w:szCs w:val="28"/>
            </w:rPr>
          </w:pPr>
          <w:r>
            <w:rPr>
              <w:rFonts w:cs="Times New Roman"/>
              <w:sz w:val="28"/>
              <w:szCs w:val="28"/>
            </w:rPr>
            <w:t>Financial</w:t>
          </w:r>
          <w:r w:rsidR="002B2836">
            <w:rPr>
              <w:rFonts w:cs="Times New Roman"/>
              <w:sz w:val="28"/>
              <w:szCs w:val="28"/>
            </w:rPr>
            <w:t xml:space="preserve"> Management</w:t>
          </w:r>
          <w:r w:rsidR="002B2836" w:rsidRPr="00344F90">
            <w:rPr>
              <w:rFonts w:cs="Times New Roman"/>
              <w:sz w:val="28"/>
              <w:szCs w:val="28"/>
            </w:rPr>
            <w:t>: LCMB700</w:t>
          </w:r>
          <w:r>
            <w:rPr>
              <w:rFonts w:cs="Times New Roman"/>
              <w:sz w:val="28"/>
              <w:szCs w:val="28"/>
            </w:rPr>
            <w:t>2</w:t>
          </w:r>
          <w:r w:rsidR="002D2A86">
            <w:rPr>
              <w:rFonts w:cs="Times New Roman"/>
              <w:sz w:val="28"/>
              <w:szCs w:val="28"/>
            </w:rPr>
            <w:t>.</w:t>
          </w:r>
          <w:r w:rsidR="002B2836">
            <w:rPr>
              <w:rFonts w:cs="Times New Roman"/>
              <w:sz w:val="28"/>
              <w:szCs w:val="28"/>
            </w:rPr>
            <w:t xml:space="preserve"> </w:t>
          </w:r>
        </w:p>
        <w:p w14:paraId="3942F2F7" w14:textId="77777777" w:rsidR="002B2836" w:rsidRPr="00344F90" w:rsidRDefault="002B2836" w:rsidP="002B2836">
          <w:pPr>
            <w:spacing w:line="360" w:lineRule="auto"/>
            <w:rPr>
              <w:rFonts w:cs="Times New Roman"/>
              <w:sz w:val="28"/>
              <w:szCs w:val="28"/>
            </w:rPr>
          </w:pPr>
        </w:p>
        <w:p w14:paraId="586FCCAA" w14:textId="77777777" w:rsidR="002B2836" w:rsidRPr="00344F90" w:rsidRDefault="002B2836" w:rsidP="002B2836">
          <w:pPr>
            <w:spacing w:line="360" w:lineRule="auto"/>
            <w:rPr>
              <w:rFonts w:cs="Times New Roman"/>
              <w:sz w:val="28"/>
              <w:szCs w:val="28"/>
            </w:rPr>
          </w:pPr>
        </w:p>
        <w:p w14:paraId="540B74EA" w14:textId="0DEE36B4" w:rsidR="002B2836" w:rsidRPr="00344F90" w:rsidRDefault="002B2836" w:rsidP="002B2836">
          <w:pPr>
            <w:spacing w:line="360" w:lineRule="auto"/>
            <w:rPr>
              <w:rFonts w:cs="Times New Roman"/>
              <w:sz w:val="28"/>
              <w:szCs w:val="28"/>
            </w:rPr>
          </w:pPr>
          <w:r w:rsidRPr="00344F90">
            <w:rPr>
              <w:rFonts w:cs="Times New Roman"/>
              <w:sz w:val="28"/>
              <w:szCs w:val="28"/>
            </w:rPr>
            <w:t xml:space="preserve">Module Tutor: </w:t>
          </w:r>
          <w:r>
            <w:rPr>
              <w:rFonts w:cs="Times New Roman"/>
              <w:sz w:val="28"/>
              <w:szCs w:val="28"/>
            </w:rPr>
            <w:t xml:space="preserve">Jia </w:t>
          </w:r>
          <w:r w:rsidR="00475A5B">
            <w:rPr>
              <w:rFonts w:cs="Times New Roman"/>
              <w:sz w:val="28"/>
              <w:szCs w:val="28"/>
            </w:rPr>
            <w:t>Miao</w:t>
          </w:r>
        </w:p>
        <w:p w14:paraId="56912912" w14:textId="77777777" w:rsidR="002B2836" w:rsidRPr="00344F90" w:rsidRDefault="002B2836" w:rsidP="002B2836">
          <w:pPr>
            <w:spacing w:line="360" w:lineRule="auto"/>
            <w:rPr>
              <w:rFonts w:cs="Times New Roman"/>
              <w:sz w:val="28"/>
              <w:szCs w:val="28"/>
            </w:rPr>
          </w:pPr>
        </w:p>
        <w:p w14:paraId="19E17F3E" w14:textId="77777777" w:rsidR="002B2836" w:rsidRPr="00344F90" w:rsidRDefault="002B2836" w:rsidP="002B2836">
          <w:pPr>
            <w:spacing w:line="360" w:lineRule="auto"/>
            <w:rPr>
              <w:rFonts w:cs="Times New Roman"/>
              <w:sz w:val="28"/>
              <w:szCs w:val="28"/>
            </w:rPr>
          </w:pPr>
        </w:p>
        <w:p w14:paraId="7ADB2FFB" w14:textId="77777777" w:rsidR="002B2836" w:rsidRPr="00344F90" w:rsidRDefault="002B2836" w:rsidP="002B2836">
          <w:pPr>
            <w:spacing w:line="360" w:lineRule="auto"/>
            <w:rPr>
              <w:rFonts w:cs="Times New Roman"/>
              <w:sz w:val="28"/>
              <w:szCs w:val="28"/>
            </w:rPr>
          </w:pPr>
          <w:r w:rsidRPr="00344F90">
            <w:rPr>
              <w:rFonts w:cs="Times New Roman"/>
              <w:sz w:val="28"/>
              <w:szCs w:val="28"/>
            </w:rPr>
            <w:t xml:space="preserve">Student: Dike Victor Meme       </w:t>
          </w:r>
        </w:p>
        <w:p w14:paraId="45CCB4CF" w14:textId="77777777" w:rsidR="002B2836" w:rsidRDefault="002B2836" w:rsidP="002B2836">
          <w:pPr>
            <w:spacing w:line="360" w:lineRule="auto"/>
            <w:rPr>
              <w:rFonts w:cs="Times New Roman"/>
              <w:sz w:val="28"/>
              <w:szCs w:val="28"/>
            </w:rPr>
          </w:pPr>
          <w:r w:rsidRPr="00344F90">
            <w:rPr>
              <w:rFonts w:cs="Times New Roman"/>
              <w:sz w:val="28"/>
              <w:szCs w:val="28"/>
            </w:rPr>
            <w:t>ID No. 1602426</w:t>
          </w:r>
        </w:p>
        <w:p w14:paraId="59413028" w14:textId="77777777" w:rsidR="002B2836" w:rsidRDefault="002B2836" w:rsidP="002B2836">
          <w:pPr>
            <w:spacing w:line="360" w:lineRule="auto"/>
            <w:rPr>
              <w:rFonts w:cs="Times New Roman"/>
              <w:sz w:val="28"/>
              <w:szCs w:val="28"/>
            </w:rPr>
          </w:pPr>
        </w:p>
        <w:p w14:paraId="73111A79" w14:textId="52AC11DC" w:rsidR="0086343E" w:rsidRDefault="002B2836" w:rsidP="002B2836">
          <w:pPr>
            <w:spacing w:line="360" w:lineRule="auto"/>
            <w:rPr>
              <w:rFonts w:cs="Times New Roman"/>
              <w:sz w:val="28"/>
              <w:szCs w:val="28"/>
            </w:rPr>
          </w:pPr>
          <w:r>
            <w:rPr>
              <w:rFonts w:cs="Times New Roman"/>
              <w:sz w:val="28"/>
              <w:szCs w:val="28"/>
            </w:rPr>
            <w:t xml:space="preserve">Total number of Assessment words = </w:t>
          </w:r>
          <w:r w:rsidR="00360CC6">
            <w:rPr>
              <w:rFonts w:cs="Times New Roman"/>
              <w:sz w:val="28"/>
              <w:szCs w:val="28"/>
            </w:rPr>
            <w:t xml:space="preserve">5013. </w:t>
          </w:r>
          <w:r>
            <w:rPr>
              <w:rFonts w:cs="Times New Roman"/>
              <w:sz w:val="28"/>
              <w:szCs w:val="28"/>
            </w:rPr>
            <w:t xml:space="preserve">Front page, contents page and references =. </w:t>
          </w:r>
          <w:r w:rsidR="00360CC6">
            <w:rPr>
              <w:rFonts w:cs="Times New Roman"/>
              <w:sz w:val="28"/>
              <w:szCs w:val="28"/>
            </w:rPr>
            <w:t xml:space="preserve">659. </w:t>
          </w:r>
          <w:r>
            <w:rPr>
              <w:rFonts w:cs="Times New Roman"/>
              <w:sz w:val="28"/>
              <w:szCs w:val="28"/>
            </w:rPr>
            <w:t>Total words = 5672</w:t>
          </w:r>
        </w:p>
        <w:p w14:paraId="6F42265A" w14:textId="77777777" w:rsidR="0086343E" w:rsidRDefault="0086343E" w:rsidP="002B2836">
          <w:pPr>
            <w:spacing w:line="360" w:lineRule="auto"/>
            <w:rPr>
              <w:rFonts w:cs="Times New Roman"/>
              <w:sz w:val="28"/>
              <w:szCs w:val="28"/>
            </w:rPr>
          </w:pPr>
        </w:p>
        <w:p w14:paraId="6A378DB3" w14:textId="77777777" w:rsidR="0086343E" w:rsidRDefault="0086343E" w:rsidP="002B2836">
          <w:pPr>
            <w:spacing w:line="360" w:lineRule="auto"/>
            <w:rPr>
              <w:rFonts w:cs="Times New Roman"/>
              <w:sz w:val="28"/>
              <w:szCs w:val="28"/>
            </w:rPr>
          </w:pPr>
        </w:p>
        <w:p w14:paraId="7C1D760B" w14:textId="77777777" w:rsidR="0086343E" w:rsidRDefault="0086343E" w:rsidP="002B2836">
          <w:pPr>
            <w:spacing w:line="360" w:lineRule="auto"/>
            <w:rPr>
              <w:rFonts w:cs="Times New Roman"/>
              <w:sz w:val="28"/>
              <w:szCs w:val="28"/>
            </w:rPr>
          </w:pPr>
        </w:p>
        <w:p w14:paraId="59A66622" w14:textId="77777777" w:rsidR="0086343E" w:rsidRDefault="0086343E" w:rsidP="002B2836">
          <w:pPr>
            <w:spacing w:line="360" w:lineRule="auto"/>
            <w:rPr>
              <w:rFonts w:cs="Times New Roman"/>
              <w:sz w:val="28"/>
              <w:szCs w:val="28"/>
            </w:rPr>
          </w:pPr>
        </w:p>
        <w:p w14:paraId="75AF18F9" w14:textId="77777777" w:rsidR="0086343E" w:rsidRDefault="0086343E" w:rsidP="002B2836">
          <w:pPr>
            <w:spacing w:line="360" w:lineRule="auto"/>
            <w:rPr>
              <w:rFonts w:cs="Times New Roman"/>
              <w:sz w:val="28"/>
              <w:szCs w:val="28"/>
            </w:rPr>
          </w:pPr>
        </w:p>
        <w:p w14:paraId="34E148E5" w14:textId="5FA91C49" w:rsidR="002B2836" w:rsidRPr="006F0BA2" w:rsidRDefault="00281AD1" w:rsidP="002B2836">
          <w:pPr>
            <w:spacing w:line="360" w:lineRule="auto"/>
            <w:rPr>
              <w:rFonts w:cs="Times New Roman"/>
              <w:szCs w:val="24"/>
            </w:rPr>
          </w:pPr>
        </w:p>
      </w:sdtContent>
    </w:sdt>
    <w:p w14:paraId="114A43F2" w14:textId="77777777" w:rsidR="00571A15" w:rsidRDefault="00571A15" w:rsidP="00571A15">
      <w:r>
        <w:lastRenderedPageBreak/>
        <w:t>Executive Summary</w:t>
      </w:r>
    </w:p>
    <w:p w14:paraId="54895F22" w14:textId="29835FAB" w:rsidR="00571A15" w:rsidRDefault="00571A15" w:rsidP="00571A15">
      <w:pPr>
        <w:rPr>
          <w:rFonts w:eastAsiaTheme="majorEastAsia" w:cstheme="majorBidi"/>
          <w:sz w:val="28"/>
          <w:szCs w:val="32"/>
        </w:rPr>
      </w:pPr>
      <w:r>
        <w:t>This paper aims to outline the key facts about the London based pharmaceutical company, AstraZeneca. It financially analyses the key profitability, liquidity, gearing and efficiency ratios of the company. A SWOT analysis also has been performed on the company. AstraZeneca’s competitors have been analysed for the financial metrics of 2019. Two new projects for AstraZeneca has been analysed and for that purpose an NPV, ARR and Payback period analysis has been conducted. The advantages and disadvantages of each method have also been outlined.</w:t>
      </w:r>
      <w:r>
        <w:br w:type="page"/>
      </w:r>
    </w:p>
    <w:sdt>
      <w:sdtPr>
        <w:rPr>
          <w:rFonts w:ascii="Times New Roman" w:eastAsiaTheme="minorHAnsi" w:hAnsi="Times New Roman" w:cstheme="minorBidi"/>
          <w:color w:val="000000" w:themeColor="text1"/>
          <w:sz w:val="24"/>
          <w:szCs w:val="22"/>
          <w:lang w:val="en-IN"/>
        </w:rPr>
        <w:id w:val="1092586949"/>
        <w:docPartObj>
          <w:docPartGallery w:val="Table of Contents"/>
          <w:docPartUnique/>
        </w:docPartObj>
      </w:sdtPr>
      <w:sdtEndPr>
        <w:rPr>
          <w:b/>
          <w:bCs/>
          <w:noProof/>
        </w:rPr>
      </w:sdtEndPr>
      <w:sdtContent>
        <w:p w14:paraId="2124FB60" w14:textId="47C16EE5" w:rsidR="00571A15" w:rsidRPr="00571A15" w:rsidRDefault="00571A15" w:rsidP="00571A15">
          <w:pPr>
            <w:pStyle w:val="TOCHeading"/>
            <w:jc w:val="center"/>
            <w:rPr>
              <w:rFonts w:ascii="Times New Roman" w:hAnsi="Times New Roman" w:cs="Times New Roman"/>
              <w:b/>
              <w:bCs/>
              <w:color w:val="auto"/>
            </w:rPr>
          </w:pPr>
          <w:r w:rsidRPr="00571A15">
            <w:rPr>
              <w:rFonts w:ascii="Times New Roman" w:hAnsi="Times New Roman" w:cs="Times New Roman"/>
              <w:b/>
              <w:bCs/>
              <w:color w:val="auto"/>
            </w:rPr>
            <w:t>Table of Contents</w:t>
          </w:r>
        </w:p>
        <w:p w14:paraId="711FE40E" w14:textId="24F95F2A" w:rsidR="0013060D" w:rsidRDefault="00571A15">
          <w:pPr>
            <w:pStyle w:val="TOC1"/>
            <w:tabs>
              <w:tab w:val="right" w:leader="dot" w:pos="9016"/>
            </w:tabs>
            <w:rPr>
              <w:rFonts w:asciiTheme="minorHAnsi" w:eastAsiaTheme="minorEastAsia" w:hAnsiTheme="minorHAnsi"/>
              <w:noProof/>
              <w:color w:val="auto"/>
              <w:sz w:val="22"/>
              <w:lang w:eastAsia="en-IN"/>
            </w:rPr>
          </w:pPr>
          <w:r>
            <w:fldChar w:fldCharType="begin"/>
          </w:r>
          <w:r>
            <w:instrText xml:space="preserve"> TOC \o "1-3" \h \z \u </w:instrText>
          </w:r>
          <w:r>
            <w:fldChar w:fldCharType="separate"/>
          </w:r>
          <w:hyperlink w:anchor="_Toc59874300" w:history="1">
            <w:r w:rsidR="0013060D" w:rsidRPr="00424F5D">
              <w:rPr>
                <w:rStyle w:val="Hyperlink"/>
                <w:noProof/>
              </w:rPr>
              <w:t>Introduction</w:t>
            </w:r>
            <w:r w:rsidR="0013060D">
              <w:rPr>
                <w:noProof/>
                <w:webHidden/>
              </w:rPr>
              <w:tab/>
            </w:r>
            <w:r w:rsidR="0013060D">
              <w:rPr>
                <w:noProof/>
                <w:webHidden/>
              </w:rPr>
              <w:fldChar w:fldCharType="begin"/>
            </w:r>
            <w:r w:rsidR="0013060D">
              <w:rPr>
                <w:noProof/>
                <w:webHidden/>
              </w:rPr>
              <w:instrText xml:space="preserve"> PAGEREF _Toc59874300 \h </w:instrText>
            </w:r>
            <w:r w:rsidR="0013060D">
              <w:rPr>
                <w:noProof/>
                <w:webHidden/>
              </w:rPr>
            </w:r>
            <w:r w:rsidR="0013060D">
              <w:rPr>
                <w:noProof/>
                <w:webHidden/>
              </w:rPr>
              <w:fldChar w:fldCharType="separate"/>
            </w:r>
            <w:r w:rsidR="0013060D">
              <w:rPr>
                <w:noProof/>
                <w:webHidden/>
              </w:rPr>
              <w:t>3</w:t>
            </w:r>
            <w:r w:rsidR="0013060D">
              <w:rPr>
                <w:noProof/>
                <w:webHidden/>
              </w:rPr>
              <w:fldChar w:fldCharType="end"/>
            </w:r>
          </w:hyperlink>
        </w:p>
        <w:p w14:paraId="6F7CEB7D" w14:textId="15758CBD" w:rsidR="0013060D" w:rsidRDefault="00281AD1">
          <w:pPr>
            <w:pStyle w:val="TOC1"/>
            <w:tabs>
              <w:tab w:val="right" w:leader="dot" w:pos="9016"/>
            </w:tabs>
            <w:rPr>
              <w:rFonts w:asciiTheme="minorHAnsi" w:eastAsiaTheme="minorEastAsia" w:hAnsiTheme="minorHAnsi"/>
              <w:noProof/>
              <w:color w:val="auto"/>
              <w:sz w:val="22"/>
              <w:lang w:eastAsia="en-IN"/>
            </w:rPr>
          </w:pPr>
          <w:hyperlink w:anchor="_Toc59874301" w:history="1">
            <w:r w:rsidR="0013060D" w:rsidRPr="00424F5D">
              <w:rPr>
                <w:rStyle w:val="Hyperlink"/>
                <w:noProof/>
              </w:rPr>
              <w:t>About the Company</w:t>
            </w:r>
            <w:r w:rsidR="0013060D">
              <w:rPr>
                <w:noProof/>
                <w:webHidden/>
              </w:rPr>
              <w:tab/>
            </w:r>
            <w:r w:rsidR="0013060D">
              <w:rPr>
                <w:noProof/>
                <w:webHidden/>
              </w:rPr>
              <w:fldChar w:fldCharType="begin"/>
            </w:r>
            <w:r w:rsidR="0013060D">
              <w:rPr>
                <w:noProof/>
                <w:webHidden/>
              </w:rPr>
              <w:instrText xml:space="preserve"> PAGEREF _Toc59874301 \h </w:instrText>
            </w:r>
            <w:r w:rsidR="0013060D">
              <w:rPr>
                <w:noProof/>
                <w:webHidden/>
              </w:rPr>
            </w:r>
            <w:r w:rsidR="0013060D">
              <w:rPr>
                <w:noProof/>
                <w:webHidden/>
              </w:rPr>
              <w:fldChar w:fldCharType="separate"/>
            </w:r>
            <w:r w:rsidR="0013060D">
              <w:rPr>
                <w:noProof/>
                <w:webHidden/>
              </w:rPr>
              <w:t>3</w:t>
            </w:r>
            <w:r w:rsidR="0013060D">
              <w:rPr>
                <w:noProof/>
                <w:webHidden/>
              </w:rPr>
              <w:fldChar w:fldCharType="end"/>
            </w:r>
          </w:hyperlink>
        </w:p>
        <w:p w14:paraId="266304BC" w14:textId="59911F2E" w:rsidR="0013060D" w:rsidRDefault="00281AD1">
          <w:pPr>
            <w:pStyle w:val="TOC1"/>
            <w:tabs>
              <w:tab w:val="right" w:leader="dot" w:pos="9016"/>
            </w:tabs>
            <w:rPr>
              <w:rFonts w:asciiTheme="minorHAnsi" w:eastAsiaTheme="minorEastAsia" w:hAnsiTheme="minorHAnsi"/>
              <w:noProof/>
              <w:color w:val="auto"/>
              <w:sz w:val="22"/>
              <w:lang w:eastAsia="en-IN"/>
            </w:rPr>
          </w:pPr>
          <w:hyperlink w:anchor="_Toc59874302" w:history="1">
            <w:r w:rsidR="0013060D" w:rsidRPr="00424F5D">
              <w:rPr>
                <w:rStyle w:val="Hyperlink"/>
                <w:noProof/>
              </w:rPr>
              <w:t>Coronavirus (COVID-19) response</w:t>
            </w:r>
            <w:r w:rsidR="0013060D">
              <w:rPr>
                <w:noProof/>
                <w:webHidden/>
              </w:rPr>
              <w:tab/>
            </w:r>
            <w:r w:rsidR="0013060D">
              <w:rPr>
                <w:noProof/>
                <w:webHidden/>
              </w:rPr>
              <w:fldChar w:fldCharType="begin"/>
            </w:r>
            <w:r w:rsidR="0013060D">
              <w:rPr>
                <w:noProof/>
                <w:webHidden/>
              </w:rPr>
              <w:instrText xml:space="preserve"> PAGEREF _Toc59874302 \h </w:instrText>
            </w:r>
            <w:r w:rsidR="0013060D">
              <w:rPr>
                <w:noProof/>
                <w:webHidden/>
              </w:rPr>
            </w:r>
            <w:r w:rsidR="0013060D">
              <w:rPr>
                <w:noProof/>
                <w:webHidden/>
              </w:rPr>
              <w:fldChar w:fldCharType="separate"/>
            </w:r>
            <w:r w:rsidR="0013060D">
              <w:rPr>
                <w:noProof/>
                <w:webHidden/>
              </w:rPr>
              <w:t>4</w:t>
            </w:r>
            <w:r w:rsidR="0013060D">
              <w:rPr>
                <w:noProof/>
                <w:webHidden/>
              </w:rPr>
              <w:fldChar w:fldCharType="end"/>
            </w:r>
          </w:hyperlink>
        </w:p>
        <w:p w14:paraId="3FB9708C" w14:textId="2F1722F3" w:rsidR="0013060D" w:rsidRDefault="00281AD1">
          <w:pPr>
            <w:pStyle w:val="TOC1"/>
            <w:tabs>
              <w:tab w:val="right" w:leader="dot" w:pos="9016"/>
            </w:tabs>
            <w:rPr>
              <w:rFonts w:asciiTheme="minorHAnsi" w:eastAsiaTheme="minorEastAsia" w:hAnsiTheme="minorHAnsi"/>
              <w:noProof/>
              <w:color w:val="auto"/>
              <w:sz w:val="22"/>
              <w:lang w:eastAsia="en-IN"/>
            </w:rPr>
          </w:pPr>
          <w:hyperlink w:anchor="_Toc59874303" w:history="1">
            <w:r w:rsidR="0013060D" w:rsidRPr="00424F5D">
              <w:rPr>
                <w:rStyle w:val="Hyperlink"/>
                <w:noProof/>
              </w:rPr>
              <w:t>Business Strategy</w:t>
            </w:r>
            <w:r w:rsidR="0013060D">
              <w:rPr>
                <w:noProof/>
                <w:webHidden/>
              </w:rPr>
              <w:tab/>
            </w:r>
            <w:r w:rsidR="0013060D">
              <w:rPr>
                <w:noProof/>
                <w:webHidden/>
              </w:rPr>
              <w:fldChar w:fldCharType="begin"/>
            </w:r>
            <w:r w:rsidR="0013060D">
              <w:rPr>
                <w:noProof/>
                <w:webHidden/>
              </w:rPr>
              <w:instrText xml:space="preserve"> PAGEREF _Toc59874303 \h </w:instrText>
            </w:r>
            <w:r w:rsidR="0013060D">
              <w:rPr>
                <w:noProof/>
                <w:webHidden/>
              </w:rPr>
            </w:r>
            <w:r w:rsidR="0013060D">
              <w:rPr>
                <w:noProof/>
                <w:webHidden/>
              </w:rPr>
              <w:fldChar w:fldCharType="separate"/>
            </w:r>
            <w:r w:rsidR="0013060D">
              <w:rPr>
                <w:noProof/>
                <w:webHidden/>
              </w:rPr>
              <w:t>5</w:t>
            </w:r>
            <w:r w:rsidR="0013060D">
              <w:rPr>
                <w:noProof/>
                <w:webHidden/>
              </w:rPr>
              <w:fldChar w:fldCharType="end"/>
            </w:r>
          </w:hyperlink>
        </w:p>
        <w:p w14:paraId="481F72F1" w14:textId="1A21AF89" w:rsidR="0013060D" w:rsidRDefault="00281AD1">
          <w:pPr>
            <w:pStyle w:val="TOC1"/>
            <w:tabs>
              <w:tab w:val="right" w:leader="dot" w:pos="9016"/>
            </w:tabs>
            <w:rPr>
              <w:rFonts w:asciiTheme="minorHAnsi" w:eastAsiaTheme="minorEastAsia" w:hAnsiTheme="minorHAnsi"/>
              <w:noProof/>
              <w:color w:val="auto"/>
              <w:sz w:val="22"/>
              <w:lang w:eastAsia="en-IN"/>
            </w:rPr>
          </w:pPr>
          <w:hyperlink w:anchor="_Toc59874304" w:history="1">
            <w:r w:rsidR="0013060D" w:rsidRPr="00424F5D">
              <w:rPr>
                <w:rStyle w:val="Hyperlink"/>
                <w:noProof/>
              </w:rPr>
              <w:t>Recent news and acquisitions</w:t>
            </w:r>
            <w:r w:rsidR="0013060D">
              <w:rPr>
                <w:noProof/>
                <w:webHidden/>
              </w:rPr>
              <w:tab/>
            </w:r>
            <w:r w:rsidR="0013060D">
              <w:rPr>
                <w:noProof/>
                <w:webHidden/>
              </w:rPr>
              <w:fldChar w:fldCharType="begin"/>
            </w:r>
            <w:r w:rsidR="0013060D">
              <w:rPr>
                <w:noProof/>
                <w:webHidden/>
              </w:rPr>
              <w:instrText xml:space="preserve"> PAGEREF _Toc59874304 \h </w:instrText>
            </w:r>
            <w:r w:rsidR="0013060D">
              <w:rPr>
                <w:noProof/>
                <w:webHidden/>
              </w:rPr>
            </w:r>
            <w:r w:rsidR="0013060D">
              <w:rPr>
                <w:noProof/>
                <w:webHidden/>
              </w:rPr>
              <w:fldChar w:fldCharType="separate"/>
            </w:r>
            <w:r w:rsidR="0013060D">
              <w:rPr>
                <w:noProof/>
                <w:webHidden/>
              </w:rPr>
              <w:t>6</w:t>
            </w:r>
            <w:r w:rsidR="0013060D">
              <w:rPr>
                <w:noProof/>
                <w:webHidden/>
              </w:rPr>
              <w:fldChar w:fldCharType="end"/>
            </w:r>
          </w:hyperlink>
        </w:p>
        <w:p w14:paraId="79895759" w14:textId="40F786C4" w:rsidR="0013060D" w:rsidRDefault="00281AD1">
          <w:pPr>
            <w:pStyle w:val="TOC1"/>
            <w:tabs>
              <w:tab w:val="right" w:leader="dot" w:pos="9016"/>
            </w:tabs>
            <w:rPr>
              <w:rFonts w:asciiTheme="minorHAnsi" w:eastAsiaTheme="minorEastAsia" w:hAnsiTheme="minorHAnsi"/>
              <w:noProof/>
              <w:color w:val="auto"/>
              <w:sz w:val="22"/>
              <w:lang w:eastAsia="en-IN"/>
            </w:rPr>
          </w:pPr>
          <w:hyperlink w:anchor="_Toc59874305" w:history="1">
            <w:r w:rsidR="0013060D" w:rsidRPr="00424F5D">
              <w:rPr>
                <w:rStyle w:val="Hyperlink"/>
                <w:noProof/>
              </w:rPr>
              <w:t>Financial Performance</w:t>
            </w:r>
            <w:r w:rsidR="0013060D">
              <w:rPr>
                <w:noProof/>
                <w:webHidden/>
              </w:rPr>
              <w:tab/>
            </w:r>
            <w:r w:rsidR="0013060D">
              <w:rPr>
                <w:noProof/>
                <w:webHidden/>
              </w:rPr>
              <w:fldChar w:fldCharType="begin"/>
            </w:r>
            <w:r w:rsidR="0013060D">
              <w:rPr>
                <w:noProof/>
                <w:webHidden/>
              </w:rPr>
              <w:instrText xml:space="preserve"> PAGEREF _Toc59874305 \h </w:instrText>
            </w:r>
            <w:r w:rsidR="0013060D">
              <w:rPr>
                <w:noProof/>
                <w:webHidden/>
              </w:rPr>
            </w:r>
            <w:r w:rsidR="0013060D">
              <w:rPr>
                <w:noProof/>
                <w:webHidden/>
              </w:rPr>
              <w:fldChar w:fldCharType="separate"/>
            </w:r>
            <w:r w:rsidR="0013060D">
              <w:rPr>
                <w:noProof/>
                <w:webHidden/>
              </w:rPr>
              <w:t>6</w:t>
            </w:r>
            <w:r w:rsidR="0013060D">
              <w:rPr>
                <w:noProof/>
                <w:webHidden/>
              </w:rPr>
              <w:fldChar w:fldCharType="end"/>
            </w:r>
          </w:hyperlink>
        </w:p>
        <w:p w14:paraId="24E8DC55" w14:textId="5B706CE6" w:rsidR="0013060D" w:rsidRDefault="00281AD1">
          <w:pPr>
            <w:pStyle w:val="TOC2"/>
            <w:tabs>
              <w:tab w:val="right" w:leader="dot" w:pos="9016"/>
            </w:tabs>
            <w:rPr>
              <w:rFonts w:asciiTheme="minorHAnsi" w:eastAsiaTheme="minorEastAsia" w:hAnsiTheme="minorHAnsi"/>
              <w:noProof/>
              <w:color w:val="auto"/>
              <w:sz w:val="22"/>
              <w:lang w:eastAsia="en-IN"/>
            </w:rPr>
          </w:pPr>
          <w:hyperlink w:anchor="_Toc59874306" w:history="1">
            <w:r w:rsidR="0013060D" w:rsidRPr="00424F5D">
              <w:rPr>
                <w:rStyle w:val="Hyperlink"/>
                <w:noProof/>
              </w:rPr>
              <w:t>Key Financial Ratios</w:t>
            </w:r>
            <w:r w:rsidR="0013060D">
              <w:rPr>
                <w:noProof/>
                <w:webHidden/>
              </w:rPr>
              <w:tab/>
            </w:r>
            <w:r w:rsidR="0013060D">
              <w:rPr>
                <w:noProof/>
                <w:webHidden/>
              </w:rPr>
              <w:fldChar w:fldCharType="begin"/>
            </w:r>
            <w:r w:rsidR="0013060D">
              <w:rPr>
                <w:noProof/>
                <w:webHidden/>
              </w:rPr>
              <w:instrText xml:space="preserve"> PAGEREF _Toc59874306 \h </w:instrText>
            </w:r>
            <w:r w:rsidR="0013060D">
              <w:rPr>
                <w:noProof/>
                <w:webHidden/>
              </w:rPr>
            </w:r>
            <w:r w:rsidR="0013060D">
              <w:rPr>
                <w:noProof/>
                <w:webHidden/>
              </w:rPr>
              <w:fldChar w:fldCharType="separate"/>
            </w:r>
            <w:r w:rsidR="0013060D">
              <w:rPr>
                <w:noProof/>
                <w:webHidden/>
              </w:rPr>
              <w:t>8</w:t>
            </w:r>
            <w:r w:rsidR="0013060D">
              <w:rPr>
                <w:noProof/>
                <w:webHidden/>
              </w:rPr>
              <w:fldChar w:fldCharType="end"/>
            </w:r>
          </w:hyperlink>
        </w:p>
        <w:p w14:paraId="14596B0B" w14:textId="5D5CB4CF" w:rsidR="0013060D" w:rsidRDefault="00281AD1">
          <w:pPr>
            <w:pStyle w:val="TOC2"/>
            <w:tabs>
              <w:tab w:val="right" w:leader="dot" w:pos="9016"/>
            </w:tabs>
            <w:rPr>
              <w:rFonts w:asciiTheme="minorHAnsi" w:eastAsiaTheme="minorEastAsia" w:hAnsiTheme="minorHAnsi"/>
              <w:noProof/>
              <w:color w:val="auto"/>
              <w:sz w:val="22"/>
              <w:lang w:eastAsia="en-IN"/>
            </w:rPr>
          </w:pPr>
          <w:hyperlink w:anchor="_Toc59874307" w:history="1">
            <w:r w:rsidR="0013060D" w:rsidRPr="00424F5D">
              <w:rPr>
                <w:rStyle w:val="Hyperlink"/>
                <w:noProof/>
              </w:rPr>
              <w:t>SWOT analysis</w:t>
            </w:r>
            <w:r w:rsidR="0013060D">
              <w:rPr>
                <w:noProof/>
                <w:webHidden/>
              </w:rPr>
              <w:tab/>
            </w:r>
            <w:r w:rsidR="0013060D">
              <w:rPr>
                <w:noProof/>
                <w:webHidden/>
              </w:rPr>
              <w:fldChar w:fldCharType="begin"/>
            </w:r>
            <w:r w:rsidR="0013060D">
              <w:rPr>
                <w:noProof/>
                <w:webHidden/>
              </w:rPr>
              <w:instrText xml:space="preserve"> PAGEREF _Toc59874307 \h </w:instrText>
            </w:r>
            <w:r w:rsidR="0013060D">
              <w:rPr>
                <w:noProof/>
                <w:webHidden/>
              </w:rPr>
            </w:r>
            <w:r w:rsidR="0013060D">
              <w:rPr>
                <w:noProof/>
                <w:webHidden/>
              </w:rPr>
              <w:fldChar w:fldCharType="separate"/>
            </w:r>
            <w:r w:rsidR="0013060D">
              <w:rPr>
                <w:noProof/>
                <w:webHidden/>
              </w:rPr>
              <w:t>11</w:t>
            </w:r>
            <w:r w:rsidR="0013060D">
              <w:rPr>
                <w:noProof/>
                <w:webHidden/>
              </w:rPr>
              <w:fldChar w:fldCharType="end"/>
            </w:r>
          </w:hyperlink>
        </w:p>
        <w:p w14:paraId="456C4762" w14:textId="00B265DB" w:rsidR="0013060D" w:rsidRDefault="00281AD1">
          <w:pPr>
            <w:pStyle w:val="TOC2"/>
            <w:tabs>
              <w:tab w:val="right" w:leader="dot" w:pos="9016"/>
            </w:tabs>
            <w:rPr>
              <w:rFonts w:asciiTheme="minorHAnsi" w:eastAsiaTheme="minorEastAsia" w:hAnsiTheme="minorHAnsi"/>
              <w:noProof/>
              <w:color w:val="auto"/>
              <w:sz w:val="22"/>
              <w:lang w:eastAsia="en-IN"/>
            </w:rPr>
          </w:pPr>
          <w:hyperlink w:anchor="_Toc59874308" w:history="1">
            <w:r w:rsidR="0013060D" w:rsidRPr="00424F5D">
              <w:rPr>
                <w:rStyle w:val="Hyperlink"/>
                <w:noProof/>
              </w:rPr>
              <w:t>Competitor Analysis</w:t>
            </w:r>
            <w:r w:rsidR="0013060D">
              <w:rPr>
                <w:noProof/>
                <w:webHidden/>
              </w:rPr>
              <w:tab/>
            </w:r>
            <w:r w:rsidR="0013060D">
              <w:rPr>
                <w:noProof/>
                <w:webHidden/>
              </w:rPr>
              <w:fldChar w:fldCharType="begin"/>
            </w:r>
            <w:r w:rsidR="0013060D">
              <w:rPr>
                <w:noProof/>
                <w:webHidden/>
              </w:rPr>
              <w:instrText xml:space="preserve"> PAGEREF _Toc59874308 \h </w:instrText>
            </w:r>
            <w:r w:rsidR="0013060D">
              <w:rPr>
                <w:noProof/>
                <w:webHidden/>
              </w:rPr>
            </w:r>
            <w:r w:rsidR="0013060D">
              <w:rPr>
                <w:noProof/>
                <w:webHidden/>
              </w:rPr>
              <w:fldChar w:fldCharType="separate"/>
            </w:r>
            <w:r w:rsidR="0013060D">
              <w:rPr>
                <w:noProof/>
                <w:webHidden/>
              </w:rPr>
              <w:t>13</w:t>
            </w:r>
            <w:r w:rsidR="0013060D">
              <w:rPr>
                <w:noProof/>
                <w:webHidden/>
              </w:rPr>
              <w:fldChar w:fldCharType="end"/>
            </w:r>
          </w:hyperlink>
        </w:p>
        <w:p w14:paraId="65FB51E4" w14:textId="301B79B4" w:rsidR="0013060D" w:rsidRDefault="00281AD1">
          <w:pPr>
            <w:pStyle w:val="TOC1"/>
            <w:tabs>
              <w:tab w:val="right" w:leader="dot" w:pos="9016"/>
            </w:tabs>
            <w:rPr>
              <w:rFonts w:asciiTheme="minorHAnsi" w:eastAsiaTheme="minorEastAsia" w:hAnsiTheme="minorHAnsi"/>
              <w:noProof/>
              <w:color w:val="auto"/>
              <w:sz w:val="22"/>
              <w:lang w:eastAsia="en-IN"/>
            </w:rPr>
          </w:pPr>
          <w:hyperlink w:anchor="_Toc59874309" w:history="1">
            <w:r w:rsidR="0013060D" w:rsidRPr="00424F5D">
              <w:rPr>
                <w:rStyle w:val="Hyperlink"/>
                <w:noProof/>
              </w:rPr>
              <w:t>Recommendation</w:t>
            </w:r>
            <w:r w:rsidR="0013060D">
              <w:rPr>
                <w:noProof/>
                <w:webHidden/>
              </w:rPr>
              <w:tab/>
            </w:r>
            <w:r w:rsidR="0013060D">
              <w:rPr>
                <w:noProof/>
                <w:webHidden/>
              </w:rPr>
              <w:fldChar w:fldCharType="begin"/>
            </w:r>
            <w:r w:rsidR="0013060D">
              <w:rPr>
                <w:noProof/>
                <w:webHidden/>
              </w:rPr>
              <w:instrText xml:space="preserve"> PAGEREF _Toc59874309 \h </w:instrText>
            </w:r>
            <w:r w:rsidR="0013060D">
              <w:rPr>
                <w:noProof/>
                <w:webHidden/>
              </w:rPr>
            </w:r>
            <w:r w:rsidR="0013060D">
              <w:rPr>
                <w:noProof/>
                <w:webHidden/>
              </w:rPr>
              <w:fldChar w:fldCharType="separate"/>
            </w:r>
            <w:r w:rsidR="0013060D">
              <w:rPr>
                <w:noProof/>
                <w:webHidden/>
              </w:rPr>
              <w:t>14</w:t>
            </w:r>
            <w:r w:rsidR="0013060D">
              <w:rPr>
                <w:noProof/>
                <w:webHidden/>
              </w:rPr>
              <w:fldChar w:fldCharType="end"/>
            </w:r>
          </w:hyperlink>
        </w:p>
        <w:p w14:paraId="7581891E" w14:textId="5E7E04FF" w:rsidR="0013060D" w:rsidRDefault="00281AD1">
          <w:pPr>
            <w:pStyle w:val="TOC1"/>
            <w:tabs>
              <w:tab w:val="right" w:leader="dot" w:pos="9016"/>
            </w:tabs>
            <w:rPr>
              <w:rFonts w:asciiTheme="minorHAnsi" w:eastAsiaTheme="minorEastAsia" w:hAnsiTheme="minorHAnsi"/>
              <w:noProof/>
              <w:color w:val="auto"/>
              <w:sz w:val="22"/>
              <w:lang w:eastAsia="en-IN"/>
            </w:rPr>
          </w:pPr>
          <w:hyperlink w:anchor="_Toc59874310" w:history="1">
            <w:r w:rsidR="0013060D" w:rsidRPr="00424F5D">
              <w:rPr>
                <w:rStyle w:val="Hyperlink"/>
                <w:noProof/>
              </w:rPr>
              <w:t>New Project Analysis</w:t>
            </w:r>
            <w:r w:rsidR="0013060D">
              <w:rPr>
                <w:noProof/>
                <w:webHidden/>
              </w:rPr>
              <w:tab/>
            </w:r>
            <w:r w:rsidR="0013060D">
              <w:rPr>
                <w:noProof/>
                <w:webHidden/>
              </w:rPr>
              <w:fldChar w:fldCharType="begin"/>
            </w:r>
            <w:r w:rsidR="0013060D">
              <w:rPr>
                <w:noProof/>
                <w:webHidden/>
              </w:rPr>
              <w:instrText xml:space="preserve"> PAGEREF _Toc59874310 \h </w:instrText>
            </w:r>
            <w:r w:rsidR="0013060D">
              <w:rPr>
                <w:noProof/>
                <w:webHidden/>
              </w:rPr>
            </w:r>
            <w:r w:rsidR="0013060D">
              <w:rPr>
                <w:noProof/>
                <w:webHidden/>
              </w:rPr>
              <w:fldChar w:fldCharType="separate"/>
            </w:r>
            <w:r w:rsidR="0013060D">
              <w:rPr>
                <w:noProof/>
                <w:webHidden/>
              </w:rPr>
              <w:t>14</w:t>
            </w:r>
            <w:r w:rsidR="0013060D">
              <w:rPr>
                <w:noProof/>
                <w:webHidden/>
              </w:rPr>
              <w:fldChar w:fldCharType="end"/>
            </w:r>
          </w:hyperlink>
        </w:p>
        <w:p w14:paraId="05763651" w14:textId="286A6C37" w:rsidR="0013060D" w:rsidRDefault="00281AD1">
          <w:pPr>
            <w:pStyle w:val="TOC1"/>
            <w:tabs>
              <w:tab w:val="right" w:leader="dot" w:pos="9016"/>
            </w:tabs>
            <w:rPr>
              <w:rFonts w:asciiTheme="minorHAnsi" w:eastAsiaTheme="minorEastAsia" w:hAnsiTheme="minorHAnsi"/>
              <w:noProof/>
              <w:color w:val="auto"/>
              <w:sz w:val="22"/>
              <w:lang w:eastAsia="en-IN"/>
            </w:rPr>
          </w:pPr>
          <w:hyperlink w:anchor="_Toc59874311" w:history="1">
            <w:r w:rsidR="0013060D" w:rsidRPr="00424F5D">
              <w:rPr>
                <w:rStyle w:val="Hyperlink"/>
                <w:noProof/>
              </w:rPr>
              <w:t>References and Bibliography</w:t>
            </w:r>
            <w:r w:rsidR="0013060D">
              <w:rPr>
                <w:noProof/>
                <w:webHidden/>
              </w:rPr>
              <w:tab/>
            </w:r>
            <w:r w:rsidR="0013060D">
              <w:rPr>
                <w:noProof/>
                <w:webHidden/>
              </w:rPr>
              <w:fldChar w:fldCharType="begin"/>
            </w:r>
            <w:r w:rsidR="0013060D">
              <w:rPr>
                <w:noProof/>
                <w:webHidden/>
              </w:rPr>
              <w:instrText xml:space="preserve"> PAGEREF _Toc59874311 \h </w:instrText>
            </w:r>
            <w:r w:rsidR="0013060D">
              <w:rPr>
                <w:noProof/>
                <w:webHidden/>
              </w:rPr>
            </w:r>
            <w:r w:rsidR="0013060D">
              <w:rPr>
                <w:noProof/>
                <w:webHidden/>
              </w:rPr>
              <w:fldChar w:fldCharType="separate"/>
            </w:r>
            <w:r w:rsidR="0013060D">
              <w:rPr>
                <w:noProof/>
                <w:webHidden/>
              </w:rPr>
              <w:t>23</w:t>
            </w:r>
            <w:r w:rsidR="0013060D">
              <w:rPr>
                <w:noProof/>
                <w:webHidden/>
              </w:rPr>
              <w:fldChar w:fldCharType="end"/>
            </w:r>
          </w:hyperlink>
        </w:p>
        <w:p w14:paraId="22CC6486" w14:textId="230E82FD" w:rsidR="00571A15" w:rsidRDefault="00571A15">
          <w:r>
            <w:rPr>
              <w:b/>
              <w:bCs/>
              <w:noProof/>
            </w:rPr>
            <w:fldChar w:fldCharType="end"/>
          </w:r>
        </w:p>
      </w:sdtContent>
    </w:sdt>
    <w:p w14:paraId="6DD86F84" w14:textId="77777777" w:rsidR="00571A15" w:rsidRDefault="00571A15">
      <w:pPr>
        <w:ind w:firstLine="2160"/>
        <w:rPr>
          <w:rFonts w:eastAsiaTheme="majorEastAsia" w:cstheme="majorBidi"/>
          <w:b/>
          <w:sz w:val="28"/>
          <w:szCs w:val="32"/>
        </w:rPr>
      </w:pPr>
      <w:r>
        <w:br w:type="page"/>
      </w:r>
    </w:p>
    <w:p w14:paraId="2ECB5C10" w14:textId="780EE0F1" w:rsidR="00F86295" w:rsidRDefault="00F86295" w:rsidP="00AC574A">
      <w:pPr>
        <w:pStyle w:val="Heading1"/>
      </w:pPr>
      <w:bookmarkStart w:id="0" w:name="_Toc59874300"/>
      <w:r>
        <w:lastRenderedPageBreak/>
        <w:t>Introduction</w:t>
      </w:r>
      <w:bookmarkEnd w:id="0"/>
    </w:p>
    <w:p w14:paraId="5112F503" w14:textId="77777777" w:rsidR="006509D8" w:rsidRDefault="00F86295" w:rsidP="006509D8">
      <w:r>
        <w:tab/>
      </w:r>
      <w:r w:rsidR="006509D8">
        <w:t>In the United Kingdom, about 73,000 people were specifically employed by the pharmaceutical sector, adding £8.4 billion to UK GDP in 2007 and spending a total of £3.9 billion in R&amp;D. Exports of medicinal items from the United Kingdom contributed to £14.6 billion in 2007, generating a trade imbalance of £4.3 billion for pharmaceutical products.</w:t>
      </w:r>
    </w:p>
    <w:p w14:paraId="5F4E575E" w14:textId="77777777" w:rsidR="006509D8" w:rsidRDefault="006509D8" w:rsidP="006509D8">
      <w:pPr>
        <w:ind w:firstLine="720"/>
      </w:pPr>
      <w:r>
        <w:t>UK Pharmacy jobs in 2017 is 73,000 relatives equivalent to 114,000 in Germany in 2015, 92,000 in France in 2014 and 723,000 in the European Union as a whole. As of 2016, there were 281,440 employees employed in the pharmaceutical sector in the United States.</w:t>
      </w:r>
    </w:p>
    <w:p w14:paraId="5C20203D" w14:textId="77777777" w:rsidR="006509D8" w:rsidRDefault="006509D8" w:rsidP="006509D8">
      <w:pPr>
        <w:ind w:firstLine="720"/>
      </w:pPr>
      <w:r>
        <w:t>Headquartered in the United Kingdom, GlaxoSmithKline and AstraZeneca are the fifth and sixth biggest pharmaceutical firms in the country, determined by market share in 2009. International firms with a strong presence in the UK pharmaceutical sector include Pfizer, Novartis, Hoffmann-La Roche and Eisai. One in five of the world's largest-selling generic medicines has been made in the United Kingdom.</w:t>
      </w:r>
    </w:p>
    <w:p w14:paraId="41B46A80" w14:textId="52A697F3" w:rsidR="00AC574A" w:rsidRDefault="00AC574A" w:rsidP="006509D8">
      <w:pPr>
        <w:pStyle w:val="Heading1"/>
      </w:pPr>
      <w:bookmarkStart w:id="1" w:name="_Toc59874301"/>
      <w:r>
        <w:t>About the Company</w:t>
      </w:r>
      <w:bookmarkEnd w:id="1"/>
    </w:p>
    <w:p w14:paraId="1BE011DA" w14:textId="77777777" w:rsidR="006509D8" w:rsidRPr="006509D8" w:rsidRDefault="006509D8" w:rsidP="006509D8">
      <w:pPr>
        <w:ind w:firstLine="720"/>
      </w:pPr>
      <w:r w:rsidRPr="006509D8">
        <w:t>AstraZeneca plc is a British-Swedish multinational pharmaceutical and biopharmaceutical firm headquartered in Cambridge, England. AstraZeneca supplies a variety of medicines for worldwide disease regions, including cancer, liver, urinary tract, infection, contagious and inflammatory drugs. The Swedish branch of the company, AstraZeneca AB, is a subsidiary of AstraZeneca plc (Astrazeneca.com 2020).</w:t>
      </w:r>
    </w:p>
    <w:p w14:paraId="7E199A5B" w14:textId="77777777" w:rsidR="006509D8" w:rsidRPr="006509D8" w:rsidRDefault="006509D8" w:rsidP="006509D8">
      <w:pPr>
        <w:ind w:firstLine="720"/>
      </w:pPr>
      <w:r w:rsidRPr="006509D8">
        <w:t xml:space="preserve">The business was established in 1999 through the combination of Astra AB of Sweden and Zeneca Group of the United Kingdom (itself formed by the demerger of the pharmaceutical operations of Imperial Chemical Industries in 1993). It is one of the major pharmaceutical businesses in the world since the merger and has made a variety of strategic acquisitions, including Cambridge Antibody Technology (2006), </w:t>
      </w:r>
      <w:proofErr w:type="spellStart"/>
      <w:r w:rsidRPr="006509D8">
        <w:t>MedImmune</w:t>
      </w:r>
      <w:proofErr w:type="spellEnd"/>
      <w:r w:rsidRPr="006509D8">
        <w:t xml:space="preserve"> (2007), </w:t>
      </w:r>
      <w:proofErr w:type="spellStart"/>
      <w:r w:rsidRPr="006509D8">
        <w:t>Spirogen</w:t>
      </w:r>
      <w:proofErr w:type="spellEnd"/>
      <w:r w:rsidRPr="006509D8">
        <w:t xml:space="preserve"> (2013) and </w:t>
      </w:r>
      <w:r w:rsidRPr="006509D8">
        <w:lastRenderedPageBreak/>
        <w:t xml:space="preserve">Definiens (2013) (by </w:t>
      </w:r>
      <w:proofErr w:type="spellStart"/>
      <w:r w:rsidRPr="006509D8">
        <w:t>MedImmune</w:t>
      </w:r>
      <w:proofErr w:type="spellEnd"/>
      <w:r w:rsidRPr="006509D8">
        <w:t xml:space="preserve"> in 2014). Three regional hubs were involved in study and development activities: Cambridge, England; Maryland, USA; Gothenburg, Sweden; and Gaithersburg.</w:t>
      </w:r>
    </w:p>
    <w:p w14:paraId="3347CBD5" w14:textId="77777777" w:rsidR="006509D8" w:rsidRDefault="006509D8" w:rsidP="006509D8">
      <w:pPr>
        <w:ind w:firstLine="720"/>
      </w:pPr>
      <w:r w:rsidRPr="006509D8">
        <w:t>As part of the FTSE 100 Ranking, AstraZeneca is primarily listed on the London Stock Exchange. It has Nasdaq, the Indian National Stock Exchange, the Bombay Stock Exchange, and the Swedish OMX.</w:t>
      </w:r>
    </w:p>
    <w:p w14:paraId="69A4E5C1" w14:textId="09F26636" w:rsidR="00AC574A" w:rsidRDefault="00AC574A" w:rsidP="006509D8">
      <w:pPr>
        <w:pStyle w:val="Heading1"/>
      </w:pPr>
      <w:bookmarkStart w:id="2" w:name="_Toc59874302"/>
      <w:r>
        <w:t>Coronavirus (COVID-19) response</w:t>
      </w:r>
      <w:bookmarkEnd w:id="2"/>
    </w:p>
    <w:p w14:paraId="1B902B87" w14:textId="77777777" w:rsidR="006509D8" w:rsidRDefault="00AC574A" w:rsidP="006509D8">
      <w:r>
        <w:tab/>
      </w:r>
      <w:r w:rsidR="006509D8">
        <w:t>In March 2020, the corporation revealed that it will contribute PPE, including 9 million face masks, to help fund numerous international health agencies in the prevention of the COVID-19 pandemic.</w:t>
      </w:r>
    </w:p>
    <w:p w14:paraId="04E28D5F" w14:textId="77777777" w:rsidR="006509D8" w:rsidRDefault="006509D8" w:rsidP="006509D8">
      <w:pPr>
        <w:ind w:firstLine="720"/>
      </w:pPr>
      <w:r>
        <w:t xml:space="preserve">Chief Executive Pascal </w:t>
      </w:r>
      <w:proofErr w:type="spellStart"/>
      <w:r>
        <w:t>Soriot</w:t>
      </w:r>
      <w:proofErr w:type="spellEnd"/>
      <w:r>
        <w:t xml:space="preserve"> announced in April that GlaxoSmithKline and Cambridge University had partnered with the organisation to set up a new laboratory capable of performing 30,000 COVID-19 studies per day. The business has also released plans for a clinical study to examine the possible application of </w:t>
      </w:r>
      <w:proofErr w:type="spellStart"/>
      <w:r>
        <w:t>Calquence</w:t>
      </w:r>
      <w:proofErr w:type="spellEnd"/>
      <w:r>
        <w:t xml:space="preserve"> in COVID-19 treatment.</w:t>
      </w:r>
    </w:p>
    <w:p w14:paraId="02563940" w14:textId="77777777" w:rsidR="006509D8" w:rsidRDefault="006509D8" w:rsidP="006509D8">
      <w:pPr>
        <w:ind w:firstLine="720"/>
      </w:pPr>
      <w:r>
        <w:t>In June 2020, the National Institute of Allergy and Infectious Diseases (NIAID) reported that the third step of research on new vaccines by Oxford University and AstraZeneca will begin in July 2020. One of them, AZD122222, has completed phase III trials (Astrazeneca.com 2020).</w:t>
      </w:r>
    </w:p>
    <w:p w14:paraId="6B7CFF26" w14:textId="034F665D" w:rsidR="00D6316E" w:rsidRDefault="006509D8" w:rsidP="006509D8">
      <w:pPr>
        <w:ind w:firstLine="720"/>
      </w:pPr>
      <w:r>
        <w:t>Oxford University/AstraZeneca announced a promising study of coronavirus vaccination on 23 November 2020 to keep 70 per cent of patients from experiencing symptoms. Researchers conclude that by tweaking the dosage, the number may be as high as 90%.</w:t>
      </w:r>
    </w:p>
    <w:p w14:paraId="7E60D0F2" w14:textId="2BA4C742" w:rsidR="00C81D17" w:rsidRDefault="00C81D17" w:rsidP="00D6316E">
      <w:pPr>
        <w:pStyle w:val="Heading1"/>
      </w:pPr>
      <w:bookmarkStart w:id="3" w:name="_Toc59874303"/>
      <w:r>
        <w:lastRenderedPageBreak/>
        <w:t>Business Strategy</w:t>
      </w:r>
      <w:bookmarkEnd w:id="3"/>
    </w:p>
    <w:p w14:paraId="54293A14" w14:textId="77777777" w:rsidR="00C81D17" w:rsidRDefault="00C81D17" w:rsidP="00C81D17">
      <w:pPr>
        <w:ind w:firstLine="720"/>
      </w:pPr>
      <w:r w:rsidRPr="00C81D17">
        <w:t xml:space="preserve">AstraZeneca is one of the world's largest makers of prescription goods. It has a broad variety of goods for global disease areas under its marketing combination commodity line which has multiple labels under it. The AstraZeneca medication </w:t>
      </w:r>
      <w:proofErr w:type="spellStart"/>
      <w:r w:rsidRPr="00C81D17">
        <w:t>Tremelimumab</w:t>
      </w:r>
      <w:proofErr w:type="spellEnd"/>
      <w:r w:rsidRPr="00C81D17">
        <w:t xml:space="preserve"> has been approved as an orphan drug for the management of a condition known as mesothelioma in the USA. The main divisions of the business are the Healthcare Segment that produces and sells prescription drugs and the Clinical Research Segment that offers clinical trial facilities for pharmaceutical products to its community companies. </w:t>
      </w:r>
    </w:p>
    <w:p w14:paraId="1694E153" w14:textId="77777777" w:rsidR="00C81D17" w:rsidRDefault="00C81D17" w:rsidP="00C81D17">
      <w:pPr>
        <w:ind w:firstLine="720"/>
      </w:pPr>
      <w:r w:rsidRPr="00C81D17">
        <w:t xml:space="preserve">Cost containment is all that this pharmaceutical firm has tried to expand its market base. But more is expected for the same as overhead management, experience cost savings, avoidance of marginal consumer accounts, etc., and the target has been effectively accomplished. AstraZeneca frequently takes into consideration the prices of pharmaceutical drugs sustained during R&amp;D. </w:t>
      </w:r>
    </w:p>
    <w:p w14:paraId="34F2B5B6" w14:textId="36DB535B" w:rsidR="00C81D17" w:rsidRDefault="00C81D17" w:rsidP="00C81D17">
      <w:pPr>
        <w:ind w:firstLine="720"/>
      </w:pPr>
      <w:r w:rsidRPr="00C81D17">
        <w:t xml:space="preserve">The headquarters of AstraZeneca are in London, England and the headquarters of Research and Production are in Warsaw, Poland. The other R&amp;D offices are in Cambridge, Maryland, USA, and </w:t>
      </w:r>
      <w:proofErr w:type="spellStart"/>
      <w:r w:rsidRPr="00C81D17">
        <w:t>MoIndal</w:t>
      </w:r>
      <w:proofErr w:type="spellEnd"/>
      <w:r w:rsidRPr="00C81D17">
        <w:t xml:space="preserve">, Sweden. At more than 100 locations in India, the business has extensive clinical operations. It has an In-house Global Technology Centre (GTC) in Chennai, India, which provides the company's worldwide activities with numerous allied facilities. Medicines and goods from AstraZeneca are accessible at all leading hospitals and clinics. </w:t>
      </w:r>
    </w:p>
    <w:p w14:paraId="3196EA1C" w14:textId="5EB0B9CB" w:rsidR="00C81D17" w:rsidRDefault="00C81D17" w:rsidP="00C81D17">
      <w:pPr>
        <w:ind w:firstLine="720"/>
      </w:pPr>
      <w:r w:rsidRPr="00C81D17">
        <w:t>AstraZeneca, by advertisement and naming, offers its visibility a tonne of value. It does not market its goods as other FMCG firms, because it is a pharmacy brand. It organises numerous meetings, workshops, conferences including physicians, NGOs, government bodies, etc., promoting a good message regarding its goods. The brand is often marketed by written advertising showcasing the company's successful business and R&amp;D activities.</w:t>
      </w:r>
    </w:p>
    <w:p w14:paraId="3CD49569" w14:textId="74913FE9" w:rsidR="007C2539" w:rsidRDefault="007C2539" w:rsidP="007C2539">
      <w:pPr>
        <w:pStyle w:val="Heading1"/>
      </w:pPr>
      <w:bookmarkStart w:id="4" w:name="_Toc59874304"/>
      <w:r>
        <w:lastRenderedPageBreak/>
        <w:t>Recent news and acquisitions</w:t>
      </w:r>
      <w:bookmarkEnd w:id="4"/>
    </w:p>
    <w:p w14:paraId="2FCF7706" w14:textId="6CFC0BE2" w:rsidR="007C2539" w:rsidRPr="007C2539" w:rsidRDefault="007C2539" w:rsidP="007C2539">
      <w:r>
        <w:tab/>
        <w:t xml:space="preserve">The British pharmaceutical company AstraZeneca, which is finalising the Covid-19 vaccine, said it was purchasing $39 billion from the US biotech firm Alexion to improve its immunology work. Alexion has developed itself as a pioneer in supplement biology, offering life-changing advantages to uncommon disorder patients, Pascal </w:t>
      </w:r>
      <w:proofErr w:type="spellStart"/>
      <w:r>
        <w:t>Soriot</w:t>
      </w:r>
      <w:proofErr w:type="spellEnd"/>
      <w:r>
        <w:t>, chief executive of AstraZeneca, said in a statement unveiling the year's biggest transaction in the pharmaceutical industry. The cash-and-stock offer, which prices Alexion at $175 a share, has been accepted by both boards, a 45% premium to the trading price of the Boston-based firm</w:t>
      </w:r>
      <w:r w:rsidR="00571A15">
        <w:t xml:space="preserve">. </w:t>
      </w:r>
      <w:proofErr w:type="spellStart"/>
      <w:r>
        <w:t>Soriot</w:t>
      </w:r>
      <w:proofErr w:type="spellEnd"/>
      <w:r>
        <w:t xml:space="preserve"> has driven the company into profitable treatments such as cancer therapy since taking the reins at AstraZeneca in 2012, and the Alexion purchase would give it more heft in fields such as managing blood disorders. AstraZeneca has developed a successful Covid-19 vaccine along with researchers from the University of Oxford, which the UK government aims to use as the lynchpin of its inoculation campaign, after first rolling out another Pfizer/BioNTech vaccine</w:t>
      </w:r>
      <w:r w:rsidR="009D3395">
        <w:t xml:space="preserve"> (</w:t>
      </w:r>
      <w:r w:rsidR="009D3395" w:rsidRPr="009D3395">
        <w:rPr>
          <w:rFonts w:cs="Times New Roman"/>
          <w:szCs w:val="24"/>
        </w:rPr>
        <w:t>Hindustan Times 2020</w:t>
      </w:r>
      <w:r w:rsidR="009D3395">
        <w:rPr>
          <w:rFonts w:cs="Times New Roman"/>
          <w:szCs w:val="24"/>
        </w:rPr>
        <w:t>)</w:t>
      </w:r>
      <w:r>
        <w:t>. However, following questions regarding the initial study performance, clearance of the AstraZeneca/Oxford medication was kept up. In a science journal, the UK partners become the first Covid-19 vaccine makers to report final-stage clinical trial results, clearing a crucial obstacle. The latest merger is scheduled to complete in the third quarter of 2021, and 15 percent of the merged business will be held by Alexion shareholders.</w:t>
      </w:r>
    </w:p>
    <w:p w14:paraId="34F848FB" w14:textId="072F998C" w:rsidR="00AC574A" w:rsidRDefault="00C81D17" w:rsidP="00C81D17">
      <w:pPr>
        <w:pStyle w:val="Heading1"/>
      </w:pPr>
      <w:bookmarkStart w:id="5" w:name="_Toc59874305"/>
      <w:r>
        <w:t>Financial Performance</w:t>
      </w:r>
      <w:bookmarkEnd w:id="5"/>
    </w:p>
    <w:p w14:paraId="482242BC" w14:textId="65036288" w:rsidR="00C81D17" w:rsidRDefault="00C81D17" w:rsidP="00C81D17">
      <w:r>
        <w:tab/>
        <w:t>AstraZeneca, with respect to total revenue was up</w:t>
      </w:r>
      <w:r w:rsidRPr="00C81D17">
        <w:t xml:space="preserve"> 10% to $24,384 million at the real exchange rate (up 13% at CER), with product revenues worth $23,565 million (up 12%; 15% at CER) plus partnership income of $819 million (down 21 percent; 20 percent at CER).</w:t>
      </w:r>
      <w:r>
        <w:t xml:space="preserve"> Net Cash Flow from operating activities was u</w:t>
      </w:r>
      <w:r w:rsidRPr="00C81D17">
        <w:t>p 13% at actual rate of exchange to $2,969 million</w:t>
      </w:r>
      <w:r>
        <w:t>.</w:t>
      </w:r>
    </w:p>
    <w:p w14:paraId="4DE7EE32" w14:textId="0953C57C" w:rsidR="00C81D17" w:rsidRDefault="00C81D17" w:rsidP="00C81D17">
      <w:pPr>
        <w:jc w:val="center"/>
      </w:pPr>
      <w:r>
        <w:rPr>
          <w:noProof/>
        </w:rPr>
        <w:lastRenderedPageBreak/>
        <w:drawing>
          <wp:inline distT="0" distB="0" distL="0" distR="0" wp14:anchorId="7B7EF159" wp14:editId="193C758B">
            <wp:extent cx="2401677" cy="8305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464341" cy="852251"/>
                    </a:xfrm>
                    <a:prstGeom prst="rect">
                      <a:avLst/>
                    </a:prstGeom>
                  </pic:spPr>
                </pic:pic>
              </a:graphicData>
            </a:graphic>
          </wp:inline>
        </w:drawing>
      </w:r>
    </w:p>
    <w:p w14:paraId="6DCBE0A3" w14:textId="0A2523BE" w:rsidR="00C81D17" w:rsidRDefault="00C81D17" w:rsidP="00C81D17">
      <w:pPr>
        <w:jc w:val="center"/>
      </w:pPr>
      <w:r>
        <w:t xml:space="preserve">Figure 1: </w:t>
      </w:r>
      <w:r w:rsidRPr="00C81D17">
        <w:t>Total Revenue</w:t>
      </w:r>
    </w:p>
    <w:p w14:paraId="5D1EE19A" w14:textId="360E9C0D" w:rsidR="00AC574A" w:rsidRDefault="00C81D17" w:rsidP="00C81D17">
      <w:pPr>
        <w:jc w:val="center"/>
      </w:pPr>
      <w:r>
        <w:rPr>
          <w:noProof/>
        </w:rPr>
        <w:drawing>
          <wp:inline distT="0" distB="0" distL="0" distR="0" wp14:anchorId="4660D4AF" wp14:editId="154A7CF4">
            <wp:extent cx="2362200" cy="872121"/>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456124" cy="906798"/>
                    </a:xfrm>
                    <a:prstGeom prst="rect">
                      <a:avLst/>
                    </a:prstGeom>
                  </pic:spPr>
                </pic:pic>
              </a:graphicData>
            </a:graphic>
          </wp:inline>
        </w:drawing>
      </w:r>
    </w:p>
    <w:p w14:paraId="6985690D" w14:textId="0E1F172F" w:rsidR="00C81D17" w:rsidRDefault="00C81D17" w:rsidP="00C81D17">
      <w:pPr>
        <w:jc w:val="center"/>
      </w:pPr>
      <w:r>
        <w:t xml:space="preserve">Figure 2: </w:t>
      </w:r>
      <w:r w:rsidRPr="00C81D17">
        <w:t>Net cash flow from operating activities</w:t>
      </w:r>
    </w:p>
    <w:p w14:paraId="59C9214E" w14:textId="4D0E86D2" w:rsidR="00C81D17" w:rsidRDefault="009F7DCC" w:rsidP="009F7DCC">
      <w:r>
        <w:tab/>
        <w:t>The reported operating profit was d</w:t>
      </w:r>
      <w:r w:rsidRPr="009F7DCC">
        <w:t>own 14% at actual rate of exchange to $2,924 million (down 16% at CER)</w:t>
      </w:r>
      <w:r>
        <w:t>. Core operating profit was up 13% at actual rate of exchange to $6,436 million (up 13% at CER).</w:t>
      </w:r>
    </w:p>
    <w:p w14:paraId="4157096B" w14:textId="4C49730B" w:rsidR="009F7DCC" w:rsidRDefault="009F7DCC" w:rsidP="009F7DCC">
      <w:pPr>
        <w:jc w:val="center"/>
      </w:pPr>
      <w:r>
        <w:rPr>
          <w:noProof/>
        </w:rPr>
        <w:drawing>
          <wp:inline distT="0" distB="0" distL="0" distR="0" wp14:anchorId="5523DD63" wp14:editId="36C6DD48">
            <wp:extent cx="2575560" cy="9603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2632124" cy="981470"/>
                    </a:xfrm>
                    <a:prstGeom prst="rect">
                      <a:avLst/>
                    </a:prstGeom>
                  </pic:spPr>
                </pic:pic>
              </a:graphicData>
            </a:graphic>
          </wp:inline>
        </w:drawing>
      </w:r>
    </w:p>
    <w:p w14:paraId="38CF3FB8" w14:textId="16987725" w:rsidR="009F7DCC" w:rsidRDefault="009F7DCC" w:rsidP="009F7DCC">
      <w:pPr>
        <w:jc w:val="center"/>
      </w:pPr>
      <w:r>
        <w:t>Figure 3: The reported operating profit</w:t>
      </w:r>
    </w:p>
    <w:p w14:paraId="4556001C" w14:textId="77AB180A" w:rsidR="009F7DCC" w:rsidRDefault="009F7DCC" w:rsidP="009F7DCC">
      <w:pPr>
        <w:jc w:val="center"/>
      </w:pPr>
      <w:r>
        <w:rPr>
          <w:noProof/>
        </w:rPr>
        <w:drawing>
          <wp:inline distT="0" distB="0" distL="0" distR="0" wp14:anchorId="64A1621D" wp14:editId="6F4D7A4D">
            <wp:extent cx="2545080" cy="940458"/>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2650925" cy="979570"/>
                    </a:xfrm>
                    <a:prstGeom prst="rect">
                      <a:avLst/>
                    </a:prstGeom>
                  </pic:spPr>
                </pic:pic>
              </a:graphicData>
            </a:graphic>
          </wp:inline>
        </w:drawing>
      </w:r>
    </w:p>
    <w:p w14:paraId="79C641A6" w14:textId="392F249F" w:rsidR="009F7DCC" w:rsidRDefault="009F7DCC" w:rsidP="009F7DCC">
      <w:pPr>
        <w:jc w:val="center"/>
      </w:pPr>
      <w:r>
        <w:t>Figure 4: Core operating profit</w:t>
      </w:r>
    </w:p>
    <w:p w14:paraId="4EB81BE4" w14:textId="77777777" w:rsidR="009F7DCC" w:rsidRDefault="009F7DCC" w:rsidP="009F7DCC">
      <w:r>
        <w:tab/>
        <w:t>In terms of earning per share (EPS), reported EPS was down 40% at actual rate of exchange to $1.03 (down 44% at CER) and the core EPS was up 1% at actual rate of exchange to $3.50 (0% at CER).</w:t>
      </w:r>
    </w:p>
    <w:p w14:paraId="609CC652" w14:textId="3C0A6A91" w:rsidR="009F7DCC" w:rsidRDefault="009F7DCC" w:rsidP="009F7DCC">
      <w:pPr>
        <w:jc w:val="center"/>
      </w:pPr>
      <w:r>
        <w:rPr>
          <w:noProof/>
        </w:rPr>
        <w:lastRenderedPageBreak/>
        <w:drawing>
          <wp:inline distT="0" distB="0" distL="0" distR="0" wp14:anchorId="1F05FF6D" wp14:editId="555119A8">
            <wp:extent cx="2453640" cy="916166"/>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2499858" cy="933423"/>
                    </a:xfrm>
                    <a:prstGeom prst="rect">
                      <a:avLst/>
                    </a:prstGeom>
                  </pic:spPr>
                </pic:pic>
              </a:graphicData>
            </a:graphic>
          </wp:inline>
        </w:drawing>
      </w:r>
    </w:p>
    <w:p w14:paraId="76A70760" w14:textId="25E7D814" w:rsidR="009F7DCC" w:rsidRDefault="009F7DCC" w:rsidP="009F7DCC">
      <w:pPr>
        <w:jc w:val="center"/>
      </w:pPr>
      <w:r>
        <w:t>Figure 5: Reported EPS</w:t>
      </w:r>
    </w:p>
    <w:p w14:paraId="0B38BCFB" w14:textId="4A593036" w:rsidR="009F7DCC" w:rsidRDefault="009F7DCC" w:rsidP="009F7DCC">
      <w:pPr>
        <w:jc w:val="center"/>
      </w:pPr>
      <w:r>
        <w:rPr>
          <w:noProof/>
        </w:rPr>
        <w:drawing>
          <wp:inline distT="0" distB="0" distL="0" distR="0" wp14:anchorId="444DBFF8" wp14:editId="1887FBF4">
            <wp:extent cx="2506980" cy="901446"/>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a:extLst>
                        <a:ext uri="{28A0092B-C50C-407E-A947-70E740481C1C}">
                          <a14:useLocalDpi xmlns:a14="http://schemas.microsoft.com/office/drawing/2010/main" val="0"/>
                        </a:ext>
                      </a:extLst>
                    </a:blip>
                    <a:stretch>
                      <a:fillRect/>
                    </a:stretch>
                  </pic:blipFill>
                  <pic:spPr>
                    <a:xfrm>
                      <a:off x="0" y="0"/>
                      <a:ext cx="2551474" cy="917445"/>
                    </a:xfrm>
                    <a:prstGeom prst="rect">
                      <a:avLst/>
                    </a:prstGeom>
                  </pic:spPr>
                </pic:pic>
              </a:graphicData>
            </a:graphic>
          </wp:inline>
        </w:drawing>
      </w:r>
    </w:p>
    <w:p w14:paraId="5A9B6341" w14:textId="5CB8B248" w:rsidR="009F7DCC" w:rsidRDefault="009F7DCC" w:rsidP="009F7DCC">
      <w:pPr>
        <w:jc w:val="center"/>
      </w:pPr>
      <w:r>
        <w:t>Figure 6: Core EPS</w:t>
      </w:r>
    </w:p>
    <w:p w14:paraId="1E3337C1" w14:textId="77777777" w:rsidR="00FC6FA2" w:rsidRDefault="00FC6FA2" w:rsidP="00FC6FA2">
      <w:pPr>
        <w:pStyle w:val="Heading2"/>
      </w:pPr>
      <w:bookmarkStart w:id="6" w:name="_Toc59874306"/>
      <w:r>
        <w:t>Key Financial Ratios</w:t>
      </w:r>
      <w:bookmarkEnd w:id="6"/>
    </w:p>
    <w:p w14:paraId="309F8BD8" w14:textId="3E50B965" w:rsidR="00FC6FA2" w:rsidRDefault="00FC6FA2" w:rsidP="00FC6FA2">
      <w:r>
        <w:tab/>
      </w:r>
      <w:r w:rsidR="006509D8" w:rsidRPr="006509D8">
        <w:t>Profitability ratios are a category of accounting measures utilised over time to measure the ability of a company to receive profits, using statistics from a given span of time, compared to its sales, operational expenses, balance sheet assets, or equity. Getting a higher valuation than the prior cycle with such profitability levels equivalent to the rival ratio or equal to the same ratio suggests that the business is performing well. Profitability ratios are more relevant than comparable firms, the company's own experience, or traditional ratios for the company's field. It will also not be beneficial to match the retailer's fourth quarter gross profit margin with the first quarter gross profit margin, because they are not strictly equivalent. The calculation of the profit margin of the fourth quarter of a company with a profit margin of the fourth quarter of the previous year can be much more insightful. The year-on-year profitability ratio of the gross profit margin improved from 2018 to 2019, but the net profit margin and the EBITDA margin fell year-on-year as AstraZeneca increased its spending in capital assets and the costs of research and development.</w:t>
      </w:r>
    </w:p>
    <w:tbl>
      <w:tblPr>
        <w:tblStyle w:val="TableGrid"/>
        <w:tblW w:w="3820" w:type="dxa"/>
        <w:jc w:val="center"/>
        <w:tblLook w:val="04A0" w:firstRow="1" w:lastRow="0" w:firstColumn="1" w:lastColumn="0" w:noHBand="0" w:noVBand="1"/>
      </w:tblPr>
      <w:tblGrid>
        <w:gridCol w:w="2150"/>
        <w:gridCol w:w="960"/>
        <w:gridCol w:w="960"/>
      </w:tblGrid>
      <w:tr w:rsidR="00FC6FA2" w:rsidRPr="00FC6FA2" w14:paraId="03B3FFA0" w14:textId="77777777" w:rsidTr="00FC6FA2">
        <w:trPr>
          <w:trHeight w:val="288"/>
          <w:jc w:val="center"/>
        </w:trPr>
        <w:tc>
          <w:tcPr>
            <w:tcW w:w="1900" w:type="dxa"/>
            <w:noWrap/>
            <w:hideMark/>
          </w:tcPr>
          <w:p w14:paraId="75E35D6D" w14:textId="77777777" w:rsidR="00FC6FA2" w:rsidRPr="00FC6FA2" w:rsidRDefault="00FC6FA2">
            <w:pPr>
              <w:rPr>
                <w:b/>
                <w:bCs/>
                <w:u w:val="single"/>
              </w:rPr>
            </w:pPr>
            <w:r w:rsidRPr="00FC6FA2">
              <w:rPr>
                <w:b/>
                <w:bCs/>
                <w:u w:val="single"/>
              </w:rPr>
              <w:t>Profitability ratio</w:t>
            </w:r>
          </w:p>
        </w:tc>
        <w:tc>
          <w:tcPr>
            <w:tcW w:w="960" w:type="dxa"/>
            <w:noWrap/>
            <w:hideMark/>
          </w:tcPr>
          <w:p w14:paraId="2E8420D3" w14:textId="77777777" w:rsidR="00FC6FA2" w:rsidRPr="00FC6FA2" w:rsidRDefault="00FC6FA2">
            <w:pPr>
              <w:rPr>
                <w:b/>
                <w:bCs/>
                <w:u w:val="single"/>
              </w:rPr>
            </w:pPr>
          </w:p>
        </w:tc>
        <w:tc>
          <w:tcPr>
            <w:tcW w:w="960" w:type="dxa"/>
            <w:noWrap/>
            <w:hideMark/>
          </w:tcPr>
          <w:p w14:paraId="1DEC0CCE" w14:textId="77777777" w:rsidR="00FC6FA2" w:rsidRPr="00FC6FA2" w:rsidRDefault="00FC6FA2"/>
        </w:tc>
      </w:tr>
      <w:tr w:rsidR="00FC6FA2" w:rsidRPr="00FC6FA2" w14:paraId="783E6452" w14:textId="77777777" w:rsidTr="00FC6FA2">
        <w:trPr>
          <w:trHeight w:val="288"/>
          <w:jc w:val="center"/>
        </w:trPr>
        <w:tc>
          <w:tcPr>
            <w:tcW w:w="0" w:type="auto"/>
            <w:noWrap/>
            <w:hideMark/>
          </w:tcPr>
          <w:p w14:paraId="2B6246DD" w14:textId="77777777" w:rsidR="00FC6FA2" w:rsidRPr="00FC6FA2" w:rsidRDefault="00FC6FA2"/>
        </w:tc>
        <w:tc>
          <w:tcPr>
            <w:tcW w:w="0" w:type="auto"/>
            <w:noWrap/>
            <w:hideMark/>
          </w:tcPr>
          <w:p w14:paraId="7445466D" w14:textId="77777777" w:rsidR="00FC6FA2" w:rsidRPr="00FC6FA2" w:rsidRDefault="00FC6FA2" w:rsidP="00FC6FA2">
            <w:r w:rsidRPr="00FC6FA2">
              <w:t>2019</w:t>
            </w:r>
          </w:p>
        </w:tc>
        <w:tc>
          <w:tcPr>
            <w:tcW w:w="0" w:type="auto"/>
            <w:noWrap/>
            <w:hideMark/>
          </w:tcPr>
          <w:p w14:paraId="20ABC201" w14:textId="77777777" w:rsidR="00FC6FA2" w:rsidRPr="00FC6FA2" w:rsidRDefault="00FC6FA2" w:rsidP="00FC6FA2">
            <w:r w:rsidRPr="00FC6FA2">
              <w:t>2018</w:t>
            </w:r>
          </w:p>
        </w:tc>
      </w:tr>
      <w:tr w:rsidR="00FC6FA2" w:rsidRPr="00FC6FA2" w14:paraId="7C182B2F" w14:textId="77777777" w:rsidTr="00FC6FA2">
        <w:trPr>
          <w:trHeight w:val="288"/>
          <w:jc w:val="center"/>
        </w:trPr>
        <w:tc>
          <w:tcPr>
            <w:tcW w:w="0" w:type="auto"/>
            <w:noWrap/>
            <w:hideMark/>
          </w:tcPr>
          <w:p w14:paraId="0C9B9454" w14:textId="77777777" w:rsidR="00FC6FA2" w:rsidRPr="00FC6FA2" w:rsidRDefault="00FC6FA2" w:rsidP="00FC6FA2">
            <w:r w:rsidRPr="00FC6FA2">
              <w:lastRenderedPageBreak/>
              <w:t>Gross Profit Margin</w:t>
            </w:r>
          </w:p>
        </w:tc>
        <w:tc>
          <w:tcPr>
            <w:tcW w:w="0" w:type="auto"/>
            <w:noWrap/>
            <w:hideMark/>
          </w:tcPr>
          <w:p w14:paraId="47961BC7" w14:textId="77777777" w:rsidR="00FC6FA2" w:rsidRPr="00FC6FA2" w:rsidRDefault="00FC6FA2" w:rsidP="00FC6FA2">
            <w:r w:rsidRPr="00FC6FA2">
              <w:t>79.82%</w:t>
            </w:r>
          </w:p>
        </w:tc>
        <w:tc>
          <w:tcPr>
            <w:tcW w:w="0" w:type="auto"/>
            <w:noWrap/>
            <w:hideMark/>
          </w:tcPr>
          <w:p w14:paraId="64B48326" w14:textId="77777777" w:rsidR="00FC6FA2" w:rsidRPr="00FC6FA2" w:rsidRDefault="00FC6FA2" w:rsidP="00FC6FA2">
            <w:r w:rsidRPr="00FC6FA2">
              <w:t>77.66%</w:t>
            </w:r>
          </w:p>
        </w:tc>
      </w:tr>
      <w:tr w:rsidR="00FC6FA2" w:rsidRPr="00FC6FA2" w14:paraId="38B8E279" w14:textId="77777777" w:rsidTr="00FC6FA2">
        <w:trPr>
          <w:trHeight w:val="288"/>
          <w:jc w:val="center"/>
        </w:trPr>
        <w:tc>
          <w:tcPr>
            <w:tcW w:w="0" w:type="auto"/>
            <w:noWrap/>
            <w:hideMark/>
          </w:tcPr>
          <w:p w14:paraId="463D96DF" w14:textId="77777777" w:rsidR="00FC6FA2" w:rsidRPr="00FC6FA2" w:rsidRDefault="00FC6FA2" w:rsidP="00FC6FA2">
            <w:r w:rsidRPr="00FC6FA2">
              <w:t>Net Profit Margin</w:t>
            </w:r>
          </w:p>
        </w:tc>
        <w:tc>
          <w:tcPr>
            <w:tcW w:w="0" w:type="auto"/>
            <w:noWrap/>
            <w:hideMark/>
          </w:tcPr>
          <w:p w14:paraId="43D1B8F6" w14:textId="77777777" w:rsidR="00FC6FA2" w:rsidRPr="00FC6FA2" w:rsidRDefault="00FC6FA2" w:rsidP="00FC6FA2">
            <w:r w:rsidRPr="00FC6FA2">
              <w:t>5.03%</w:t>
            </w:r>
          </w:p>
        </w:tc>
        <w:tc>
          <w:tcPr>
            <w:tcW w:w="0" w:type="auto"/>
            <w:noWrap/>
            <w:hideMark/>
          </w:tcPr>
          <w:p w14:paraId="5FB187F0" w14:textId="77777777" w:rsidR="00FC6FA2" w:rsidRPr="00FC6FA2" w:rsidRDefault="00FC6FA2" w:rsidP="00FC6FA2">
            <w:r w:rsidRPr="00FC6FA2">
              <w:t>9.28%</w:t>
            </w:r>
          </w:p>
        </w:tc>
      </w:tr>
      <w:tr w:rsidR="00FC6FA2" w:rsidRPr="00FC6FA2" w14:paraId="362F1B26" w14:textId="77777777" w:rsidTr="00FC6FA2">
        <w:trPr>
          <w:trHeight w:val="288"/>
          <w:jc w:val="center"/>
        </w:trPr>
        <w:tc>
          <w:tcPr>
            <w:tcW w:w="0" w:type="auto"/>
            <w:noWrap/>
            <w:hideMark/>
          </w:tcPr>
          <w:p w14:paraId="27D4FF18" w14:textId="77777777" w:rsidR="00FC6FA2" w:rsidRPr="00FC6FA2" w:rsidRDefault="00FC6FA2" w:rsidP="00FC6FA2">
            <w:r w:rsidRPr="00FC6FA2">
              <w:t>EBITDA Margin</w:t>
            </w:r>
          </w:p>
        </w:tc>
        <w:tc>
          <w:tcPr>
            <w:tcW w:w="0" w:type="auto"/>
            <w:noWrap/>
            <w:hideMark/>
          </w:tcPr>
          <w:p w14:paraId="314B0BF8" w14:textId="77777777" w:rsidR="00FC6FA2" w:rsidRPr="00FC6FA2" w:rsidRDefault="00FC6FA2" w:rsidP="00FC6FA2">
            <w:r w:rsidRPr="00FC6FA2">
              <w:t>27.42%</w:t>
            </w:r>
          </w:p>
        </w:tc>
        <w:tc>
          <w:tcPr>
            <w:tcW w:w="0" w:type="auto"/>
            <w:noWrap/>
            <w:hideMark/>
          </w:tcPr>
          <w:p w14:paraId="2716F12D" w14:textId="77777777" w:rsidR="00FC6FA2" w:rsidRPr="00FC6FA2" w:rsidRDefault="00FC6FA2" w:rsidP="00FC6FA2">
            <w:r w:rsidRPr="00FC6FA2">
              <w:t>32.32%</w:t>
            </w:r>
          </w:p>
        </w:tc>
      </w:tr>
    </w:tbl>
    <w:p w14:paraId="2C7EA6EF" w14:textId="15E2B3D3" w:rsidR="00FC6FA2" w:rsidRDefault="009D3395" w:rsidP="009D3395">
      <w:pPr>
        <w:jc w:val="center"/>
      </w:pPr>
      <w:r>
        <w:t>Source: (</w:t>
      </w:r>
      <w:r w:rsidRPr="009D3395">
        <w:rPr>
          <w:rFonts w:cs="Times New Roman"/>
          <w:szCs w:val="24"/>
        </w:rPr>
        <w:t>Uk.finance.yahoo.com 2020</w:t>
      </w:r>
      <w:r>
        <w:rPr>
          <w:rFonts w:cs="Times New Roman"/>
          <w:szCs w:val="24"/>
        </w:rPr>
        <w:t>)</w:t>
      </w:r>
    </w:p>
    <w:p w14:paraId="770F71E4" w14:textId="6F7AC7E4" w:rsidR="0073150F" w:rsidRDefault="00FC6FA2" w:rsidP="00FC6FA2">
      <w:r>
        <w:tab/>
      </w:r>
      <w:r w:rsidR="006509D8" w:rsidRPr="006509D8">
        <w:t>Liquidity ratios are a crucial class of financial indicators used to calculate the ability of the debtor to redeem unpaid debts without raising external capital. Liquidity ratios quantify the willingness of a business to pay financial protection liabilities by measuring metrics such as the current ratio, the accelerated ratio, and the operating cash flow ratio. Present creditors are assessed against liquid assets in order to determine the coverage of short-term obligations in the case of an emergency. Liquidity is the power to turn money into currency rapidly and easily. Liquidity levels are more valuable when they are used in equivalent cases. It could be internal or external to this study. Alternatively, external research means determining the liquidity levels of one company to another or the economy as a whole. This detail allows to compare the competitive position of the organisation in terms of its competitiveness and to set benchmark targets. Liquidity ratio analysis would not be as useful when looking at businesses as various industries need different methods of funding. Liquidity level analysis is less successful in evaluating companies of varying sizes in various geographic areas. The year-on-year liquidity ratio of the capital ratio improved marginally from 2018 to 2019, however the net profit margin and the EBITDA margin fell year-on-year as AstraZeneca increased its spending in fixed assets and the research and development expenses triggered cash outflows and the liquidation of short-term securities. There has also been a sudden surge in short-term debt related to short-term funding.</w:t>
      </w:r>
    </w:p>
    <w:tbl>
      <w:tblPr>
        <w:tblStyle w:val="TableGrid"/>
        <w:tblW w:w="0" w:type="auto"/>
        <w:jc w:val="center"/>
        <w:tblLook w:val="04A0" w:firstRow="1" w:lastRow="0" w:firstColumn="1" w:lastColumn="0" w:noHBand="0" w:noVBand="1"/>
      </w:tblPr>
      <w:tblGrid>
        <w:gridCol w:w="1900"/>
        <w:gridCol w:w="960"/>
        <w:gridCol w:w="960"/>
      </w:tblGrid>
      <w:tr w:rsidR="0073150F" w:rsidRPr="0073150F" w14:paraId="0C94C5E8" w14:textId="77777777" w:rsidTr="0073150F">
        <w:trPr>
          <w:trHeight w:val="288"/>
          <w:jc w:val="center"/>
        </w:trPr>
        <w:tc>
          <w:tcPr>
            <w:tcW w:w="1900" w:type="dxa"/>
            <w:noWrap/>
            <w:hideMark/>
          </w:tcPr>
          <w:p w14:paraId="1EBABC79" w14:textId="77777777" w:rsidR="0073150F" w:rsidRPr="0073150F" w:rsidRDefault="0073150F">
            <w:pPr>
              <w:rPr>
                <w:b/>
                <w:bCs/>
                <w:u w:val="single"/>
              </w:rPr>
            </w:pPr>
            <w:r w:rsidRPr="0073150F">
              <w:rPr>
                <w:b/>
                <w:bCs/>
                <w:u w:val="single"/>
              </w:rPr>
              <w:t>Liquidity ratio</w:t>
            </w:r>
          </w:p>
        </w:tc>
        <w:tc>
          <w:tcPr>
            <w:tcW w:w="960" w:type="dxa"/>
            <w:noWrap/>
            <w:hideMark/>
          </w:tcPr>
          <w:p w14:paraId="7CDD270D" w14:textId="77777777" w:rsidR="0073150F" w:rsidRPr="0073150F" w:rsidRDefault="0073150F">
            <w:pPr>
              <w:rPr>
                <w:b/>
                <w:bCs/>
                <w:u w:val="single"/>
              </w:rPr>
            </w:pPr>
          </w:p>
        </w:tc>
        <w:tc>
          <w:tcPr>
            <w:tcW w:w="960" w:type="dxa"/>
            <w:noWrap/>
            <w:hideMark/>
          </w:tcPr>
          <w:p w14:paraId="4B30074C" w14:textId="77777777" w:rsidR="0073150F" w:rsidRPr="0073150F" w:rsidRDefault="0073150F"/>
        </w:tc>
      </w:tr>
      <w:tr w:rsidR="0073150F" w:rsidRPr="0073150F" w14:paraId="70F59F09" w14:textId="77777777" w:rsidTr="0073150F">
        <w:trPr>
          <w:trHeight w:val="288"/>
          <w:jc w:val="center"/>
        </w:trPr>
        <w:tc>
          <w:tcPr>
            <w:tcW w:w="1900" w:type="dxa"/>
            <w:noWrap/>
            <w:hideMark/>
          </w:tcPr>
          <w:p w14:paraId="4278F9D9" w14:textId="77777777" w:rsidR="0073150F" w:rsidRPr="0073150F" w:rsidRDefault="0073150F"/>
        </w:tc>
        <w:tc>
          <w:tcPr>
            <w:tcW w:w="960" w:type="dxa"/>
            <w:noWrap/>
            <w:hideMark/>
          </w:tcPr>
          <w:p w14:paraId="3615C5E3" w14:textId="77777777" w:rsidR="0073150F" w:rsidRPr="0073150F" w:rsidRDefault="0073150F" w:rsidP="0073150F">
            <w:r w:rsidRPr="0073150F">
              <w:t>2019</w:t>
            </w:r>
          </w:p>
        </w:tc>
        <w:tc>
          <w:tcPr>
            <w:tcW w:w="960" w:type="dxa"/>
            <w:noWrap/>
            <w:hideMark/>
          </w:tcPr>
          <w:p w14:paraId="7C5556F3" w14:textId="77777777" w:rsidR="0073150F" w:rsidRPr="0073150F" w:rsidRDefault="0073150F" w:rsidP="0073150F">
            <w:r w:rsidRPr="0073150F">
              <w:t>2018</w:t>
            </w:r>
          </w:p>
        </w:tc>
      </w:tr>
      <w:tr w:rsidR="0073150F" w:rsidRPr="0073150F" w14:paraId="32F511B8" w14:textId="77777777" w:rsidTr="0073150F">
        <w:trPr>
          <w:trHeight w:val="288"/>
          <w:jc w:val="center"/>
        </w:trPr>
        <w:tc>
          <w:tcPr>
            <w:tcW w:w="1900" w:type="dxa"/>
            <w:noWrap/>
            <w:hideMark/>
          </w:tcPr>
          <w:p w14:paraId="19E318BA" w14:textId="77777777" w:rsidR="0073150F" w:rsidRPr="0073150F" w:rsidRDefault="0073150F" w:rsidP="0073150F">
            <w:r w:rsidRPr="0073150F">
              <w:t>Current Ratio</w:t>
            </w:r>
          </w:p>
        </w:tc>
        <w:tc>
          <w:tcPr>
            <w:tcW w:w="960" w:type="dxa"/>
            <w:noWrap/>
            <w:hideMark/>
          </w:tcPr>
          <w:p w14:paraId="3838662C" w14:textId="77777777" w:rsidR="0073150F" w:rsidRPr="0073150F" w:rsidRDefault="0073150F" w:rsidP="0073150F">
            <w:r w:rsidRPr="0073150F">
              <w:t>85.90%</w:t>
            </w:r>
          </w:p>
        </w:tc>
        <w:tc>
          <w:tcPr>
            <w:tcW w:w="960" w:type="dxa"/>
            <w:noWrap/>
            <w:hideMark/>
          </w:tcPr>
          <w:p w14:paraId="66B46E37" w14:textId="77777777" w:rsidR="0073150F" w:rsidRPr="0073150F" w:rsidRDefault="0073150F" w:rsidP="0073150F">
            <w:r w:rsidRPr="0073150F">
              <w:t>95.70%</w:t>
            </w:r>
          </w:p>
        </w:tc>
      </w:tr>
      <w:tr w:rsidR="0073150F" w:rsidRPr="0073150F" w14:paraId="7EE2B433" w14:textId="77777777" w:rsidTr="0073150F">
        <w:trPr>
          <w:trHeight w:val="288"/>
          <w:jc w:val="center"/>
        </w:trPr>
        <w:tc>
          <w:tcPr>
            <w:tcW w:w="1900" w:type="dxa"/>
            <w:noWrap/>
            <w:hideMark/>
          </w:tcPr>
          <w:p w14:paraId="7EB57C3C" w14:textId="77777777" w:rsidR="0073150F" w:rsidRPr="0073150F" w:rsidRDefault="0073150F" w:rsidP="0073150F">
            <w:r w:rsidRPr="0073150F">
              <w:t>Quick Ratio</w:t>
            </w:r>
          </w:p>
        </w:tc>
        <w:tc>
          <w:tcPr>
            <w:tcW w:w="960" w:type="dxa"/>
            <w:noWrap/>
            <w:hideMark/>
          </w:tcPr>
          <w:p w14:paraId="136BF313" w14:textId="77777777" w:rsidR="0073150F" w:rsidRPr="0073150F" w:rsidRDefault="0073150F" w:rsidP="0073150F">
            <w:r w:rsidRPr="0073150F">
              <w:t>68.28%</w:t>
            </w:r>
          </w:p>
        </w:tc>
        <w:tc>
          <w:tcPr>
            <w:tcW w:w="960" w:type="dxa"/>
            <w:noWrap/>
            <w:hideMark/>
          </w:tcPr>
          <w:p w14:paraId="2F58DB52" w14:textId="77777777" w:rsidR="0073150F" w:rsidRPr="0073150F" w:rsidRDefault="0073150F" w:rsidP="0073150F">
            <w:r w:rsidRPr="0073150F">
              <w:t>77.96%</w:t>
            </w:r>
          </w:p>
        </w:tc>
      </w:tr>
      <w:tr w:rsidR="0073150F" w:rsidRPr="0073150F" w14:paraId="235EFFC8" w14:textId="77777777" w:rsidTr="0073150F">
        <w:trPr>
          <w:trHeight w:val="288"/>
          <w:jc w:val="center"/>
        </w:trPr>
        <w:tc>
          <w:tcPr>
            <w:tcW w:w="1900" w:type="dxa"/>
            <w:noWrap/>
            <w:hideMark/>
          </w:tcPr>
          <w:p w14:paraId="5A27F971" w14:textId="77777777" w:rsidR="0073150F" w:rsidRPr="0073150F" w:rsidRDefault="0073150F" w:rsidP="0073150F">
            <w:r w:rsidRPr="0073150F">
              <w:t>Cash Ratio</w:t>
            </w:r>
          </w:p>
        </w:tc>
        <w:tc>
          <w:tcPr>
            <w:tcW w:w="960" w:type="dxa"/>
            <w:noWrap/>
            <w:hideMark/>
          </w:tcPr>
          <w:p w14:paraId="4A995A10" w14:textId="77777777" w:rsidR="0073150F" w:rsidRPr="0073150F" w:rsidRDefault="0073150F" w:rsidP="0073150F">
            <w:r w:rsidRPr="0073150F">
              <w:t>34.11%</w:t>
            </w:r>
          </w:p>
        </w:tc>
        <w:tc>
          <w:tcPr>
            <w:tcW w:w="960" w:type="dxa"/>
            <w:noWrap/>
            <w:hideMark/>
          </w:tcPr>
          <w:p w14:paraId="7820F4DF" w14:textId="77777777" w:rsidR="0073150F" w:rsidRPr="0073150F" w:rsidRDefault="0073150F" w:rsidP="0073150F">
            <w:r w:rsidRPr="0073150F">
              <w:t>34.09%</w:t>
            </w:r>
          </w:p>
        </w:tc>
      </w:tr>
    </w:tbl>
    <w:p w14:paraId="635864F5" w14:textId="0B78D0DB" w:rsidR="0073150F" w:rsidRDefault="00FC6FA2" w:rsidP="009D3395">
      <w:pPr>
        <w:jc w:val="center"/>
      </w:pPr>
      <w:r w:rsidRPr="00FC6FA2">
        <w:t xml:space="preserve"> </w:t>
      </w:r>
      <w:r w:rsidR="009D3395">
        <w:t>Source: (</w:t>
      </w:r>
      <w:r w:rsidR="009D3395" w:rsidRPr="009D3395">
        <w:rPr>
          <w:rFonts w:cs="Times New Roman"/>
          <w:szCs w:val="24"/>
        </w:rPr>
        <w:t>Uk.finance.yahoo.com 2020</w:t>
      </w:r>
      <w:r w:rsidR="009D3395">
        <w:rPr>
          <w:rFonts w:cs="Times New Roman"/>
          <w:szCs w:val="24"/>
        </w:rPr>
        <w:t>)</w:t>
      </w:r>
    </w:p>
    <w:p w14:paraId="3B8D13AF" w14:textId="33F9CA9F" w:rsidR="0073150F" w:rsidRDefault="006509D8" w:rsidP="0073150F">
      <w:pPr>
        <w:ind w:firstLine="720"/>
      </w:pPr>
      <w:r w:rsidRPr="006509D8">
        <w:lastRenderedPageBreak/>
        <w:t>The gearing ratio is a financial ratio that compares the loans or funds lent by the company with the equity of any form of holders (or capital). Gearing is an indicator of the financial leverage of the company, reflecting the extent to which the operations of the organisation are supported by the funds of the owner and the savings of the borrower. The gearing ratio is a metric of financial leverage that shows the extent to which the activities of a company are funded through equity funding versus debt financing. Higher gearing means that a firm has a higher degree of financial leverage and is more prone to macro and market cycle downturns. This is because companies having greater leverage have higher debt ratios relative to shareholders' equity. Entities with a strong gearing ratio have higher debt-to-service ratios, whereas entities with smaller gearing ratio calculations have more equity potential to benefit on. Gearing ratios are effective in both internal and external classes. Financial companies use the estimates for the gearing ratio when determining whether to issue loans. In addition, loan agreements can enable businesses to operate with stated guidelines on the measurement of appropriate gearing ratios. Alternatively, internal researchers utilise gearing ratios to analyse potential cash and debt flows. The gearing ratio of the debt-to-equity ratio and the debt-to-equity ratio declined on a year-on-year basis, suggesting that the debt-to-equity ratio of the firm decreased as the equity amount increased. This is expressed in the rise in the equity level. This is a positive sign for the firm, as it shows that the company has been able to reduce its leverage and raise its market capitalisation.</w:t>
      </w:r>
    </w:p>
    <w:tbl>
      <w:tblPr>
        <w:tblStyle w:val="TableGrid"/>
        <w:tblW w:w="0" w:type="auto"/>
        <w:jc w:val="center"/>
        <w:tblLook w:val="04A0" w:firstRow="1" w:lastRow="0" w:firstColumn="1" w:lastColumn="0" w:noHBand="0" w:noVBand="1"/>
      </w:tblPr>
      <w:tblGrid>
        <w:gridCol w:w="2965"/>
        <w:gridCol w:w="1416"/>
        <w:gridCol w:w="1416"/>
      </w:tblGrid>
      <w:tr w:rsidR="0073150F" w:rsidRPr="0073150F" w14:paraId="1A58CF1D" w14:textId="77777777" w:rsidTr="009D3395">
        <w:trPr>
          <w:trHeight w:val="288"/>
          <w:jc w:val="center"/>
        </w:trPr>
        <w:tc>
          <w:tcPr>
            <w:tcW w:w="2965" w:type="dxa"/>
            <w:noWrap/>
            <w:hideMark/>
          </w:tcPr>
          <w:p w14:paraId="7944D257" w14:textId="77777777" w:rsidR="0073150F" w:rsidRPr="0073150F" w:rsidRDefault="0073150F" w:rsidP="0073150F">
            <w:pPr>
              <w:ind w:firstLine="720"/>
              <w:rPr>
                <w:b/>
                <w:bCs/>
                <w:u w:val="single"/>
              </w:rPr>
            </w:pPr>
            <w:r w:rsidRPr="0073150F">
              <w:rPr>
                <w:b/>
                <w:bCs/>
                <w:u w:val="single"/>
              </w:rPr>
              <w:t>Gearing ratio</w:t>
            </w:r>
          </w:p>
        </w:tc>
        <w:tc>
          <w:tcPr>
            <w:tcW w:w="1416" w:type="dxa"/>
            <w:noWrap/>
            <w:hideMark/>
          </w:tcPr>
          <w:p w14:paraId="60465EF8" w14:textId="77777777" w:rsidR="0073150F" w:rsidRPr="0073150F" w:rsidRDefault="0073150F" w:rsidP="0073150F">
            <w:pPr>
              <w:ind w:firstLine="720"/>
              <w:rPr>
                <w:b/>
                <w:bCs/>
                <w:u w:val="single"/>
              </w:rPr>
            </w:pPr>
          </w:p>
        </w:tc>
        <w:tc>
          <w:tcPr>
            <w:tcW w:w="1416" w:type="dxa"/>
            <w:noWrap/>
            <w:hideMark/>
          </w:tcPr>
          <w:p w14:paraId="06B64A9B" w14:textId="77777777" w:rsidR="0073150F" w:rsidRPr="0073150F" w:rsidRDefault="0073150F" w:rsidP="0073150F">
            <w:pPr>
              <w:ind w:firstLine="720"/>
            </w:pPr>
          </w:p>
        </w:tc>
      </w:tr>
      <w:tr w:rsidR="0073150F" w:rsidRPr="0073150F" w14:paraId="58683E79" w14:textId="77777777" w:rsidTr="009D3395">
        <w:trPr>
          <w:trHeight w:val="288"/>
          <w:jc w:val="center"/>
        </w:trPr>
        <w:tc>
          <w:tcPr>
            <w:tcW w:w="2965" w:type="dxa"/>
            <w:noWrap/>
            <w:hideMark/>
          </w:tcPr>
          <w:p w14:paraId="5C0E44DB" w14:textId="77777777" w:rsidR="0073150F" w:rsidRPr="0073150F" w:rsidRDefault="0073150F" w:rsidP="0073150F">
            <w:pPr>
              <w:ind w:firstLine="720"/>
            </w:pPr>
          </w:p>
        </w:tc>
        <w:tc>
          <w:tcPr>
            <w:tcW w:w="1416" w:type="dxa"/>
            <w:noWrap/>
            <w:hideMark/>
          </w:tcPr>
          <w:p w14:paraId="2A745DAD" w14:textId="77777777" w:rsidR="0073150F" w:rsidRPr="0073150F" w:rsidRDefault="0073150F" w:rsidP="0073150F">
            <w:pPr>
              <w:ind w:firstLine="720"/>
            </w:pPr>
            <w:r w:rsidRPr="0073150F">
              <w:t>2019</w:t>
            </w:r>
          </w:p>
        </w:tc>
        <w:tc>
          <w:tcPr>
            <w:tcW w:w="1416" w:type="dxa"/>
            <w:noWrap/>
            <w:hideMark/>
          </w:tcPr>
          <w:p w14:paraId="4D3A80B3" w14:textId="77777777" w:rsidR="0073150F" w:rsidRPr="0073150F" w:rsidRDefault="0073150F" w:rsidP="0073150F">
            <w:pPr>
              <w:ind w:firstLine="720"/>
            </w:pPr>
            <w:r w:rsidRPr="0073150F">
              <w:t>2018</w:t>
            </w:r>
          </w:p>
        </w:tc>
      </w:tr>
      <w:tr w:rsidR="0073150F" w:rsidRPr="0073150F" w14:paraId="27D3F5A8" w14:textId="77777777" w:rsidTr="009D3395">
        <w:trPr>
          <w:trHeight w:val="288"/>
          <w:jc w:val="center"/>
        </w:trPr>
        <w:tc>
          <w:tcPr>
            <w:tcW w:w="2965" w:type="dxa"/>
            <w:noWrap/>
            <w:hideMark/>
          </w:tcPr>
          <w:p w14:paraId="323193EE" w14:textId="77777777" w:rsidR="0073150F" w:rsidRPr="0073150F" w:rsidRDefault="0073150F" w:rsidP="0073150F">
            <w:pPr>
              <w:ind w:firstLine="720"/>
            </w:pPr>
            <w:r w:rsidRPr="0073150F">
              <w:t>Debt to Equity Ratio</w:t>
            </w:r>
          </w:p>
        </w:tc>
        <w:tc>
          <w:tcPr>
            <w:tcW w:w="1416" w:type="dxa"/>
            <w:noWrap/>
            <w:hideMark/>
          </w:tcPr>
          <w:p w14:paraId="3304E17C" w14:textId="77777777" w:rsidR="0073150F" w:rsidRPr="0073150F" w:rsidRDefault="0073150F" w:rsidP="0073150F">
            <w:pPr>
              <w:ind w:firstLine="720"/>
            </w:pPr>
            <w:r w:rsidRPr="0073150F">
              <w:t>1.34</w:t>
            </w:r>
          </w:p>
        </w:tc>
        <w:tc>
          <w:tcPr>
            <w:tcW w:w="1416" w:type="dxa"/>
            <w:noWrap/>
            <w:hideMark/>
          </w:tcPr>
          <w:p w14:paraId="5D4B2B96" w14:textId="77777777" w:rsidR="0073150F" w:rsidRPr="0073150F" w:rsidRDefault="0073150F" w:rsidP="0073150F">
            <w:pPr>
              <w:ind w:firstLine="720"/>
            </w:pPr>
            <w:r w:rsidRPr="0073150F">
              <w:t>1.53</w:t>
            </w:r>
          </w:p>
        </w:tc>
      </w:tr>
      <w:tr w:rsidR="0073150F" w:rsidRPr="0073150F" w14:paraId="45DF3E88" w14:textId="77777777" w:rsidTr="009D3395">
        <w:trPr>
          <w:trHeight w:val="288"/>
          <w:jc w:val="center"/>
        </w:trPr>
        <w:tc>
          <w:tcPr>
            <w:tcW w:w="2965" w:type="dxa"/>
            <w:noWrap/>
            <w:hideMark/>
          </w:tcPr>
          <w:p w14:paraId="0983F18C" w14:textId="77777777" w:rsidR="0073150F" w:rsidRPr="0073150F" w:rsidRDefault="0073150F" w:rsidP="0073150F">
            <w:pPr>
              <w:ind w:firstLine="720"/>
            </w:pPr>
            <w:r w:rsidRPr="0073150F">
              <w:t>Equity ratio</w:t>
            </w:r>
          </w:p>
        </w:tc>
        <w:tc>
          <w:tcPr>
            <w:tcW w:w="1416" w:type="dxa"/>
            <w:noWrap/>
            <w:hideMark/>
          </w:tcPr>
          <w:p w14:paraId="25D62E39" w14:textId="77777777" w:rsidR="0073150F" w:rsidRPr="0073150F" w:rsidRDefault="0073150F" w:rsidP="0073150F">
            <w:pPr>
              <w:ind w:firstLine="720"/>
            </w:pPr>
            <w:r w:rsidRPr="0073150F">
              <w:t>0.43</w:t>
            </w:r>
          </w:p>
        </w:tc>
        <w:tc>
          <w:tcPr>
            <w:tcW w:w="1416" w:type="dxa"/>
            <w:noWrap/>
            <w:hideMark/>
          </w:tcPr>
          <w:p w14:paraId="24B81A8C" w14:textId="77777777" w:rsidR="0073150F" w:rsidRPr="0073150F" w:rsidRDefault="0073150F" w:rsidP="0073150F">
            <w:pPr>
              <w:ind w:firstLine="720"/>
            </w:pPr>
            <w:r w:rsidRPr="0073150F">
              <w:t>0.39</w:t>
            </w:r>
          </w:p>
        </w:tc>
      </w:tr>
      <w:tr w:rsidR="0073150F" w:rsidRPr="0073150F" w14:paraId="2673589E" w14:textId="77777777" w:rsidTr="009D3395">
        <w:trPr>
          <w:trHeight w:val="288"/>
          <w:jc w:val="center"/>
        </w:trPr>
        <w:tc>
          <w:tcPr>
            <w:tcW w:w="2965" w:type="dxa"/>
            <w:noWrap/>
            <w:hideMark/>
          </w:tcPr>
          <w:p w14:paraId="206EC0CC" w14:textId="77777777" w:rsidR="0073150F" w:rsidRPr="0073150F" w:rsidRDefault="0073150F" w:rsidP="0073150F">
            <w:pPr>
              <w:ind w:firstLine="720"/>
            </w:pPr>
            <w:r w:rsidRPr="0073150F">
              <w:t>Debt Ratio</w:t>
            </w:r>
          </w:p>
        </w:tc>
        <w:tc>
          <w:tcPr>
            <w:tcW w:w="1416" w:type="dxa"/>
            <w:noWrap/>
            <w:hideMark/>
          </w:tcPr>
          <w:p w14:paraId="53E72055" w14:textId="77777777" w:rsidR="0073150F" w:rsidRPr="0073150F" w:rsidRDefault="0073150F" w:rsidP="0073150F">
            <w:pPr>
              <w:ind w:firstLine="720"/>
            </w:pPr>
            <w:r w:rsidRPr="0073150F">
              <w:t>0.57</w:t>
            </w:r>
          </w:p>
        </w:tc>
        <w:tc>
          <w:tcPr>
            <w:tcW w:w="1416" w:type="dxa"/>
            <w:noWrap/>
            <w:hideMark/>
          </w:tcPr>
          <w:p w14:paraId="64D04EFE" w14:textId="77777777" w:rsidR="0073150F" w:rsidRPr="0073150F" w:rsidRDefault="0073150F" w:rsidP="0073150F">
            <w:pPr>
              <w:ind w:firstLine="720"/>
            </w:pPr>
            <w:r w:rsidRPr="0073150F">
              <w:t>0.61</w:t>
            </w:r>
          </w:p>
        </w:tc>
      </w:tr>
    </w:tbl>
    <w:p w14:paraId="15A120C7" w14:textId="1FFA495B" w:rsidR="0073150F" w:rsidRDefault="009D3395" w:rsidP="009D3395">
      <w:pPr>
        <w:jc w:val="center"/>
      </w:pPr>
      <w:r>
        <w:t>Source: (</w:t>
      </w:r>
      <w:r w:rsidRPr="009D3395">
        <w:rPr>
          <w:rFonts w:cs="Times New Roman"/>
          <w:szCs w:val="24"/>
        </w:rPr>
        <w:t>Uk.finance.yahoo.com 2020</w:t>
      </w:r>
      <w:r>
        <w:rPr>
          <w:rFonts w:cs="Times New Roman"/>
          <w:szCs w:val="24"/>
        </w:rPr>
        <w:t>)</w:t>
      </w:r>
    </w:p>
    <w:p w14:paraId="58CD7BC6" w14:textId="7231F3E5" w:rsidR="00590263" w:rsidRDefault="006509D8" w:rsidP="0073150F">
      <w:pPr>
        <w:ind w:firstLine="720"/>
      </w:pPr>
      <w:r w:rsidRPr="006509D8">
        <w:t xml:space="preserve">The efficiency ratio is usually used to calculate how effectively a business uses its assets and obligations in-house. The productivity ratio can be used to determine the turnover of </w:t>
      </w:r>
      <w:r w:rsidRPr="006509D8">
        <w:lastRenderedPageBreak/>
        <w:t>receivables, the redemption of loans, the amount and utilisation of equity, and the general use of inventories and services. This ratio may also be used to monitor and calculate the success of commercial and investment banks. Researchers use output ratios, generally known as operation ratios, to calculate the reliability of a company's short-term or current results. Many of these calculations utilise figures to quantify the company's activities in the net assets or liabilities of the organisation. The productivity ratio tests the willingness of a company to utilise its properties to produce revenue. For example, the productivity ratio also looks at multiple market factors, such as the length of time it takes to get currency from customers or the amount of time it takes to turn inventory to cash. This makes efficiency ratios significant, as improving efficiency ratios typically leads to higher profitability. In the same region, these ratios may be extended to rivals and can differentiate between well-managed firms and others. A variety of typical productivity ratios are receivable turnover, fixed asset turnover, stock income, gross operating capital revenue, sales accounts payable and stock turnover ratios. Analysis using the productivity ratios reveals that the inventory turnover ratio and the fixed asset turnover ratio are falling, whereas the asset turnover ratio is growing from 2018 to 2019. This is attributed to a rise in sales in the year 2019 relative to 2018. The inventory taken by AstraZeneca has declined along with a rise in the cost of products produced, which is comparable to the increase in sales in 2019.</w:t>
      </w:r>
    </w:p>
    <w:tbl>
      <w:tblPr>
        <w:tblStyle w:val="TableGrid"/>
        <w:tblW w:w="0" w:type="auto"/>
        <w:jc w:val="center"/>
        <w:tblLook w:val="04A0" w:firstRow="1" w:lastRow="0" w:firstColumn="1" w:lastColumn="0" w:noHBand="0" w:noVBand="1"/>
      </w:tblPr>
      <w:tblGrid>
        <w:gridCol w:w="3055"/>
        <w:gridCol w:w="1416"/>
        <w:gridCol w:w="1416"/>
      </w:tblGrid>
      <w:tr w:rsidR="00590263" w:rsidRPr="00590263" w14:paraId="60DB95C3" w14:textId="77777777" w:rsidTr="009D3395">
        <w:trPr>
          <w:trHeight w:val="288"/>
          <w:jc w:val="center"/>
        </w:trPr>
        <w:tc>
          <w:tcPr>
            <w:tcW w:w="3055" w:type="dxa"/>
            <w:noWrap/>
            <w:hideMark/>
          </w:tcPr>
          <w:p w14:paraId="44C5A56B" w14:textId="77777777" w:rsidR="00590263" w:rsidRPr="00590263" w:rsidRDefault="00590263" w:rsidP="00590263">
            <w:pPr>
              <w:ind w:firstLine="720"/>
              <w:rPr>
                <w:b/>
                <w:bCs/>
                <w:u w:val="single"/>
              </w:rPr>
            </w:pPr>
            <w:r w:rsidRPr="00590263">
              <w:rPr>
                <w:b/>
                <w:bCs/>
                <w:u w:val="single"/>
              </w:rPr>
              <w:t>Efficiency Ratio</w:t>
            </w:r>
          </w:p>
        </w:tc>
        <w:tc>
          <w:tcPr>
            <w:tcW w:w="1416" w:type="dxa"/>
            <w:noWrap/>
            <w:hideMark/>
          </w:tcPr>
          <w:p w14:paraId="6D67C6BF" w14:textId="77777777" w:rsidR="00590263" w:rsidRPr="00590263" w:rsidRDefault="00590263" w:rsidP="00590263">
            <w:pPr>
              <w:ind w:firstLine="720"/>
              <w:rPr>
                <w:b/>
                <w:bCs/>
                <w:u w:val="single"/>
              </w:rPr>
            </w:pPr>
          </w:p>
        </w:tc>
        <w:tc>
          <w:tcPr>
            <w:tcW w:w="1416" w:type="dxa"/>
            <w:noWrap/>
            <w:hideMark/>
          </w:tcPr>
          <w:p w14:paraId="4140752A" w14:textId="77777777" w:rsidR="00590263" w:rsidRPr="00590263" w:rsidRDefault="00590263" w:rsidP="00590263">
            <w:pPr>
              <w:ind w:firstLine="720"/>
            </w:pPr>
          </w:p>
        </w:tc>
      </w:tr>
      <w:tr w:rsidR="00590263" w:rsidRPr="00590263" w14:paraId="162391AB" w14:textId="77777777" w:rsidTr="009D3395">
        <w:trPr>
          <w:trHeight w:val="288"/>
          <w:jc w:val="center"/>
        </w:trPr>
        <w:tc>
          <w:tcPr>
            <w:tcW w:w="3055" w:type="dxa"/>
            <w:noWrap/>
            <w:hideMark/>
          </w:tcPr>
          <w:p w14:paraId="630D3AF2" w14:textId="77777777" w:rsidR="00590263" w:rsidRPr="00590263" w:rsidRDefault="00590263" w:rsidP="00590263">
            <w:pPr>
              <w:ind w:firstLine="720"/>
            </w:pPr>
          </w:p>
        </w:tc>
        <w:tc>
          <w:tcPr>
            <w:tcW w:w="1416" w:type="dxa"/>
            <w:noWrap/>
            <w:hideMark/>
          </w:tcPr>
          <w:p w14:paraId="0D9B3F57" w14:textId="77777777" w:rsidR="00590263" w:rsidRPr="00590263" w:rsidRDefault="00590263" w:rsidP="00590263">
            <w:pPr>
              <w:ind w:firstLine="720"/>
            </w:pPr>
            <w:r w:rsidRPr="00590263">
              <w:t>2019</w:t>
            </w:r>
          </w:p>
        </w:tc>
        <w:tc>
          <w:tcPr>
            <w:tcW w:w="1416" w:type="dxa"/>
            <w:noWrap/>
            <w:hideMark/>
          </w:tcPr>
          <w:p w14:paraId="17D9B5E3" w14:textId="77777777" w:rsidR="00590263" w:rsidRPr="00590263" w:rsidRDefault="00590263" w:rsidP="00590263">
            <w:pPr>
              <w:ind w:firstLine="720"/>
            </w:pPr>
            <w:r w:rsidRPr="00590263">
              <w:t>2018</w:t>
            </w:r>
          </w:p>
        </w:tc>
      </w:tr>
      <w:tr w:rsidR="00590263" w:rsidRPr="00590263" w14:paraId="32EB822B" w14:textId="77777777" w:rsidTr="009D3395">
        <w:trPr>
          <w:trHeight w:val="288"/>
          <w:jc w:val="center"/>
        </w:trPr>
        <w:tc>
          <w:tcPr>
            <w:tcW w:w="3055" w:type="dxa"/>
            <w:noWrap/>
            <w:hideMark/>
          </w:tcPr>
          <w:p w14:paraId="6D981C8B" w14:textId="77777777" w:rsidR="00590263" w:rsidRPr="00590263" w:rsidRDefault="00590263" w:rsidP="00590263">
            <w:pPr>
              <w:ind w:firstLine="720"/>
            </w:pPr>
            <w:r w:rsidRPr="00590263">
              <w:t xml:space="preserve">Inventory Turnover </w:t>
            </w:r>
          </w:p>
        </w:tc>
        <w:tc>
          <w:tcPr>
            <w:tcW w:w="1416" w:type="dxa"/>
            <w:noWrap/>
            <w:hideMark/>
          </w:tcPr>
          <w:p w14:paraId="7F8BEF03" w14:textId="77777777" w:rsidR="00590263" w:rsidRPr="00590263" w:rsidRDefault="00590263" w:rsidP="00590263">
            <w:pPr>
              <w:ind w:firstLine="720"/>
            </w:pPr>
            <w:r w:rsidRPr="00590263">
              <w:t>1.54</w:t>
            </w:r>
          </w:p>
        </w:tc>
        <w:tc>
          <w:tcPr>
            <w:tcW w:w="1416" w:type="dxa"/>
            <w:noWrap/>
            <w:hideMark/>
          </w:tcPr>
          <w:p w14:paraId="365D434C" w14:textId="77777777" w:rsidR="00590263" w:rsidRPr="00590263" w:rsidRDefault="00590263" w:rsidP="00590263">
            <w:pPr>
              <w:ind w:firstLine="720"/>
            </w:pPr>
            <w:r w:rsidRPr="00590263">
              <w:t>1.71</w:t>
            </w:r>
          </w:p>
        </w:tc>
      </w:tr>
      <w:tr w:rsidR="00590263" w:rsidRPr="00590263" w14:paraId="39F57F8D" w14:textId="77777777" w:rsidTr="009D3395">
        <w:trPr>
          <w:trHeight w:val="288"/>
          <w:jc w:val="center"/>
        </w:trPr>
        <w:tc>
          <w:tcPr>
            <w:tcW w:w="3055" w:type="dxa"/>
            <w:noWrap/>
            <w:hideMark/>
          </w:tcPr>
          <w:p w14:paraId="0FED7102" w14:textId="77777777" w:rsidR="00590263" w:rsidRPr="00590263" w:rsidRDefault="00590263" w:rsidP="00590263">
            <w:pPr>
              <w:ind w:firstLine="720"/>
            </w:pPr>
            <w:r w:rsidRPr="00590263">
              <w:t>Fixed Asset Turnover</w:t>
            </w:r>
          </w:p>
        </w:tc>
        <w:tc>
          <w:tcPr>
            <w:tcW w:w="1416" w:type="dxa"/>
            <w:noWrap/>
            <w:hideMark/>
          </w:tcPr>
          <w:p w14:paraId="231514D9" w14:textId="77777777" w:rsidR="00590263" w:rsidRPr="00590263" w:rsidRDefault="00590263" w:rsidP="00590263">
            <w:pPr>
              <w:ind w:firstLine="720"/>
            </w:pPr>
            <w:r w:rsidRPr="00590263">
              <w:t>2.93</w:t>
            </w:r>
          </w:p>
        </w:tc>
        <w:tc>
          <w:tcPr>
            <w:tcW w:w="1416" w:type="dxa"/>
            <w:noWrap/>
            <w:hideMark/>
          </w:tcPr>
          <w:p w14:paraId="7ACD885E" w14:textId="77777777" w:rsidR="00590263" w:rsidRPr="00590263" w:rsidRDefault="00590263" w:rsidP="00590263">
            <w:pPr>
              <w:ind w:firstLine="720"/>
            </w:pPr>
            <w:r w:rsidRPr="00590263">
              <w:t>2.98</w:t>
            </w:r>
          </w:p>
        </w:tc>
      </w:tr>
      <w:tr w:rsidR="00590263" w:rsidRPr="00590263" w14:paraId="0D307249" w14:textId="77777777" w:rsidTr="009D3395">
        <w:trPr>
          <w:trHeight w:val="288"/>
          <w:jc w:val="center"/>
        </w:trPr>
        <w:tc>
          <w:tcPr>
            <w:tcW w:w="3055" w:type="dxa"/>
            <w:noWrap/>
            <w:hideMark/>
          </w:tcPr>
          <w:p w14:paraId="1A2B1260" w14:textId="77777777" w:rsidR="00590263" w:rsidRPr="00590263" w:rsidRDefault="00590263" w:rsidP="00590263">
            <w:pPr>
              <w:ind w:firstLine="720"/>
            </w:pPr>
            <w:r w:rsidRPr="00590263">
              <w:t>Asset Turnover</w:t>
            </w:r>
          </w:p>
        </w:tc>
        <w:tc>
          <w:tcPr>
            <w:tcW w:w="1416" w:type="dxa"/>
            <w:noWrap/>
            <w:hideMark/>
          </w:tcPr>
          <w:p w14:paraId="016CB1AA" w14:textId="77777777" w:rsidR="00590263" w:rsidRPr="00590263" w:rsidRDefault="00590263" w:rsidP="00590263">
            <w:pPr>
              <w:ind w:firstLine="720"/>
            </w:pPr>
            <w:r w:rsidRPr="00590263">
              <w:t>0.40</w:t>
            </w:r>
          </w:p>
        </w:tc>
        <w:tc>
          <w:tcPr>
            <w:tcW w:w="1416" w:type="dxa"/>
            <w:noWrap/>
            <w:hideMark/>
          </w:tcPr>
          <w:p w14:paraId="41E8707E" w14:textId="77777777" w:rsidR="00590263" w:rsidRPr="00590263" w:rsidRDefault="00590263" w:rsidP="00590263">
            <w:pPr>
              <w:ind w:firstLine="720"/>
            </w:pPr>
            <w:r w:rsidRPr="00590263">
              <w:t>0.36</w:t>
            </w:r>
          </w:p>
        </w:tc>
      </w:tr>
    </w:tbl>
    <w:p w14:paraId="75A3EE8F" w14:textId="3BB2F0D5" w:rsidR="00590263" w:rsidRDefault="009D3395" w:rsidP="009D3395">
      <w:pPr>
        <w:jc w:val="center"/>
      </w:pPr>
      <w:r>
        <w:t>Source: (</w:t>
      </w:r>
      <w:r w:rsidRPr="009D3395">
        <w:rPr>
          <w:rFonts w:cs="Times New Roman"/>
          <w:szCs w:val="24"/>
        </w:rPr>
        <w:t>Uk.finance.yahoo.com 2020</w:t>
      </w:r>
      <w:r>
        <w:rPr>
          <w:rFonts w:cs="Times New Roman"/>
          <w:szCs w:val="24"/>
        </w:rPr>
        <w:t>)</w:t>
      </w:r>
    </w:p>
    <w:p w14:paraId="70CA7B2B" w14:textId="58B52010" w:rsidR="00590263" w:rsidRDefault="00590263" w:rsidP="00590263">
      <w:pPr>
        <w:pStyle w:val="Heading2"/>
      </w:pPr>
      <w:bookmarkStart w:id="7" w:name="_Toc59874307"/>
      <w:r>
        <w:t>SWOT analysis</w:t>
      </w:r>
      <w:bookmarkEnd w:id="7"/>
    </w:p>
    <w:p w14:paraId="21E1443E" w14:textId="77777777" w:rsidR="00D6316E" w:rsidRDefault="00D6316E" w:rsidP="00D6316E">
      <w:pPr>
        <w:ind w:firstLine="720"/>
      </w:pPr>
      <w:r w:rsidRPr="00D6316E">
        <w:t xml:space="preserve">The SWOT analysis of AstraZeneca analyses the brand/strengths, company's shortcomings, prospects &amp; dangers. In the AstraZeneca SWOT Analysis, the benefits and </w:t>
      </w:r>
      <w:r w:rsidRPr="00D6316E">
        <w:lastRenderedPageBreak/>
        <w:t>weaknesses are the inner factors, whereas the external variables are opportunities and threats. SWOT Analysis is a proven management framework that aims to compare the company and performance with its competitors and competition for a brand such as AstraZeneca. As of 2020, AstraZeneca is one of the best brands in the pharma and healthcare industry.</w:t>
      </w:r>
    </w:p>
    <w:p w14:paraId="7EAB5F18" w14:textId="2196665A" w:rsidR="00590263" w:rsidRDefault="007C2539" w:rsidP="007C2539">
      <w:pPr>
        <w:rPr>
          <w:b/>
          <w:noProof/>
          <w:u w:val="single"/>
        </w:rPr>
      </w:pPr>
      <w:r w:rsidRPr="007C2539">
        <w:rPr>
          <w:b/>
          <w:noProof/>
          <w:u w:val="single"/>
        </w:rPr>
        <w:t>Strengths</w:t>
      </w:r>
    </w:p>
    <w:p w14:paraId="57ED9A87" w14:textId="77777777" w:rsidR="007C2539" w:rsidRDefault="007C2539" w:rsidP="007C2539">
      <w:pPr>
        <w:pStyle w:val="ListBullet"/>
      </w:pPr>
      <w:r>
        <w:t>Rapid strategic thinking &amp; streamlined processing of due diligence</w:t>
      </w:r>
    </w:p>
    <w:p w14:paraId="514E0E00" w14:textId="77777777" w:rsidR="007C2539" w:rsidRDefault="007C2539" w:rsidP="007C2539">
      <w:pPr>
        <w:pStyle w:val="ListBullet"/>
      </w:pPr>
      <w:r>
        <w:t>Strong presence in developing markets in trade and R&amp;D</w:t>
      </w:r>
    </w:p>
    <w:p w14:paraId="3A7BF17D" w14:textId="77777777" w:rsidR="007C2539" w:rsidRDefault="007C2539" w:rsidP="007C2539">
      <w:pPr>
        <w:pStyle w:val="ListBullet"/>
      </w:pPr>
      <w:r>
        <w:t>Present in over 100 countries where over 60,000 citizens are working</w:t>
      </w:r>
    </w:p>
    <w:p w14:paraId="3FEC19EF" w14:textId="77777777" w:rsidR="007C2539" w:rsidRDefault="007C2539" w:rsidP="007C2539">
      <w:pPr>
        <w:pStyle w:val="ListBullet"/>
      </w:pPr>
      <w:r>
        <w:t>Strong R&amp;D investment with a committed 11,000+ R&amp;D squad</w:t>
      </w:r>
    </w:p>
    <w:p w14:paraId="5FABB147" w14:textId="77777777" w:rsidR="007C2539" w:rsidRDefault="007C2539" w:rsidP="007C2539">
      <w:pPr>
        <w:pStyle w:val="ListBullet"/>
      </w:pPr>
      <w:r>
        <w:t>Ten products with worldwide revenue of $1 billion</w:t>
      </w:r>
    </w:p>
    <w:p w14:paraId="27701CCD" w14:textId="53413DAC" w:rsidR="007C2539" w:rsidRDefault="007C2539" w:rsidP="007C2539">
      <w:pPr>
        <w:pStyle w:val="ListBullet"/>
      </w:pPr>
      <w:r>
        <w:t>Cancer, digestive, gastrointestinal, infection, neuroscience, respiratory and inflammatory medications are part of the product portfolio.</w:t>
      </w:r>
    </w:p>
    <w:p w14:paraId="08E7D11F" w14:textId="4EBBE5D3" w:rsidR="007C2539" w:rsidRDefault="007C2539" w:rsidP="007C2539">
      <w:pPr>
        <w:pStyle w:val="ListBullet"/>
        <w:numPr>
          <w:ilvl w:val="0"/>
          <w:numId w:val="0"/>
        </w:numPr>
        <w:rPr>
          <w:b/>
          <w:bCs/>
          <w:u w:val="single"/>
        </w:rPr>
      </w:pPr>
      <w:r w:rsidRPr="007C2539">
        <w:rPr>
          <w:b/>
          <w:bCs/>
          <w:u w:val="single"/>
        </w:rPr>
        <w:t>Weakness</w:t>
      </w:r>
    </w:p>
    <w:p w14:paraId="0D09D103" w14:textId="667C4E05" w:rsidR="007C2539" w:rsidRDefault="007C2539" w:rsidP="007C2539">
      <w:pPr>
        <w:pStyle w:val="ListBullet"/>
      </w:pPr>
      <w:r>
        <w:t xml:space="preserve">As in the case of </w:t>
      </w:r>
      <w:r w:rsidR="00571A15">
        <w:t>Caftan</w:t>
      </w:r>
      <w:r>
        <w:t>, it was impacted by the medication scarcity problem.</w:t>
      </w:r>
    </w:p>
    <w:p w14:paraId="4CA42A91" w14:textId="77777777" w:rsidR="007C2539" w:rsidRDefault="007C2539" w:rsidP="007C2539">
      <w:pPr>
        <w:pStyle w:val="ListBullet"/>
      </w:pPr>
      <w:r>
        <w:t>Discontinuation of goods impacts output</w:t>
      </w:r>
    </w:p>
    <w:p w14:paraId="196C9C4F" w14:textId="73FDD162" w:rsidR="007C2539" w:rsidRDefault="007C2539" w:rsidP="007C2539">
      <w:pPr>
        <w:pStyle w:val="ListBullet"/>
      </w:pPr>
      <w:r>
        <w:t>Patent-related court cases and price concerns impact picture</w:t>
      </w:r>
    </w:p>
    <w:p w14:paraId="6B568CFE" w14:textId="6A0CC04F" w:rsidR="007C2539" w:rsidRDefault="007C2539" w:rsidP="007C2539">
      <w:pPr>
        <w:pStyle w:val="ListBullet"/>
        <w:numPr>
          <w:ilvl w:val="0"/>
          <w:numId w:val="0"/>
        </w:numPr>
        <w:rPr>
          <w:b/>
          <w:bCs/>
          <w:u w:val="single"/>
        </w:rPr>
      </w:pPr>
      <w:r w:rsidRPr="007C2539">
        <w:rPr>
          <w:b/>
          <w:bCs/>
          <w:u w:val="single"/>
        </w:rPr>
        <w:t>Opportunities</w:t>
      </w:r>
    </w:p>
    <w:p w14:paraId="063A999A" w14:textId="03F24FB2" w:rsidR="007C2539" w:rsidRDefault="007C2539" w:rsidP="007C2539">
      <w:pPr>
        <w:pStyle w:val="ListBullet"/>
      </w:pPr>
      <w:r>
        <w:t>Creation of the COVID-19 vaccine</w:t>
      </w:r>
    </w:p>
    <w:p w14:paraId="72B55498" w14:textId="77777777" w:rsidR="007C2539" w:rsidRDefault="007C2539" w:rsidP="007C2539">
      <w:pPr>
        <w:pStyle w:val="ListBullet"/>
      </w:pPr>
      <w:r>
        <w:t>It will harness its powerful presence in emerging markets.</w:t>
      </w:r>
    </w:p>
    <w:p w14:paraId="317B3AD3" w14:textId="4B217C77" w:rsidR="007C2539" w:rsidRDefault="007C2539" w:rsidP="007C2539">
      <w:pPr>
        <w:pStyle w:val="ListBullet"/>
      </w:pPr>
      <w:r>
        <w:t>Growing value of the demand for biosimilars</w:t>
      </w:r>
    </w:p>
    <w:p w14:paraId="01E800DD" w14:textId="02CDF2E1" w:rsidR="007C2539" w:rsidRDefault="007C2539" w:rsidP="007C2539">
      <w:pPr>
        <w:pStyle w:val="ListBullet"/>
      </w:pPr>
      <w:r>
        <w:t>Growing the ageing population globally</w:t>
      </w:r>
    </w:p>
    <w:p w14:paraId="31EB5597" w14:textId="3FC3B06C" w:rsidR="007C2539" w:rsidRDefault="007C2539" w:rsidP="007C2539">
      <w:pPr>
        <w:pStyle w:val="ListBullet"/>
        <w:numPr>
          <w:ilvl w:val="0"/>
          <w:numId w:val="0"/>
        </w:numPr>
        <w:rPr>
          <w:b/>
          <w:bCs/>
          <w:u w:val="single"/>
        </w:rPr>
      </w:pPr>
      <w:r w:rsidRPr="007C2539">
        <w:rPr>
          <w:b/>
          <w:bCs/>
          <w:u w:val="single"/>
        </w:rPr>
        <w:t>Threats</w:t>
      </w:r>
    </w:p>
    <w:p w14:paraId="1952E8D4" w14:textId="77777777" w:rsidR="007C2539" w:rsidRDefault="007C2539" w:rsidP="007C2539">
      <w:pPr>
        <w:pStyle w:val="ListBullet"/>
      </w:pPr>
      <w:r>
        <w:t>Their blockbuster medication Seroquel faces the challenge of knockoff generic drugs</w:t>
      </w:r>
    </w:p>
    <w:p w14:paraId="1CBADF4A" w14:textId="77777777" w:rsidR="007C2539" w:rsidRDefault="007C2539" w:rsidP="007C2539">
      <w:pPr>
        <w:pStyle w:val="ListBullet"/>
      </w:pPr>
      <w:r>
        <w:t>Stringent guidance on drug production</w:t>
      </w:r>
    </w:p>
    <w:p w14:paraId="5153F64D" w14:textId="4814DE4B" w:rsidR="007C2539" w:rsidRPr="007C2539" w:rsidRDefault="007C2539" w:rsidP="007C2539">
      <w:pPr>
        <w:pStyle w:val="ListBullet"/>
      </w:pPr>
      <w:r>
        <w:lastRenderedPageBreak/>
        <w:t>Competition for effective medicines</w:t>
      </w:r>
    </w:p>
    <w:p w14:paraId="1B55A8BC" w14:textId="24B611CB" w:rsidR="00590263" w:rsidRDefault="00590263" w:rsidP="00590263">
      <w:pPr>
        <w:pStyle w:val="Heading2"/>
      </w:pPr>
      <w:bookmarkStart w:id="8" w:name="_Toc59874308"/>
      <w:r>
        <w:t>Competitor Analysis</w:t>
      </w:r>
      <w:bookmarkEnd w:id="8"/>
    </w:p>
    <w:p w14:paraId="77D56672" w14:textId="1365B526" w:rsidR="00455604" w:rsidRPr="00455604" w:rsidRDefault="000F0B8C" w:rsidP="00455604">
      <w:r>
        <w:tab/>
        <w:t>AstraZeneca plc is in the pharmaceutical sector and has a wide array of competitors. The competitors considered for analysis purposes are Amgen, Genetec, Pfizer, Gilead Sciences. The price to earnings ratio, price to sales ratio, price to book value ratio, Enterprise value to Revenue ratio and Enterprise Value to EBITDA ratio have been analysed. It can be seen that if an average of all the ratios is taken to find the industry average ratios, the ratios for AstraZeneca trumps all the ratio as it is higher than all the average industry ratios. Hence, this indicates that AstraZeneca has overperformed with respect to its peers.</w:t>
      </w:r>
      <w:r w:rsidR="00455604">
        <w:tab/>
      </w:r>
    </w:p>
    <w:tbl>
      <w:tblPr>
        <w:tblStyle w:val="TableGrid"/>
        <w:tblW w:w="0" w:type="auto"/>
        <w:jc w:val="center"/>
        <w:tblLook w:val="04A0" w:firstRow="1" w:lastRow="0" w:firstColumn="1" w:lastColumn="0" w:noHBand="0" w:noVBand="1"/>
      </w:tblPr>
      <w:tblGrid>
        <w:gridCol w:w="2040"/>
        <w:gridCol w:w="960"/>
        <w:gridCol w:w="960"/>
        <w:gridCol w:w="960"/>
        <w:gridCol w:w="1443"/>
        <w:gridCol w:w="1483"/>
      </w:tblGrid>
      <w:tr w:rsidR="00590263" w:rsidRPr="00590263" w14:paraId="4B4D9C44" w14:textId="77777777" w:rsidTr="009D3395">
        <w:trPr>
          <w:trHeight w:val="288"/>
          <w:jc w:val="center"/>
        </w:trPr>
        <w:tc>
          <w:tcPr>
            <w:tcW w:w="2040" w:type="dxa"/>
            <w:noWrap/>
            <w:hideMark/>
          </w:tcPr>
          <w:p w14:paraId="3BC7EC5D" w14:textId="77777777" w:rsidR="00590263" w:rsidRPr="00590263" w:rsidRDefault="00590263" w:rsidP="00590263">
            <w:r w:rsidRPr="00590263">
              <w:t>Competitor Analysis</w:t>
            </w:r>
          </w:p>
        </w:tc>
        <w:tc>
          <w:tcPr>
            <w:tcW w:w="960" w:type="dxa"/>
            <w:noWrap/>
            <w:hideMark/>
          </w:tcPr>
          <w:p w14:paraId="7FC37DD4" w14:textId="77777777" w:rsidR="00590263" w:rsidRPr="00590263" w:rsidRDefault="00590263" w:rsidP="00590263"/>
        </w:tc>
        <w:tc>
          <w:tcPr>
            <w:tcW w:w="960" w:type="dxa"/>
            <w:noWrap/>
            <w:hideMark/>
          </w:tcPr>
          <w:p w14:paraId="09BF2A40" w14:textId="77777777" w:rsidR="00590263" w:rsidRPr="00590263" w:rsidRDefault="00590263" w:rsidP="00590263"/>
        </w:tc>
        <w:tc>
          <w:tcPr>
            <w:tcW w:w="960" w:type="dxa"/>
            <w:noWrap/>
            <w:hideMark/>
          </w:tcPr>
          <w:p w14:paraId="05C49306" w14:textId="77777777" w:rsidR="00590263" w:rsidRPr="00590263" w:rsidRDefault="00590263" w:rsidP="00590263"/>
        </w:tc>
        <w:tc>
          <w:tcPr>
            <w:tcW w:w="1443" w:type="dxa"/>
            <w:noWrap/>
            <w:hideMark/>
          </w:tcPr>
          <w:p w14:paraId="61490261" w14:textId="77777777" w:rsidR="00590263" w:rsidRPr="00590263" w:rsidRDefault="00590263" w:rsidP="00590263"/>
        </w:tc>
        <w:tc>
          <w:tcPr>
            <w:tcW w:w="1483" w:type="dxa"/>
            <w:noWrap/>
            <w:hideMark/>
          </w:tcPr>
          <w:p w14:paraId="48ED1BBA" w14:textId="77777777" w:rsidR="00590263" w:rsidRPr="00590263" w:rsidRDefault="00590263" w:rsidP="00590263"/>
        </w:tc>
      </w:tr>
      <w:tr w:rsidR="00590263" w:rsidRPr="00590263" w14:paraId="3A607461" w14:textId="77777777" w:rsidTr="009D3395">
        <w:trPr>
          <w:trHeight w:val="288"/>
          <w:jc w:val="center"/>
        </w:trPr>
        <w:tc>
          <w:tcPr>
            <w:tcW w:w="2040" w:type="dxa"/>
            <w:noWrap/>
            <w:hideMark/>
          </w:tcPr>
          <w:p w14:paraId="7B70B38B" w14:textId="77777777" w:rsidR="00590263" w:rsidRPr="00590263" w:rsidRDefault="00590263" w:rsidP="00590263"/>
        </w:tc>
        <w:tc>
          <w:tcPr>
            <w:tcW w:w="960" w:type="dxa"/>
            <w:noWrap/>
            <w:hideMark/>
          </w:tcPr>
          <w:p w14:paraId="2DA4C958" w14:textId="77777777" w:rsidR="00590263" w:rsidRPr="00590263" w:rsidRDefault="00590263" w:rsidP="00590263"/>
        </w:tc>
        <w:tc>
          <w:tcPr>
            <w:tcW w:w="960" w:type="dxa"/>
            <w:noWrap/>
            <w:hideMark/>
          </w:tcPr>
          <w:p w14:paraId="25CCF389" w14:textId="77777777" w:rsidR="00590263" w:rsidRPr="00590263" w:rsidRDefault="00590263" w:rsidP="00590263"/>
        </w:tc>
        <w:tc>
          <w:tcPr>
            <w:tcW w:w="960" w:type="dxa"/>
            <w:noWrap/>
            <w:hideMark/>
          </w:tcPr>
          <w:p w14:paraId="42A79BF2" w14:textId="77777777" w:rsidR="00590263" w:rsidRPr="00590263" w:rsidRDefault="00590263" w:rsidP="00590263"/>
        </w:tc>
        <w:tc>
          <w:tcPr>
            <w:tcW w:w="1443" w:type="dxa"/>
            <w:noWrap/>
            <w:hideMark/>
          </w:tcPr>
          <w:p w14:paraId="33167033" w14:textId="77777777" w:rsidR="00590263" w:rsidRPr="00590263" w:rsidRDefault="00590263" w:rsidP="00590263"/>
        </w:tc>
        <w:tc>
          <w:tcPr>
            <w:tcW w:w="1483" w:type="dxa"/>
            <w:noWrap/>
            <w:hideMark/>
          </w:tcPr>
          <w:p w14:paraId="7EDB33D5" w14:textId="77777777" w:rsidR="00590263" w:rsidRPr="00590263" w:rsidRDefault="00590263" w:rsidP="00590263"/>
        </w:tc>
      </w:tr>
      <w:tr w:rsidR="00590263" w:rsidRPr="00590263" w14:paraId="134284F1" w14:textId="77777777" w:rsidTr="009D3395">
        <w:trPr>
          <w:trHeight w:val="288"/>
          <w:jc w:val="center"/>
        </w:trPr>
        <w:tc>
          <w:tcPr>
            <w:tcW w:w="2040" w:type="dxa"/>
            <w:noWrap/>
            <w:hideMark/>
          </w:tcPr>
          <w:p w14:paraId="215D8CC6" w14:textId="77777777" w:rsidR="00590263" w:rsidRPr="00590263" w:rsidRDefault="00590263" w:rsidP="00590263"/>
        </w:tc>
        <w:tc>
          <w:tcPr>
            <w:tcW w:w="960" w:type="dxa"/>
            <w:noWrap/>
            <w:hideMark/>
          </w:tcPr>
          <w:p w14:paraId="1CEE521C" w14:textId="77777777" w:rsidR="00590263" w:rsidRPr="00590263" w:rsidRDefault="00590263" w:rsidP="00590263">
            <w:r w:rsidRPr="00590263">
              <w:t>P/E</w:t>
            </w:r>
          </w:p>
        </w:tc>
        <w:tc>
          <w:tcPr>
            <w:tcW w:w="960" w:type="dxa"/>
            <w:noWrap/>
            <w:hideMark/>
          </w:tcPr>
          <w:p w14:paraId="7DD0CF44" w14:textId="77777777" w:rsidR="00590263" w:rsidRPr="00590263" w:rsidRDefault="00590263" w:rsidP="00590263">
            <w:r w:rsidRPr="00590263">
              <w:t>P/S</w:t>
            </w:r>
          </w:p>
        </w:tc>
        <w:tc>
          <w:tcPr>
            <w:tcW w:w="960" w:type="dxa"/>
            <w:noWrap/>
            <w:hideMark/>
          </w:tcPr>
          <w:p w14:paraId="4EAC4E67" w14:textId="77777777" w:rsidR="00590263" w:rsidRPr="00590263" w:rsidRDefault="00590263" w:rsidP="00590263">
            <w:r w:rsidRPr="00590263">
              <w:t>P/BV</w:t>
            </w:r>
          </w:p>
        </w:tc>
        <w:tc>
          <w:tcPr>
            <w:tcW w:w="1443" w:type="dxa"/>
            <w:noWrap/>
            <w:hideMark/>
          </w:tcPr>
          <w:p w14:paraId="43489212" w14:textId="77777777" w:rsidR="00590263" w:rsidRPr="00590263" w:rsidRDefault="00590263" w:rsidP="00590263">
            <w:r w:rsidRPr="00590263">
              <w:t>EV/Revenue</w:t>
            </w:r>
          </w:p>
        </w:tc>
        <w:tc>
          <w:tcPr>
            <w:tcW w:w="1483" w:type="dxa"/>
            <w:noWrap/>
            <w:hideMark/>
          </w:tcPr>
          <w:p w14:paraId="52188F69" w14:textId="77777777" w:rsidR="00590263" w:rsidRPr="00590263" w:rsidRDefault="00590263" w:rsidP="00590263">
            <w:r w:rsidRPr="00590263">
              <w:t>EV/EBITDA</w:t>
            </w:r>
          </w:p>
        </w:tc>
      </w:tr>
      <w:tr w:rsidR="00590263" w:rsidRPr="00590263" w14:paraId="054F9B8C" w14:textId="77777777" w:rsidTr="009D3395">
        <w:trPr>
          <w:trHeight w:val="288"/>
          <w:jc w:val="center"/>
        </w:trPr>
        <w:tc>
          <w:tcPr>
            <w:tcW w:w="2040" w:type="dxa"/>
            <w:noWrap/>
            <w:hideMark/>
          </w:tcPr>
          <w:p w14:paraId="79F2C433" w14:textId="77777777" w:rsidR="00590263" w:rsidRPr="00590263" w:rsidRDefault="00590263" w:rsidP="00590263">
            <w:r w:rsidRPr="00590263">
              <w:t>Amgen</w:t>
            </w:r>
          </w:p>
        </w:tc>
        <w:tc>
          <w:tcPr>
            <w:tcW w:w="960" w:type="dxa"/>
            <w:noWrap/>
            <w:hideMark/>
          </w:tcPr>
          <w:p w14:paraId="715DD0A2" w14:textId="77777777" w:rsidR="00590263" w:rsidRPr="00590263" w:rsidRDefault="00590263" w:rsidP="00590263">
            <w:r w:rsidRPr="00590263">
              <w:t>18.43</w:t>
            </w:r>
          </w:p>
        </w:tc>
        <w:tc>
          <w:tcPr>
            <w:tcW w:w="960" w:type="dxa"/>
            <w:noWrap/>
            <w:hideMark/>
          </w:tcPr>
          <w:p w14:paraId="3719DDA6" w14:textId="77777777" w:rsidR="00590263" w:rsidRPr="00590263" w:rsidRDefault="00590263" w:rsidP="00590263">
            <w:r w:rsidRPr="00590263">
              <w:t>5.32</w:t>
            </w:r>
          </w:p>
        </w:tc>
        <w:tc>
          <w:tcPr>
            <w:tcW w:w="960" w:type="dxa"/>
            <w:noWrap/>
            <w:hideMark/>
          </w:tcPr>
          <w:p w14:paraId="7658FA73" w14:textId="77777777" w:rsidR="00590263" w:rsidRPr="00590263" w:rsidRDefault="00590263" w:rsidP="00590263">
            <w:r w:rsidRPr="00590263">
              <w:t>12.17</w:t>
            </w:r>
          </w:p>
        </w:tc>
        <w:tc>
          <w:tcPr>
            <w:tcW w:w="1443" w:type="dxa"/>
            <w:noWrap/>
            <w:hideMark/>
          </w:tcPr>
          <w:p w14:paraId="4E8D031D" w14:textId="77777777" w:rsidR="00590263" w:rsidRPr="00590263" w:rsidRDefault="00590263" w:rsidP="00590263">
            <w:r w:rsidRPr="00590263">
              <w:t>6.20</w:t>
            </w:r>
          </w:p>
        </w:tc>
        <w:tc>
          <w:tcPr>
            <w:tcW w:w="1483" w:type="dxa"/>
            <w:noWrap/>
            <w:hideMark/>
          </w:tcPr>
          <w:p w14:paraId="12BD5AC3" w14:textId="77777777" w:rsidR="00590263" w:rsidRPr="00590263" w:rsidRDefault="00590263" w:rsidP="00590263">
            <w:r w:rsidRPr="00590263">
              <w:t>12.25</w:t>
            </w:r>
          </w:p>
        </w:tc>
      </w:tr>
      <w:tr w:rsidR="00590263" w:rsidRPr="00590263" w14:paraId="001BFED5" w14:textId="77777777" w:rsidTr="009D3395">
        <w:trPr>
          <w:trHeight w:val="288"/>
          <w:jc w:val="center"/>
        </w:trPr>
        <w:tc>
          <w:tcPr>
            <w:tcW w:w="2040" w:type="dxa"/>
            <w:noWrap/>
            <w:hideMark/>
          </w:tcPr>
          <w:p w14:paraId="5A0EFFE2" w14:textId="68BE6F5B" w:rsidR="00590263" w:rsidRPr="00590263" w:rsidRDefault="00571A15" w:rsidP="00590263">
            <w:r w:rsidRPr="00590263">
              <w:t>Genetec</w:t>
            </w:r>
          </w:p>
        </w:tc>
        <w:tc>
          <w:tcPr>
            <w:tcW w:w="960" w:type="dxa"/>
            <w:noWrap/>
            <w:hideMark/>
          </w:tcPr>
          <w:p w14:paraId="0C7B5985" w14:textId="77777777" w:rsidR="00590263" w:rsidRPr="00590263" w:rsidRDefault="00590263" w:rsidP="00590263">
            <w:r w:rsidRPr="00590263">
              <w:t>15.11</w:t>
            </w:r>
          </w:p>
        </w:tc>
        <w:tc>
          <w:tcPr>
            <w:tcW w:w="960" w:type="dxa"/>
            <w:noWrap/>
            <w:hideMark/>
          </w:tcPr>
          <w:p w14:paraId="732603AD" w14:textId="77777777" w:rsidR="00590263" w:rsidRPr="00590263" w:rsidRDefault="00590263" w:rsidP="00590263">
            <w:r w:rsidRPr="00590263">
              <w:t>0.78</w:t>
            </w:r>
          </w:p>
        </w:tc>
        <w:tc>
          <w:tcPr>
            <w:tcW w:w="960" w:type="dxa"/>
            <w:noWrap/>
            <w:hideMark/>
          </w:tcPr>
          <w:p w14:paraId="1468052D" w14:textId="77777777" w:rsidR="00590263" w:rsidRPr="00590263" w:rsidRDefault="00590263" w:rsidP="00590263">
            <w:r w:rsidRPr="00590263">
              <w:t>2.24</w:t>
            </w:r>
          </w:p>
        </w:tc>
        <w:tc>
          <w:tcPr>
            <w:tcW w:w="1443" w:type="dxa"/>
            <w:noWrap/>
            <w:hideMark/>
          </w:tcPr>
          <w:p w14:paraId="759B569A" w14:textId="77777777" w:rsidR="00590263" w:rsidRPr="00590263" w:rsidRDefault="00590263" w:rsidP="00590263">
            <w:r w:rsidRPr="00590263">
              <w:t>0.56</w:t>
            </w:r>
          </w:p>
        </w:tc>
        <w:tc>
          <w:tcPr>
            <w:tcW w:w="1483" w:type="dxa"/>
            <w:noWrap/>
            <w:hideMark/>
          </w:tcPr>
          <w:p w14:paraId="6356482E" w14:textId="77777777" w:rsidR="00590263" w:rsidRPr="00590263" w:rsidRDefault="00590263" w:rsidP="00590263">
            <w:r w:rsidRPr="00590263">
              <w:t>7.37</w:t>
            </w:r>
          </w:p>
        </w:tc>
      </w:tr>
      <w:tr w:rsidR="00590263" w:rsidRPr="00590263" w14:paraId="3A9E65CC" w14:textId="77777777" w:rsidTr="009D3395">
        <w:trPr>
          <w:trHeight w:val="288"/>
          <w:jc w:val="center"/>
        </w:trPr>
        <w:tc>
          <w:tcPr>
            <w:tcW w:w="2040" w:type="dxa"/>
            <w:noWrap/>
            <w:hideMark/>
          </w:tcPr>
          <w:p w14:paraId="4D0BD6FE" w14:textId="77777777" w:rsidR="00590263" w:rsidRPr="00590263" w:rsidRDefault="00590263" w:rsidP="00590263">
            <w:r w:rsidRPr="00590263">
              <w:t>Pfizer</w:t>
            </w:r>
          </w:p>
        </w:tc>
        <w:tc>
          <w:tcPr>
            <w:tcW w:w="960" w:type="dxa"/>
            <w:noWrap/>
            <w:hideMark/>
          </w:tcPr>
          <w:p w14:paraId="5A43AF28" w14:textId="77777777" w:rsidR="00590263" w:rsidRPr="00590263" w:rsidRDefault="00590263" w:rsidP="00590263">
            <w:r w:rsidRPr="00590263">
              <w:t>24.50</w:t>
            </w:r>
          </w:p>
        </w:tc>
        <w:tc>
          <w:tcPr>
            <w:tcW w:w="960" w:type="dxa"/>
            <w:noWrap/>
            <w:hideMark/>
          </w:tcPr>
          <w:p w14:paraId="71A3746F" w14:textId="77777777" w:rsidR="00590263" w:rsidRPr="00590263" w:rsidRDefault="00590263" w:rsidP="00590263">
            <w:r w:rsidRPr="00590263">
              <w:t>4.31</w:t>
            </w:r>
          </w:p>
        </w:tc>
        <w:tc>
          <w:tcPr>
            <w:tcW w:w="960" w:type="dxa"/>
            <w:noWrap/>
            <w:hideMark/>
          </w:tcPr>
          <w:p w14:paraId="26B6BD89" w14:textId="77777777" w:rsidR="00590263" w:rsidRPr="00590263" w:rsidRDefault="00590263" w:rsidP="00590263">
            <w:r w:rsidRPr="00590263">
              <w:t>3.21</w:t>
            </w:r>
          </w:p>
        </w:tc>
        <w:tc>
          <w:tcPr>
            <w:tcW w:w="1443" w:type="dxa"/>
            <w:noWrap/>
            <w:hideMark/>
          </w:tcPr>
          <w:p w14:paraId="4B920A4F" w14:textId="77777777" w:rsidR="00590263" w:rsidRPr="00590263" w:rsidRDefault="00590263" w:rsidP="00590263">
            <w:r w:rsidRPr="00590263">
              <w:t>5.39</w:t>
            </w:r>
          </w:p>
        </w:tc>
        <w:tc>
          <w:tcPr>
            <w:tcW w:w="1483" w:type="dxa"/>
            <w:noWrap/>
            <w:hideMark/>
          </w:tcPr>
          <w:p w14:paraId="3CA254DD" w14:textId="77777777" w:rsidR="00590263" w:rsidRPr="00590263" w:rsidRDefault="00590263" w:rsidP="00590263">
            <w:r w:rsidRPr="00590263">
              <w:t>13.58</w:t>
            </w:r>
          </w:p>
        </w:tc>
      </w:tr>
      <w:tr w:rsidR="00590263" w:rsidRPr="00590263" w14:paraId="60FEF0F2" w14:textId="77777777" w:rsidTr="009D3395">
        <w:trPr>
          <w:trHeight w:val="288"/>
          <w:jc w:val="center"/>
        </w:trPr>
        <w:tc>
          <w:tcPr>
            <w:tcW w:w="2040" w:type="dxa"/>
            <w:noWrap/>
            <w:hideMark/>
          </w:tcPr>
          <w:p w14:paraId="69B40FD5" w14:textId="77777777" w:rsidR="00590263" w:rsidRPr="00590263" w:rsidRDefault="00590263" w:rsidP="00590263">
            <w:r w:rsidRPr="00590263">
              <w:t>Gilead Sciences</w:t>
            </w:r>
          </w:p>
        </w:tc>
        <w:tc>
          <w:tcPr>
            <w:tcW w:w="960" w:type="dxa"/>
            <w:noWrap/>
            <w:hideMark/>
          </w:tcPr>
          <w:p w14:paraId="3BD05E95" w14:textId="77777777" w:rsidR="00590263" w:rsidRPr="00590263" w:rsidRDefault="00590263" w:rsidP="00590263">
            <w:r w:rsidRPr="00590263">
              <w:t>58.67</w:t>
            </w:r>
          </w:p>
        </w:tc>
        <w:tc>
          <w:tcPr>
            <w:tcW w:w="960" w:type="dxa"/>
            <w:noWrap/>
            <w:hideMark/>
          </w:tcPr>
          <w:p w14:paraId="43C94BCD" w14:textId="77777777" w:rsidR="00590263" w:rsidRPr="00590263" w:rsidRDefault="00590263" w:rsidP="00590263">
            <w:r w:rsidRPr="00590263">
              <w:t>3.20</w:t>
            </w:r>
          </w:p>
        </w:tc>
        <w:tc>
          <w:tcPr>
            <w:tcW w:w="960" w:type="dxa"/>
            <w:noWrap/>
            <w:hideMark/>
          </w:tcPr>
          <w:p w14:paraId="1C6DD0DD" w14:textId="77777777" w:rsidR="00590263" w:rsidRPr="00590263" w:rsidRDefault="00590263" w:rsidP="00590263">
            <w:r w:rsidRPr="00590263">
              <w:t>4.24</w:t>
            </w:r>
          </w:p>
        </w:tc>
        <w:tc>
          <w:tcPr>
            <w:tcW w:w="1443" w:type="dxa"/>
            <w:noWrap/>
            <w:hideMark/>
          </w:tcPr>
          <w:p w14:paraId="3BF27C83" w14:textId="77777777" w:rsidR="00590263" w:rsidRPr="00590263" w:rsidRDefault="00590263" w:rsidP="00590263">
            <w:r w:rsidRPr="00590263">
              <w:t>3.39</w:t>
            </w:r>
          </w:p>
        </w:tc>
        <w:tc>
          <w:tcPr>
            <w:tcW w:w="1483" w:type="dxa"/>
            <w:noWrap/>
            <w:hideMark/>
          </w:tcPr>
          <w:p w14:paraId="609F7957" w14:textId="77777777" w:rsidR="00590263" w:rsidRPr="00590263" w:rsidRDefault="00590263" w:rsidP="00590263">
            <w:r w:rsidRPr="00590263">
              <w:t>12.36</w:t>
            </w:r>
          </w:p>
        </w:tc>
      </w:tr>
      <w:tr w:rsidR="00590263" w:rsidRPr="00590263" w14:paraId="4FA8FE9D" w14:textId="77777777" w:rsidTr="009D3395">
        <w:trPr>
          <w:trHeight w:val="288"/>
          <w:jc w:val="center"/>
        </w:trPr>
        <w:tc>
          <w:tcPr>
            <w:tcW w:w="2040" w:type="dxa"/>
            <w:noWrap/>
            <w:hideMark/>
          </w:tcPr>
          <w:p w14:paraId="2F6E54CC" w14:textId="77777777" w:rsidR="00590263" w:rsidRPr="00590263" w:rsidRDefault="00590263" w:rsidP="00590263">
            <w:r w:rsidRPr="00590263">
              <w:t>Average</w:t>
            </w:r>
          </w:p>
        </w:tc>
        <w:tc>
          <w:tcPr>
            <w:tcW w:w="960" w:type="dxa"/>
            <w:noWrap/>
            <w:hideMark/>
          </w:tcPr>
          <w:p w14:paraId="36B7EAA1" w14:textId="77777777" w:rsidR="00590263" w:rsidRPr="00590263" w:rsidRDefault="00590263" w:rsidP="00590263">
            <w:r w:rsidRPr="00590263">
              <w:t>29.18</w:t>
            </w:r>
          </w:p>
        </w:tc>
        <w:tc>
          <w:tcPr>
            <w:tcW w:w="960" w:type="dxa"/>
            <w:noWrap/>
            <w:hideMark/>
          </w:tcPr>
          <w:p w14:paraId="48B0F822" w14:textId="77777777" w:rsidR="00590263" w:rsidRPr="00590263" w:rsidRDefault="00590263" w:rsidP="00590263">
            <w:r w:rsidRPr="00590263">
              <w:t>3.40</w:t>
            </w:r>
          </w:p>
        </w:tc>
        <w:tc>
          <w:tcPr>
            <w:tcW w:w="960" w:type="dxa"/>
            <w:noWrap/>
            <w:hideMark/>
          </w:tcPr>
          <w:p w14:paraId="482BFB6E" w14:textId="77777777" w:rsidR="00590263" w:rsidRPr="00590263" w:rsidRDefault="00590263" w:rsidP="00590263">
            <w:r w:rsidRPr="00590263">
              <w:t>5.47</w:t>
            </w:r>
          </w:p>
        </w:tc>
        <w:tc>
          <w:tcPr>
            <w:tcW w:w="1443" w:type="dxa"/>
            <w:noWrap/>
            <w:hideMark/>
          </w:tcPr>
          <w:p w14:paraId="5A5984F3" w14:textId="77777777" w:rsidR="00590263" w:rsidRPr="00590263" w:rsidRDefault="00590263" w:rsidP="00590263">
            <w:r w:rsidRPr="00590263">
              <w:t>3.89</w:t>
            </w:r>
          </w:p>
        </w:tc>
        <w:tc>
          <w:tcPr>
            <w:tcW w:w="1483" w:type="dxa"/>
            <w:noWrap/>
            <w:hideMark/>
          </w:tcPr>
          <w:p w14:paraId="374E3DE3" w14:textId="77777777" w:rsidR="00590263" w:rsidRPr="00590263" w:rsidRDefault="00590263" w:rsidP="00590263">
            <w:r w:rsidRPr="00590263">
              <w:t>11.39</w:t>
            </w:r>
          </w:p>
        </w:tc>
      </w:tr>
      <w:tr w:rsidR="00590263" w:rsidRPr="00590263" w14:paraId="2DF47DBA" w14:textId="77777777" w:rsidTr="009D3395">
        <w:trPr>
          <w:trHeight w:val="288"/>
          <w:jc w:val="center"/>
        </w:trPr>
        <w:tc>
          <w:tcPr>
            <w:tcW w:w="2040" w:type="dxa"/>
            <w:noWrap/>
            <w:hideMark/>
          </w:tcPr>
          <w:p w14:paraId="213C9C03" w14:textId="77777777" w:rsidR="00590263" w:rsidRPr="00590263" w:rsidRDefault="00590263" w:rsidP="00590263"/>
        </w:tc>
        <w:tc>
          <w:tcPr>
            <w:tcW w:w="960" w:type="dxa"/>
            <w:noWrap/>
            <w:hideMark/>
          </w:tcPr>
          <w:p w14:paraId="2D39E3CD" w14:textId="77777777" w:rsidR="00590263" w:rsidRPr="00590263" w:rsidRDefault="00590263" w:rsidP="00590263"/>
        </w:tc>
        <w:tc>
          <w:tcPr>
            <w:tcW w:w="960" w:type="dxa"/>
            <w:noWrap/>
            <w:hideMark/>
          </w:tcPr>
          <w:p w14:paraId="20E4F89B" w14:textId="77777777" w:rsidR="00590263" w:rsidRPr="00590263" w:rsidRDefault="00590263" w:rsidP="00590263"/>
        </w:tc>
        <w:tc>
          <w:tcPr>
            <w:tcW w:w="960" w:type="dxa"/>
            <w:noWrap/>
            <w:hideMark/>
          </w:tcPr>
          <w:p w14:paraId="0B221094" w14:textId="77777777" w:rsidR="00590263" w:rsidRPr="00590263" w:rsidRDefault="00590263" w:rsidP="00590263"/>
        </w:tc>
        <w:tc>
          <w:tcPr>
            <w:tcW w:w="1443" w:type="dxa"/>
            <w:noWrap/>
            <w:hideMark/>
          </w:tcPr>
          <w:p w14:paraId="34E2AF12" w14:textId="77777777" w:rsidR="00590263" w:rsidRPr="00590263" w:rsidRDefault="00590263" w:rsidP="00590263"/>
        </w:tc>
        <w:tc>
          <w:tcPr>
            <w:tcW w:w="1483" w:type="dxa"/>
            <w:noWrap/>
            <w:hideMark/>
          </w:tcPr>
          <w:p w14:paraId="77630CF1" w14:textId="77777777" w:rsidR="00590263" w:rsidRPr="00590263" w:rsidRDefault="00590263" w:rsidP="00590263"/>
        </w:tc>
      </w:tr>
      <w:tr w:rsidR="00590263" w:rsidRPr="00590263" w14:paraId="644F8629" w14:textId="77777777" w:rsidTr="009D3395">
        <w:trPr>
          <w:trHeight w:val="288"/>
          <w:jc w:val="center"/>
        </w:trPr>
        <w:tc>
          <w:tcPr>
            <w:tcW w:w="2040" w:type="dxa"/>
            <w:noWrap/>
            <w:hideMark/>
          </w:tcPr>
          <w:p w14:paraId="17880BEF" w14:textId="0DBEE1E7" w:rsidR="00590263" w:rsidRPr="00590263" w:rsidRDefault="00571A15" w:rsidP="00590263">
            <w:r w:rsidRPr="00590263">
              <w:t>AstraZeneca</w:t>
            </w:r>
            <w:r w:rsidR="00590263" w:rsidRPr="00590263">
              <w:t xml:space="preserve"> plc</w:t>
            </w:r>
          </w:p>
        </w:tc>
        <w:tc>
          <w:tcPr>
            <w:tcW w:w="960" w:type="dxa"/>
            <w:noWrap/>
            <w:hideMark/>
          </w:tcPr>
          <w:p w14:paraId="593E8E9D" w14:textId="77777777" w:rsidR="00590263" w:rsidRPr="00590263" w:rsidRDefault="00590263" w:rsidP="00590263">
            <w:r w:rsidRPr="00590263">
              <w:t>39.52</w:t>
            </w:r>
          </w:p>
        </w:tc>
        <w:tc>
          <w:tcPr>
            <w:tcW w:w="960" w:type="dxa"/>
            <w:noWrap/>
            <w:hideMark/>
          </w:tcPr>
          <w:p w14:paraId="4FF1FF1E" w14:textId="77777777" w:rsidR="00590263" w:rsidRPr="00590263" w:rsidRDefault="00590263" w:rsidP="00590263">
            <w:r w:rsidRPr="00590263">
              <w:t>3.81</w:t>
            </w:r>
          </w:p>
        </w:tc>
        <w:tc>
          <w:tcPr>
            <w:tcW w:w="960" w:type="dxa"/>
            <w:noWrap/>
            <w:hideMark/>
          </w:tcPr>
          <w:p w14:paraId="11D4F2D3" w14:textId="77777777" w:rsidR="00590263" w:rsidRPr="00590263" w:rsidRDefault="00590263" w:rsidP="00590263">
            <w:r w:rsidRPr="00590263">
              <w:t>807.75</w:t>
            </w:r>
          </w:p>
        </w:tc>
        <w:tc>
          <w:tcPr>
            <w:tcW w:w="1443" w:type="dxa"/>
            <w:noWrap/>
            <w:hideMark/>
          </w:tcPr>
          <w:p w14:paraId="317442B9" w14:textId="77777777" w:rsidR="00590263" w:rsidRPr="00590263" w:rsidRDefault="00590263" w:rsidP="00590263">
            <w:r w:rsidRPr="00590263">
              <w:t>4.49</w:t>
            </w:r>
          </w:p>
        </w:tc>
        <w:tc>
          <w:tcPr>
            <w:tcW w:w="1483" w:type="dxa"/>
            <w:noWrap/>
            <w:hideMark/>
          </w:tcPr>
          <w:p w14:paraId="54308447" w14:textId="77777777" w:rsidR="00590263" w:rsidRPr="00590263" w:rsidRDefault="00590263" w:rsidP="00590263">
            <w:r w:rsidRPr="00590263">
              <w:t>15.07</w:t>
            </w:r>
          </w:p>
        </w:tc>
      </w:tr>
    </w:tbl>
    <w:p w14:paraId="146A43FC" w14:textId="291A4478" w:rsidR="00590263" w:rsidRDefault="009D3395" w:rsidP="009D3395">
      <w:pPr>
        <w:jc w:val="center"/>
      </w:pPr>
      <w:r>
        <w:t>Source: (</w:t>
      </w:r>
      <w:r w:rsidRPr="009D3395">
        <w:rPr>
          <w:rFonts w:cs="Times New Roman"/>
          <w:szCs w:val="24"/>
        </w:rPr>
        <w:t>Uk.finance.yahoo.com 2020</w:t>
      </w:r>
      <w:r>
        <w:rPr>
          <w:rFonts w:cs="Times New Roman"/>
          <w:szCs w:val="24"/>
        </w:rPr>
        <w:t>)</w:t>
      </w:r>
    </w:p>
    <w:p w14:paraId="01D0A7D6" w14:textId="13A74E0F" w:rsidR="00FC6FA2" w:rsidRPr="00FC6FA2" w:rsidRDefault="00FC6FA2" w:rsidP="00590263">
      <w:r>
        <w:br w:type="page"/>
      </w:r>
    </w:p>
    <w:p w14:paraId="349C574A" w14:textId="7E269791" w:rsidR="00FC6FA2" w:rsidRDefault="00FC6FA2" w:rsidP="00FC6FA2">
      <w:pPr>
        <w:pStyle w:val="Heading1"/>
      </w:pPr>
      <w:bookmarkStart w:id="9" w:name="_Toc59874309"/>
      <w:r>
        <w:lastRenderedPageBreak/>
        <w:t>Recommendation</w:t>
      </w:r>
      <w:bookmarkEnd w:id="9"/>
    </w:p>
    <w:p w14:paraId="65EEC876" w14:textId="0C70E4ED" w:rsidR="00FC6FA2" w:rsidRDefault="00FC6FA2" w:rsidP="00FC6FA2">
      <w:pPr>
        <w:ind w:firstLine="720"/>
      </w:pPr>
      <w:r>
        <w:t>In the one side, there is an acknowledgment that when AZN was going through a time of patent expiry on its key products, in the absence of innovative drugs to take their position, there will be a related reduction in profitability and cash flows. The timing of this time of recession, on the other side, was well established, and preparation for these developments could have begun sooner, with the first phase being the retention of cash and the termination of all equity buy-backs since 2008, and now the rebasing of the dividend five years early, as the share price was increasing.</w:t>
      </w:r>
    </w:p>
    <w:p w14:paraId="148D35CE" w14:textId="77777777" w:rsidR="00FC6FA2" w:rsidRDefault="00FC6FA2" w:rsidP="00590263">
      <w:pPr>
        <w:ind w:firstLine="720"/>
      </w:pPr>
      <w:r>
        <w:t>As demonstrated by the significant mismatch (over-statement) within both the core EPS of AZN and the operating cash flow per share, the covering-up of earnings from statutory to core utilising non-GAAP steps will produce misleading results from our brief forensic financial review.</w:t>
      </w:r>
    </w:p>
    <w:p w14:paraId="01D680EB" w14:textId="44727B4F" w:rsidR="00FC6FA2" w:rsidRPr="00FC6FA2" w:rsidRDefault="00FC6FA2" w:rsidP="00FC6FA2">
      <w:pPr>
        <w:ind w:firstLine="720"/>
      </w:pPr>
      <w:r>
        <w:t>Much attention is focused on the R&amp;D pipeline from an empirical point of view but not enough time spent on forensic analysis of the accounts. Analysts do therefore not necessarily embrace the company's 'guidance' figures and always provide reports that are '... in accordance with standards...'. Analysts should not be hesitant to propose more suitable options to clients based on their own, consistent accounting methodology, facilitating clear contrasts between peer groups and shaping consensus.</w:t>
      </w:r>
    </w:p>
    <w:p w14:paraId="08CEF0B0" w14:textId="26D96C90" w:rsidR="00F86295" w:rsidRDefault="001E0354" w:rsidP="00FC6FA2">
      <w:pPr>
        <w:pStyle w:val="Heading1"/>
      </w:pPr>
      <w:bookmarkStart w:id="10" w:name="_Toc59874310"/>
      <w:r>
        <w:t>New Project Analysis</w:t>
      </w:r>
      <w:bookmarkEnd w:id="10"/>
    </w:p>
    <w:p w14:paraId="7FBBB082" w14:textId="50EEDA2E" w:rsidR="001E0354" w:rsidRDefault="001E0354" w:rsidP="001E0354">
      <w:r>
        <w:tab/>
        <w:t xml:space="preserve">AstraZeneca </w:t>
      </w:r>
      <w:r w:rsidRPr="001E0354">
        <w:t>has been researching the prospects for a range of new investment opportunities. The cash flow details of two promising projects (which are mutually exclusive) are given below:</w:t>
      </w:r>
    </w:p>
    <w:p w14:paraId="21763D0E" w14:textId="77777777" w:rsidR="00571A15" w:rsidRDefault="00571A15" w:rsidP="001E0354">
      <w:pPr>
        <w:ind w:left="1440" w:firstLine="720"/>
        <w:rPr>
          <w:b/>
          <w:lang w:val="en-GB"/>
        </w:rPr>
      </w:pPr>
    </w:p>
    <w:p w14:paraId="78F3E3AE" w14:textId="2FF9E941" w:rsidR="001E0354" w:rsidRPr="001E0354" w:rsidRDefault="001E0354" w:rsidP="001E0354">
      <w:pPr>
        <w:ind w:left="1440" w:firstLine="720"/>
        <w:rPr>
          <w:b/>
          <w:lang w:val="en-GB"/>
        </w:rPr>
      </w:pPr>
      <w:r w:rsidRPr="001E0354">
        <w:rPr>
          <w:b/>
          <w:lang w:val="en-GB"/>
        </w:rPr>
        <w:lastRenderedPageBreak/>
        <w:t xml:space="preserve">Year Projected Cash Flows (£m) </w:t>
      </w:r>
    </w:p>
    <w:p w14:paraId="3F727AC1" w14:textId="77777777" w:rsidR="001E0354" w:rsidRPr="001E0354" w:rsidRDefault="001E0354" w:rsidP="001E0354">
      <w:pPr>
        <w:ind w:left="1440" w:firstLine="720"/>
        <w:rPr>
          <w:lang w:val="en-GB"/>
        </w:rPr>
      </w:pPr>
      <w:r w:rsidRPr="001E0354">
        <w:rPr>
          <w:lang w:val="en-GB"/>
        </w:rPr>
        <w:t>Year                 A                           B</w:t>
      </w:r>
    </w:p>
    <w:tbl>
      <w:tblPr>
        <w:tblW w:w="0" w:type="auto"/>
        <w:jc w:val="center"/>
        <w:tblBorders>
          <w:top w:val="nil"/>
          <w:left w:val="nil"/>
          <w:bottom w:val="nil"/>
          <w:right w:val="nil"/>
        </w:tblBorders>
        <w:tblLayout w:type="fixed"/>
        <w:tblLook w:val="0000" w:firstRow="0" w:lastRow="0" w:firstColumn="0" w:lastColumn="0" w:noHBand="0" w:noVBand="0"/>
      </w:tblPr>
      <w:tblGrid>
        <w:gridCol w:w="1172"/>
        <w:gridCol w:w="2055"/>
        <w:gridCol w:w="1701"/>
      </w:tblGrid>
      <w:tr w:rsidR="001E0354" w:rsidRPr="001E0354" w14:paraId="1210C187" w14:textId="77777777" w:rsidTr="001E0354">
        <w:trPr>
          <w:trHeight w:val="120"/>
          <w:jc w:val="center"/>
        </w:trPr>
        <w:tc>
          <w:tcPr>
            <w:tcW w:w="1172" w:type="dxa"/>
          </w:tcPr>
          <w:p w14:paraId="25DC115C" w14:textId="77777777" w:rsidR="001E0354" w:rsidRPr="001E0354" w:rsidRDefault="001E0354" w:rsidP="001E0354">
            <w:pPr>
              <w:rPr>
                <w:lang w:val="en-GB"/>
              </w:rPr>
            </w:pPr>
            <w:r w:rsidRPr="001E0354">
              <w:rPr>
                <w:lang w:val="en-GB"/>
              </w:rPr>
              <w:t>0</w:t>
            </w:r>
          </w:p>
        </w:tc>
        <w:tc>
          <w:tcPr>
            <w:tcW w:w="2055" w:type="dxa"/>
          </w:tcPr>
          <w:p w14:paraId="0692C8B2" w14:textId="77777777" w:rsidR="001E0354" w:rsidRPr="001E0354" w:rsidRDefault="001E0354" w:rsidP="001E0354">
            <w:pPr>
              <w:rPr>
                <w:lang w:val="en-GB"/>
              </w:rPr>
            </w:pPr>
            <w:r w:rsidRPr="001E0354">
              <w:rPr>
                <w:lang w:val="en-GB"/>
              </w:rPr>
              <w:t>-85</w:t>
            </w:r>
          </w:p>
        </w:tc>
        <w:tc>
          <w:tcPr>
            <w:tcW w:w="1701" w:type="dxa"/>
          </w:tcPr>
          <w:p w14:paraId="482A1913" w14:textId="77777777" w:rsidR="001E0354" w:rsidRPr="001E0354" w:rsidRDefault="001E0354" w:rsidP="001E0354">
            <w:pPr>
              <w:rPr>
                <w:lang w:val="en-GB"/>
              </w:rPr>
            </w:pPr>
            <w:r w:rsidRPr="001E0354">
              <w:rPr>
                <w:lang w:val="en-GB"/>
              </w:rPr>
              <w:t>-90</w:t>
            </w:r>
          </w:p>
        </w:tc>
      </w:tr>
      <w:tr w:rsidR="001E0354" w:rsidRPr="001E0354" w14:paraId="20FEFF31" w14:textId="77777777" w:rsidTr="001E0354">
        <w:trPr>
          <w:trHeight w:val="119"/>
          <w:jc w:val="center"/>
        </w:trPr>
        <w:tc>
          <w:tcPr>
            <w:tcW w:w="1172" w:type="dxa"/>
          </w:tcPr>
          <w:p w14:paraId="27DD006E" w14:textId="77777777" w:rsidR="001E0354" w:rsidRPr="001E0354" w:rsidRDefault="001E0354" w:rsidP="001E0354">
            <w:pPr>
              <w:rPr>
                <w:lang w:val="en-GB"/>
              </w:rPr>
            </w:pPr>
            <w:r w:rsidRPr="001E0354">
              <w:rPr>
                <w:lang w:val="en-GB"/>
              </w:rPr>
              <w:t>1</w:t>
            </w:r>
          </w:p>
        </w:tc>
        <w:tc>
          <w:tcPr>
            <w:tcW w:w="2055" w:type="dxa"/>
          </w:tcPr>
          <w:p w14:paraId="64665220" w14:textId="77777777" w:rsidR="001E0354" w:rsidRPr="001E0354" w:rsidRDefault="001E0354" w:rsidP="001E0354">
            <w:pPr>
              <w:rPr>
                <w:lang w:val="en-GB"/>
              </w:rPr>
            </w:pPr>
            <w:r w:rsidRPr="001E0354">
              <w:rPr>
                <w:lang w:val="en-GB"/>
              </w:rPr>
              <w:t>10</w:t>
            </w:r>
          </w:p>
        </w:tc>
        <w:tc>
          <w:tcPr>
            <w:tcW w:w="1701" w:type="dxa"/>
          </w:tcPr>
          <w:p w14:paraId="4469917B" w14:textId="77777777" w:rsidR="001E0354" w:rsidRPr="001E0354" w:rsidRDefault="001E0354" w:rsidP="001E0354">
            <w:pPr>
              <w:rPr>
                <w:lang w:val="en-GB"/>
              </w:rPr>
            </w:pPr>
            <w:r w:rsidRPr="001E0354">
              <w:rPr>
                <w:lang w:val="en-GB"/>
              </w:rPr>
              <w:t>25</w:t>
            </w:r>
          </w:p>
        </w:tc>
      </w:tr>
      <w:tr w:rsidR="001E0354" w:rsidRPr="001E0354" w14:paraId="0015F171" w14:textId="77777777" w:rsidTr="001E0354">
        <w:trPr>
          <w:trHeight w:val="119"/>
          <w:jc w:val="center"/>
        </w:trPr>
        <w:tc>
          <w:tcPr>
            <w:tcW w:w="1172" w:type="dxa"/>
          </w:tcPr>
          <w:p w14:paraId="7190B6AA" w14:textId="77777777" w:rsidR="001E0354" w:rsidRPr="001E0354" w:rsidRDefault="001E0354" w:rsidP="001E0354">
            <w:pPr>
              <w:rPr>
                <w:lang w:val="en-GB"/>
              </w:rPr>
            </w:pPr>
            <w:r w:rsidRPr="001E0354">
              <w:rPr>
                <w:lang w:val="en-GB"/>
              </w:rPr>
              <w:t>2</w:t>
            </w:r>
          </w:p>
        </w:tc>
        <w:tc>
          <w:tcPr>
            <w:tcW w:w="2055" w:type="dxa"/>
          </w:tcPr>
          <w:p w14:paraId="57BC9CFB" w14:textId="77777777" w:rsidR="001E0354" w:rsidRPr="001E0354" w:rsidRDefault="001E0354" w:rsidP="001E0354">
            <w:pPr>
              <w:rPr>
                <w:lang w:val="en-GB"/>
              </w:rPr>
            </w:pPr>
            <w:r w:rsidRPr="001E0354">
              <w:rPr>
                <w:lang w:val="en-GB"/>
              </w:rPr>
              <w:t>20</w:t>
            </w:r>
          </w:p>
        </w:tc>
        <w:tc>
          <w:tcPr>
            <w:tcW w:w="1701" w:type="dxa"/>
          </w:tcPr>
          <w:p w14:paraId="79DF2185" w14:textId="77777777" w:rsidR="001E0354" w:rsidRPr="001E0354" w:rsidRDefault="001E0354" w:rsidP="001E0354">
            <w:pPr>
              <w:rPr>
                <w:lang w:val="en-GB"/>
              </w:rPr>
            </w:pPr>
            <w:r w:rsidRPr="001E0354">
              <w:rPr>
                <w:lang w:val="en-GB"/>
              </w:rPr>
              <w:t>30</w:t>
            </w:r>
          </w:p>
        </w:tc>
      </w:tr>
      <w:tr w:rsidR="001E0354" w:rsidRPr="001E0354" w14:paraId="43625860" w14:textId="77777777" w:rsidTr="001E0354">
        <w:trPr>
          <w:trHeight w:val="120"/>
          <w:jc w:val="center"/>
        </w:trPr>
        <w:tc>
          <w:tcPr>
            <w:tcW w:w="1172" w:type="dxa"/>
          </w:tcPr>
          <w:p w14:paraId="64DC34EB" w14:textId="77777777" w:rsidR="001E0354" w:rsidRPr="001E0354" w:rsidRDefault="001E0354" w:rsidP="001E0354">
            <w:pPr>
              <w:rPr>
                <w:lang w:val="en-GB"/>
              </w:rPr>
            </w:pPr>
            <w:r w:rsidRPr="001E0354">
              <w:rPr>
                <w:lang w:val="en-GB"/>
              </w:rPr>
              <w:t>3</w:t>
            </w:r>
          </w:p>
        </w:tc>
        <w:tc>
          <w:tcPr>
            <w:tcW w:w="2055" w:type="dxa"/>
          </w:tcPr>
          <w:p w14:paraId="6EE71667" w14:textId="77777777" w:rsidR="001E0354" w:rsidRPr="001E0354" w:rsidRDefault="001E0354" w:rsidP="001E0354">
            <w:pPr>
              <w:rPr>
                <w:lang w:val="en-GB"/>
              </w:rPr>
            </w:pPr>
            <w:r w:rsidRPr="001E0354">
              <w:rPr>
                <w:lang w:val="en-GB"/>
              </w:rPr>
              <w:t>40</w:t>
            </w:r>
          </w:p>
        </w:tc>
        <w:tc>
          <w:tcPr>
            <w:tcW w:w="1701" w:type="dxa"/>
          </w:tcPr>
          <w:p w14:paraId="32535EA3" w14:textId="77777777" w:rsidR="001E0354" w:rsidRPr="001E0354" w:rsidRDefault="001E0354" w:rsidP="001E0354">
            <w:pPr>
              <w:rPr>
                <w:lang w:val="en-GB"/>
              </w:rPr>
            </w:pPr>
            <w:r w:rsidRPr="001E0354">
              <w:rPr>
                <w:lang w:val="en-GB"/>
              </w:rPr>
              <w:t>35</w:t>
            </w:r>
          </w:p>
        </w:tc>
      </w:tr>
      <w:tr w:rsidR="001E0354" w:rsidRPr="001E0354" w14:paraId="10E7C74A" w14:textId="77777777" w:rsidTr="001E0354">
        <w:trPr>
          <w:trHeight w:val="120"/>
          <w:jc w:val="center"/>
        </w:trPr>
        <w:tc>
          <w:tcPr>
            <w:tcW w:w="1172" w:type="dxa"/>
          </w:tcPr>
          <w:p w14:paraId="2EE52774" w14:textId="77777777" w:rsidR="001E0354" w:rsidRPr="001E0354" w:rsidRDefault="001E0354" w:rsidP="001E0354">
            <w:pPr>
              <w:rPr>
                <w:lang w:val="en-GB"/>
              </w:rPr>
            </w:pPr>
            <w:r w:rsidRPr="001E0354">
              <w:rPr>
                <w:lang w:val="en-GB"/>
              </w:rPr>
              <w:t>4</w:t>
            </w:r>
          </w:p>
        </w:tc>
        <w:tc>
          <w:tcPr>
            <w:tcW w:w="2055" w:type="dxa"/>
          </w:tcPr>
          <w:p w14:paraId="2827590B" w14:textId="77777777" w:rsidR="001E0354" w:rsidRPr="001E0354" w:rsidRDefault="001E0354" w:rsidP="001E0354">
            <w:pPr>
              <w:rPr>
                <w:lang w:val="en-GB"/>
              </w:rPr>
            </w:pPr>
            <w:r w:rsidRPr="001E0354">
              <w:rPr>
                <w:lang w:val="en-GB"/>
              </w:rPr>
              <w:t>55</w:t>
            </w:r>
          </w:p>
        </w:tc>
        <w:tc>
          <w:tcPr>
            <w:tcW w:w="1701" w:type="dxa"/>
          </w:tcPr>
          <w:p w14:paraId="088FD4EA" w14:textId="77777777" w:rsidR="001E0354" w:rsidRPr="001E0354" w:rsidRDefault="001E0354" w:rsidP="001E0354">
            <w:pPr>
              <w:rPr>
                <w:lang w:val="en-GB"/>
              </w:rPr>
            </w:pPr>
            <w:r w:rsidRPr="001E0354">
              <w:rPr>
                <w:lang w:val="en-GB"/>
              </w:rPr>
              <w:t>40</w:t>
            </w:r>
          </w:p>
        </w:tc>
      </w:tr>
    </w:tbl>
    <w:p w14:paraId="763505AD" w14:textId="61086AD2" w:rsidR="001E0354" w:rsidRDefault="001E0354" w:rsidP="001E0354">
      <w:pPr>
        <w:ind w:firstLine="720"/>
        <w:rPr>
          <w:lang w:val="en-GB"/>
        </w:rPr>
      </w:pPr>
      <w:r w:rsidRPr="001E0354">
        <w:rPr>
          <w:lang w:val="en-GB"/>
        </w:rPr>
        <w:t>Assum</w:t>
      </w:r>
      <w:r>
        <w:rPr>
          <w:lang w:val="en-GB"/>
        </w:rPr>
        <w:t>ing</w:t>
      </w:r>
      <w:r w:rsidRPr="001E0354">
        <w:rPr>
          <w:lang w:val="en-GB"/>
        </w:rPr>
        <w:t xml:space="preserve"> that the company’s cost of capital is currently at 10.5 percent. Assum</w:t>
      </w:r>
      <w:r>
        <w:rPr>
          <w:lang w:val="en-GB"/>
        </w:rPr>
        <w:t>ing</w:t>
      </w:r>
      <w:r w:rsidRPr="001E0354">
        <w:rPr>
          <w:lang w:val="en-GB"/>
        </w:rPr>
        <w:t xml:space="preserve"> that all cash flows arise at year ends and straight-line depreciation is used over the life of the project with zero scrap value.</w:t>
      </w:r>
      <w:r>
        <w:rPr>
          <w:lang w:val="en-GB"/>
        </w:rPr>
        <w:t xml:space="preserve"> Upon conducting investment appraisal techniques such as </w:t>
      </w:r>
      <w:r w:rsidRPr="001E0354">
        <w:rPr>
          <w:lang w:val="en-GB"/>
        </w:rPr>
        <w:t>the Payback Period (PBP), Accounting Rate of Return (ARR) and the Net Present Value (NPV)</w:t>
      </w:r>
      <w:r>
        <w:rPr>
          <w:lang w:val="en-GB"/>
        </w:rPr>
        <w:t xml:space="preserve"> the following figures for Project A and B are created.</w:t>
      </w:r>
    </w:p>
    <w:tbl>
      <w:tblPr>
        <w:tblW w:w="5380" w:type="dxa"/>
        <w:jc w:val="center"/>
        <w:tblLook w:val="04A0" w:firstRow="1" w:lastRow="0" w:firstColumn="1" w:lastColumn="0" w:noHBand="0" w:noVBand="1"/>
      </w:tblPr>
      <w:tblGrid>
        <w:gridCol w:w="1820"/>
        <w:gridCol w:w="1330"/>
        <w:gridCol w:w="1800"/>
        <w:gridCol w:w="694"/>
      </w:tblGrid>
      <w:tr w:rsidR="001E0354" w:rsidRPr="001E0354" w14:paraId="692AA11D"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6088CE11" w14:textId="77777777" w:rsidR="001E0354" w:rsidRPr="001E0354" w:rsidRDefault="001E0354" w:rsidP="001E0354">
            <w:pPr>
              <w:spacing w:after="0" w:line="240" w:lineRule="auto"/>
              <w:jc w:val="left"/>
              <w:rPr>
                <w:rFonts w:ascii="Calibri" w:eastAsia="Times New Roman" w:hAnsi="Calibri" w:cs="Calibri"/>
                <w:b/>
                <w:bCs/>
                <w:color w:val="000000"/>
                <w:sz w:val="22"/>
                <w:lang w:eastAsia="en-IN"/>
              </w:rPr>
            </w:pPr>
            <w:r w:rsidRPr="001E0354">
              <w:rPr>
                <w:rFonts w:ascii="Calibri" w:eastAsia="Times New Roman" w:hAnsi="Calibri" w:cs="Calibri"/>
                <w:b/>
                <w:bCs/>
                <w:color w:val="000000"/>
                <w:sz w:val="22"/>
                <w:lang w:eastAsia="en-IN"/>
              </w:rPr>
              <w:t>Company A</w:t>
            </w:r>
          </w:p>
        </w:tc>
        <w:tc>
          <w:tcPr>
            <w:tcW w:w="1330" w:type="dxa"/>
            <w:tcBorders>
              <w:top w:val="nil"/>
              <w:left w:val="nil"/>
              <w:bottom w:val="nil"/>
              <w:right w:val="nil"/>
            </w:tcBorders>
            <w:shd w:val="clear" w:color="auto" w:fill="auto"/>
            <w:noWrap/>
            <w:vAlign w:val="bottom"/>
            <w:hideMark/>
          </w:tcPr>
          <w:p w14:paraId="7B564B5F" w14:textId="77777777" w:rsidR="001E0354" w:rsidRPr="001E0354" w:rsidRDefault="001E0354" w:rsidP="001E0354">
            <w:pPr>
              <w:spacing w:after="0" w:line="240" w:lineRule="auto"/>
              <w:jc w:val="left"/>
              <w:rPr>
                <w:rFonts w:ascii="Calibri" w:eastAsia="Times New Roman" w:hAnsi="Calibri" w:cs="Calibri"/>
                <w:b/>
                <w:bCs/>
                <w:color w:val="000000"/>
                <w:sz w:val="22"/>
                <w:lang w:eastAsia="en-IN"/>
              </w:rPr>
            </w:pPr>
          </w:p>
        </w:tc>
        <w:tc>
          <w:tcPr>
            <w:tcW w:w="1800" w:type="dxa"/>
            <w:tcBorders>
              <w:top w:val="nil"/>
              <w:left w:val="nil"/>
              <w:bottom w:val="nil"/>
              <w:right w:val="nil"/>
            </w:tcBorders>
            <w:shd w:val="clear" w:color="auto" w:fill="auto"/>
            <w:noWrap/>
            <w:vAlign w:val="bottom"/>
            <w:hideMark/>
          </w:tcPr>
          <w:p w14:paraId="38967C9D"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430" w:type="dxa"/>
            <w:tcBorders>
              <w:top w:val="nil"/>
              <w:left w:val="nil"/>
              <w:bottom w:val="nil"/>
              <w:right w:val="nil"/>
            </w:tcBorders>
            <w:shd w:val="clear" w:color="auto" w:fill="auto"/>
            <w:noWrap/>
            <w:vAlign w:val="bottom"/>
            <w:hideMark/>
          </w:tcPr>
          <w:p w14:paraId="00376BAE"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r>
      <w:tr w:rsidR="001E0354" w:rsidRPr="001E0354" w14:paraId="1202CE95"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2373CA80"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1330" w:type="dxa"/>
            <w:tcBorders>
              <w:top w:val="nil"/>
              <w:left w:val="nil"/>
              <w:bottom w:val="nil"/>
              <w:right w:val="nil"/>
            </w:tcBorders>
            <w:shd w:val="clear" w:color="auto" w:fill="auto"/>
            <w:noWrap/>
            <w:vAlign w:val="bottom"/>
            <w:hideMark/>
          </w:tcPr>
          <w:p w14:paraId="2C2C671E"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1800" w:type="dxa"/>
            <w:tcBorders>
              <w:top w:val="nil"/>
              <w:left w:val="nil"/>
              <w:bottom w:val="nil"/>
              <w:right w:val="nil"/>
            </w:tcBorders>
            <w:shd w:val="clear" w:color="auto" w:fill="auto"/>
            <w:noWrap/>
            <w:vAlign w:val="bottom"/>
            <w:hideMark/>
          </w:tcPr>
          <w:p w14:paraId="3E7CC2D7"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430" w:type="dxa"/>
            <w:tcBorders>
              <w:top w:val="nil"/>
              <w:left w:val="nil"/>
              <w:bottom w:val="nil"/>
              <w:right w:val="nil"/>
            </w:tcBorders>
            <w:shd w:val="clear" w:color="auto" w:fill="auto"/>
            <w:noWrap/>
            <w:vAlign w:val="bottom"/>
            <w:hideMark/>
          </w:tcPr>
          <w:p w14:paraId="534B7CE2"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r>
      <w:tr w:rsidR="001E0354" w:rsidRPr="001E0354" w14:paraId="195773E9"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10BBF3DD" w14:textId="1C054C68" w:rsidR="001E0354" w:rsidRPr="001E0354" w:rsidRDefault="001E0354" w:rsidP="001E0354">
            <w:pPr>
              <w:spacing w:after="0" w:line="240" w:lineRule="auto"/>
              <w:jc w:val="lef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1. Payback period</w:t>
            </w:r>
          </w:p>
        </w:tc>
        <w:tc>
          <w:tcPr>
            <w:tcW w:w="1330" w:type="dxa"/>
            <w:tcBorders>
              <w:top w:val="nil"/>
              <w:left w:val="nil"/>
              <w:bottom w:val="nil"/>
              <w:right w:val="nil"/>
            </w:tcBorders>
            <w:shd w:val="clear" w:color="auto" w:fill="auto"/>
            <w:noWrap/>
            <w:vAlign w:val="bottom"/>
            <w:hideMark/>
          </w:tcPr>
          <w:p w14:paraId="15870E93"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p>
        </w:tc>
        <w:tc>
          <w:tcPr>
            <w:tcW w:w="1800" w:type="dxa"/>
            <w:tcBorders>
              <w:top w:val="nil"/>
              <w:left w:val="nil"/>
              <w:bottom w:val="nil"/>
              <w:right w:val="nil"/>
            </w:tcBorders>
            <w:shd w:val="clear" w:color="auto" w:fill="auto"/>
            <w:noWrap/>
            <w:vAlign w:val="bottom"/>
            <w:hideMark/>
          </w:tcPr>
          <w:p w14:paraId="7946D419" w14:textId="77777777" w:rsidR="001E0354" w:rsidRPr="001E0354" w:rsidRDefault="001E0354" w:rsidP="001E0354">
            <w:pPr>
              <w:spacing w:after="0" w:line="240" w:lineRule="auto"/>
              <w:jc w:val="righ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3.27</w:t>
            </w:r>
          </w:p>
        </w:tc>
        <w:tc>
          <w:tcPr>
            <w:tcW w:w="430" w:type="dxa"/>
            <w:tcBorders>
              <w:top w:val="nil"/>
              <w:left w:val="nil"/>
              <w:bottom w:val="nil"/>
              <w:right w:val="nil"/>
            </w:tcBorders>
            <w:shd w:val="clear" w:color="auto" w:fill="auto"/>
            <w:noWrap/>
            <w:vAlign w:val="bottom"/>
            <w:hideMark/>
          </w:tcPr>
          <w:p w14:paraId="2D43B3DA"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years</w:t>
            </w:r>
          </w:p>
        </w:tc>
      </w:tr>
      <w:tr w:rsidR="001E0354" w:rsidRPr="001E0354" w14:paraId="04BD0D8B"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4B067095"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p>
        </w:tc>
        <w:tc>
          <w:tcPr>
            <w:tcW w:w="1330" w:type="dxa"/>
            <w:tcBorders>
              <w:top w:val="nil"/>
              <w:left w:val="nil"/>
              <w:bottom w:val="nil"/>
              <w:right w:val="nil"/>
            </w:tcBorders>
            <w:shd w:val="clear" w:color="auto" w:fill="auto"/>
            <w:noWrap/>
            <w:vAlign w:val="bottom"/>
            <w:hideMark/>
          </w:tcPr>
          <w:p w14:paraId="5119F425"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1800" w:type="dxa"/>
            <w:tcBorders>
              <w:top w:val="nil"/>
              <w:left w:val="nil"/>
              <w:bottom w:val="nil"/>
              <w:right w:val="nil"/>
            </w:tcBorders>
            <w:shd w:val="clear" w:color="auto" w:fill="auto"/>
            <w:noWrap/>
            <w:vAlign w:val="bottom"/>
            <w:hideMark/>
          </w:tcPr>
          <w:p w14:paraId="6BB81E7C"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430" w:type="dxa"/>
            <w:tcBorders>
              <w:top w:val="nil"/>
              <w:left w:val="nil"/>
              <w:bottom w:val="nil"/>
              <w:right w:val="nil"/>
            </w:tcBorders>
            <w:shd w:val="clear" w:color="auto" w:fill="auto"/>
            <w:noWrap/>
            <w:vAlign w:val="bottom"/>
            <w:hideMark/>
          </w:tcPr>
          <w:p w14:paraId="11765C3B"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r>
      <w:tr w:rsidR="001E0354" w:rsidRPr="001E0354" w14:paraId="69A65432"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63BD3342"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2. ARR =</w:t>
            </w:r>
          </w:p>
        </w:tc>
        <w:tc>
          <w:tcPr>
            <w:tcW w:w="1330" w:type="dxa"/>
            <w:tcBorders>
              <w:top w:val="nil"/>
              <w:left w:val="nil"/>
              <w:bottom w:val="nil"/>
              <w:right w:val="nil"/>
            </w:tcBorders>
            <w:shd w:val="clear" w:color="auto" w:fill="auto"/>
            <w:noWrap/>
            <w:vAlign w:val="bottom"/>
            <w:hideMark/>
          </w:tcPr>
          <w:p w14:paraId="6C6459CB"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p>
        </w:tc>
        <w:tc>
          <w:tcPr>
            <w:tcW w:w="1800" w:type="dxa"/>
            <w:tcBorders>
              <w:top w:val="nil"/>
              <w:left w:val="nil"/>
              <w:bottom w:val="nil"/>
              <w:right w:val="nil"/>
            </w:tcBorders>
            <w:shd w:val="clear" w:color="auto" w:fill="auto"/>
            <w:noWrap/>
            <w:vAlign w:val="bottom"/>
            <w:hideMark/>
          </w:tcPr>
          <w:p w14:paraId="60D5B362" w14:textId="77777777" w:rsidR="001E0354" w:rsidRPr="001E0354" w:rsidRDefault="001E0354" w:rsidP="001E0354">
            <w:pPr>
              <w:spacing w:after="0" w:line="240" w:lineRule="auto"/>
              <w:jc w:val="righ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36.76%</w:t>
            </w:r>
          </w:p>
        </w:tc>
        <w:tc>
          <w:tcPr>
            <w:tcW w:w="430" w:type="dxa"/>
            <w:tcBorders>
              <w:top w:val="nil"/>
              <w:left w:val="nil"/>
              <w:bottom w:val="nil"/>
              <w:right w:val="nil"/>
            </w:tcBorders>
            <w:shd w:val="clear" w:color="auto" w:fill="auto"/>
            <w:noWrap/>
            <w:vAlign w:val="bottom"/>
            <w:hideMark/>
          </w:tcPr>
          <w:p w14:paraId="014FB383" w14:textId="77777777" w:rsidR="001E0354" w:rsidRPr="001E0354" w:rsidRDefault="001E0354" w:rsidP="001E0354">
            <w:pPr>
              <w:spacing w:after="0" w:line="240" w:lineRule="auto"/>
              <w:jc w:val="right"/>
              <w:rPr>
                <w:rFonts w:ascii="Calibri" w:eastAsia="Times New Roman" w:hAnsi="Calibri" w:cs="Calibri"/>
                <w:color w:val="000000"/>
                <w:sz w:val="22"/>
                <w:lang w:eastAsia="en-IN"/>
              </w:rPr>
            </w:pPr>
          </w:p>
        </w:tc>
      </w:tr>
      <w:tr w:rsidR="001E0354" w:rsidRPr="001E0354" w14:paraId="03342A98"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2CF8F76E"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1330" w:type="dxa"/>
            <w:tcBorders>
              <w:top w:val="nil"/>
              <w:left w:val="nil"/>
              <w:bottom w:val="nil"/>
              <w:right w:val="nil"/>
            </w:tcBorders>
            <w:shd w:val="clear" w:color="auto" w:fill="auto"/>
            <w:noWrap/>
            <w:vAlign w:val="bottom"/>
            <w:hideMark/>
          </w:tcPr>
          <w:p w14:paraId="6639002A"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1800" w:type="dxa"/>
            <w:tcBorders>
              <w:top w:val="nil"/>
              <w:left w:val="nil"/>
              <w:bottom w:val="nil"/>
              <w:right w:val="nil"/>
            </w:tcBorders>
            <w:shd w:val="clear" w:color="auto" w:fill="auto"/>
            <w:noWrap/>
            <w:vAlign w:val="bottom"/>
            <w:hideMark/>
          </w:tcPr>
          <w:p w14:paraId="33C836DB"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430" w:type="dxa"/>
            <w:tcBorders>
              <w:top w:val="nil"/>
              <w:left w:val="nil"/>
              <w:bottom w:val="nil"/>
              <w:right w:val="nil"/>
            </w:tcBorders>
            <w:shd w:val="clear" w:color="auto" w:fill="auto"/>
            <w:noWrap/>
            <w:vAlign w:val="bottom"/>
            <w:hideMark/>
          </w:tcPr>
          <w:p w14:paraId="22ED431B"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r>
      <w:tr w:rsidR="001E0354" w:rsidRPr="001E0354" w14:paraId="1F5DCA06"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0352BD26"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3. NPV =</w:t>
            </w:r>
          </w:p>
        </w:tc>
        <w:tc>
          <w:tcPr>
            <w:tcW w:w="1330" w:type="dxa"/>
            <w:tcBorders>
              <w:top w:val="nil"/>
              <w:left w:val="nil"/>
              <w:bottom w:val="nil"/>
              <w:right w:val="nil"/>
            </w:tcBorders>
            <w:shd w:val="clear" w:color="auto" w:fill="auto"/>
            <w:noWrap/>
            <w:vAlign w:val="bottom"/>
            <w:hideMark/>
          </w:tcPr>
          <w:p w14:paraId="182F0991"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p>
        </w:tc>
        <w:tc>
          <w:tcPr>
            <w:tcW w:w="1800" w:type="dxa"/>
            <w:tcBorders>
              <w:top w:val="nil"/>
              <w:left w:val="nil"/>
              <w:bottom w:val="nil"/>
              <w:right w:val="nil"/>
            </w:tcBorders>
            <w:shd w:val="clear" w:color="auto" w:fill="auto"/>
            <w:noWrap/>
            <w:vAlign w:val="bottom"/>
            <w:hideMark/>
          </w:tcPr>
          <w:p w14:paraId="5F8EB0F9"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 xml:space="preserve"> £                    6.97 </w:t>
            </w:r>
          </w:p>
        </w:tc>
        <w:tc>
          <w:tcPr>
            <w:tcW w:w="430" w:type="dxa"/>
            <w:tcBorders>
              <w:top w:val="nil"/>
              <w:left w:val="nil"/>
              <w:bottom w:val="nil"/>
              <w:right w:val="nil"/>
            </w:tcBorders>
            <w:shd w:val="clear" w:color="auto" w:fill="auto"/>
            <w:noWrap/>
            <w:vAlign w:val="bottom"/>
            <w:hideMark/>
          </w:tcPr>
          <w:p w14:paraId="0028269B"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p>
        </w:tc>
      </w:tr>
    </w:tbl>
    <w:p w14:paraId="25DF0721" w14:textId="78214F7B" w:rsidR="001E0354" w:rsidRDefault="001E0354" w:rsidP="001E0354">
      <w:pPr>
        <w:rPr>
          <w:lang w:val="en-GB"/>
        </w:rPr>
      </w:pPr>
    </w:p>
    <w:tbl>
      <w:tblPr>
        <w:tblW w:w="5824" w:type="dxa"/>
        <w:jc w:val="center"/>
        <w:tblLook w:val="04A0" w:firstRow="1" w:lastRow="0" w:firstColumn="1" w:lastColumn="0" w:noHBand="0" w:noVBand="1"/>
      </w:tblPr>
      <w:tblGrid>
        <w:gridCol w:w="1820"/>
        <w:gridCol w:w="1420"/>
        <w:gridCol w:w="1890"/>
        <w:gridCol w:w="694"/>
      </w:tblGrid>
      <w:tr w:rsidR="001E0354" w:rsidRPr="001E0354" w14:paraId="0D3E9867"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462B9596" w14:textId="77777777" w:rsidR="001E0354" w:rsidRPr="001E0354" w:rsidRDefault="001E0354" w:rsidP="001E0354">
            <w:pPr>
              <w:spacing w:after="0" w:line="240" w:lineRule="auto"/>
              <w:jc w:val="left"/>
              <w:rPr>
                <w:rFonts w:ascii="Calibri" w:eastAsia="Times New Roman" w:hAnsi="Calibri" w:cs="Calibri"/>
                <w:b/>
                <w:bCs/>
                <w:color w:val="000000"/>
                <w:sz w:val="22"/>
                <w:lang w:eastAsia="en-IN"/>
              </w:rPr>
            </w:pPr>
            <w:r w:rsidRPr="001E0354">
              <w:rPr>
                <w:rFonts w:ascii="Calibri" w:eastAsia="Times New Roman" w:hAnsi="Calibri" w:cs="Calibri"/>
                <w:b/>
                <w:bCs/>
                <w:color w:val="000000"/>
                <w:sz w:val="22"/>
                <w:lang w:eastAsia="en-IN"/>
              </w:rPr>
              <w:t>Company B</w:t>
            </w:r>
          </w:p>
        </w:tc>
        <w:tc>
          <w:tcPr>
            <w:tcW w:w="1420" w:type="dxa"/>
            <w:tcBorders>
              <w:top w:val="nil"/>
              <w:left w:val="nil"/>
              <w:bottom w:val="nil"/>
              <w:right w:val="nil"/>
            </w:tcBorders>
            <w:shd w:val="clear" w:color="auto" w:fill="auto"/>
            <w:noWrap/>
            <w:vAlign w:val="bottom"/>
            <w:hideMark/>
          </w:tcPr>
          <w:p w14:paraId="11167915" w14:textId="77777777" w:rsidR="001E0354" w:rsidRPr="001E0354" w:rsidRDefault="001E0354" w:rsidP="001E0354">
            <w:pPr>
              <w:spacing w:after="0" w:line="240" w:lineRule="auto"/>
              <w:jc w:val="left"/>
              <w:rPr>
                <w:rFonts w:ascii="Calibri" w:eastAsia="Times New Roman" w:hAnsi="Calibri" w:cs="Calibri"/>
                <w:b/>
                <w:bCs/>
                <w:color w:val="000000"/>
                <w:sz w:val="22"/>
                <w:lang w:eastAsia="en-IN"/>
              </w:rPr>
            </w:pPr>
          </w:p>
        </w:tc>
        <w:tc>
          <w:tcPr>
            <w:tcW w:w="1890" w:type="dxa"/>
            <w:tcBorders>
              <w:top w:val="nil"/>
              <w:left w:val="nil"/>
              <w:bottom w:val="nil"/>
              <w:right w:val="nil"/>
            </w:tcBorders>
            <w:shd w:val="clear" w:color="auto" w:fill="auto"/>
            <w:noWrap/>
            <w:vAlign w:val="bottom"/>
            <w:hideMark/>
          </w:tcPr>
          <w:p w14:paraId="262FC916"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694" w:type="dxa"/>
            <w:tcBorders>
              <w:top w:val="nil"/>
              <w:left w:val="nil"/>
              <w:bottom w:val="nil"/>
              <w:right w:val="nil"/>
            </w:tcBorders>
            <w:shd w:val="clear" w:color="auto" w:fill="auto"/>
            <w:noWrap/>
            <w:vAlign w:val="bottom"/>
            <w:hideMark/>
          </w:tcPr>
          <w:p w14:paraId="12421C26"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r>
      <w:tr w:rsidR="001E0354" w:rsidRPr="001E0354" w14:paraId="77DC28C5"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35695C8B"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1420" w:type="dxa"/>
            <w:tcBorders>
              <w:top w:val="nil"/>
              <w:left w:val="nil"/>
              <w:bottom w:val="nil"/>
              <w:right w:val="nil"/>
            </w:tcBorders>
            <w:shd w:val="clear" w:color="auto" w:fill="auto"/>
            <w:noWrap/>
            <w:vAlign w:val="bottom"/>
            <w:hideMark/>
          </w:tcPr>
          <w:p w14:paraId="26101205"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1890" w:type="dxa"/>
            <w:tcBorders>
              <w:top w:val="nil"/>
              <w:left w:val="nil"/>
              <w:bottom w:val="nil"/>
              <w:right w:val="nil"/>
            </w:tcBorders>
            <w:shd w:val="clear" w:color="auto" w:fill="auto"/>
            <w:noWrap/>
            <w:vAlign w:val="bottom"/>
            <w:hideMark/>
          </w:tcPr>
          <w:p w14:paraId="51901545"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694" w:type="dxa"/>
            <w:tcBorders>
              <w:top w:val="nil"/>
              <w:left w:val="nil"/>
              <w:bottom w:val="nil"/>
              <w:right w:val="nil"/>
            </w:tcBorders>
            <w:shd w:val="clear" w:color="auto" w:fill="auto"/>
            <w:noWrap/>
            <w:vAlign w:val="bottom"/>
            <w:hideMark/>
          </w:tcPr>
          <w:p w14:paraId="1F8CCE89"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r>
      <w:tr w:rsidR="001E0354" w:rsidRPr="001E0354" w14:paraId="760240F3"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541506F3" w14:textId="2FBC4B76" w:rsidR="001E0354" w:rsidRPr="001E0354" w:rsidRDefault="001E0354" w:rsidP="001E0354">
            <w:pPr>
              <w:spacing w:after="0" w:line="240" w:lineRule="auto"/>
              <w:jc w:val="lef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 xml:space="preserve">1. Payback period </w:t>
            </w:r>
          </w:p>
        </w:tc>
        <w:tc>
          <w:tcPr>
            <w:tcW w:w="1420" w:type="dxa"/>
            <w:tcBorders>
              <w:top w:val="nil"/>
              <w:left w:val="nil"/>
              <w:bottom w:val="nil"/>
              <w:right w:val="nil"/>
            </w:tcBorders>
            <w:shd w:val="clear" w:color="auto" w:fill="auto"/>
            <w:noWrap/>
            <w:vAlign w:val="bottom"/>
            <w:hideMark/>
          </w:tcPr>
          <w:p w14:paraId="45B87C02"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p>
        </w:tc>
        <w:tc>
          <w:tcPr>
            <w:tcW w:w="1890" w:type="dxa"/>
            <w:tcBorders>
              <w:top w:val="nil"/>
              <w:left w:val="nil"/>
              <w:bottom w:val="nil"/>
              <w:right w:val="nil"/>
            </w:tcBorders>
            <w:shd w:val="clear" w:color="auto" w:fill="auto"/>
            <w:noWrap/>
            <w:vAlign w:val="bottom"/>
            <w:hideMark/>
          </w:tcPr>
          <w:p w14:paraId="517A2980" w14:textId="77777777" w:rsidR="001E0354" w:rsidRPr="001E0354" w:rsidRDefault="001E0354" w:rsidP="001E0354">
            <w:pPr>
              <w:spacing w:after="0" w:line="240" w:lineRule="auto"/>
              <w:jc w:val="righ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3</w:t>
            </w:r>
          </w:p>
        </w:tc>
        <w:tc>
          <w:tcPr>
            <w:tcW w:w="694" w:type="dxa"/>
            <w:tcBorders>
              <w:top w:val="nil"/>
              <w:left w:val="nil"/>
              <w:bottom w:val="nil"/>
              <w:right w:val="nil"/>
            </w:tcBorders>
            <w:shd w:val="clear" w:color="auto" w:fill="auto"/>
            <w:noWrap/>
            <w:vAlign w:val="bottom"/>
            <w:hideMark/>
          </w:tcPr>
          <w:p w14:paraId="5696E5FF"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years</w:t>
            </w:r>
          </w:p>
        </w:tc>
      </w:tr>
      <w:tr w:rsidR="001E0354" w:rsidRPr="001E0354" w14:paraId="48F4A6E2"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4F8297E6"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p>
        </w:tc>
        <w:tc>
          <w:tcPr>
            <w:tcW w:w="1420" w:type="dxa"/>
            <w:tcBorders>
              <w:top w:val="nil"/>
              <w:left w:val="nil"/>
              <w:bottom w:val="nil"/>
              <w:right w:val="nil"/>
            </w:tcBorders>
            <w:shd w:val="clear" w:color="auto" w:fill="auto"/>
            <w:noWrap/>
            <w:vAlign w:val="bottom"/>
            <w:hideMark/>
          </w:tcPr>
          <w:p w14:paraId="600A2280"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1890" w:type="dxa"/>
            <w:tcBorders>
              <w:top w:val="nil"/>
              <w:left w:val="nil"/>
              <w:bottom w:val="nil"/>
              <w:right w:val="nil"/>
            </w:tcBorders>
            <w:shd w:val="clear" w:color="auto" w:fill="auto"/>
            <w:noWrap/>
            <w:vAlign w:val="bottom"/>
            <w:hideMark/>
          </w:tcPr>
          <w:p w14:paraId="7FDA816E"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694" w:type="dxa"/>
            <w:tcBorders>
              <w:top w:val="nil"/>
              <w:left w:val="nil"/>
              <w:bottom w:val="nil"/>
              <w:right w:val="nil"/>
            </w:tcBorders>
            <w:shd w:val="clear" w:color="auto" w:fill="auto"/>
            <w:noWrap/>
            <w:vAlign w:val="bottom"/>
            <w:hideMark/>
          </w:tcPr>
          <w:p w14:paraId="7CA45F9B"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r>
      <w:tr w:rsidR="001E0354" w:rsidRPr="001E0354" w14:paraId="532384E8"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6CB30364"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2. ARR =</w:t>
            </w:r>
          </w:p>
        </w:tc>
        <w:tc>
          <w:tcPr>
            <w:tcW w:w="1420" w:type="dxa"/>
            <w:tcBorders>
              <w:top w:val="nil"/>
              <w:left w:val="nil"/>
              <w:bottom w:val="nil"/>
              <w:right w:val="nil"/>
            </w:tcBorders>
            <w:shd w:val="clear" w:color="auto" w:fill="auto"/>
            <w:noWrap/>
            <w:vAlign w:val="bottom"/>
            <w:hideMark/>
          </w:tcPr>
          <w:p w14:paraId="2A96049F"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p>
        </w:tc>
        <w:tc>
          <w:tcPr>
            <w:tcW w:w="1890" w:type="dxa"/>
            <w:tcBorders>
              <w:top w:val="nil"/>
              <w:left w:val="nil"/>
              <w:bottom w:val="nil"/>
              <w:right w:val="nil"/>
            </w:tcBorders>
            <w:shd w:val="clear" w:color="auto" w:fill="auto"/>
            <w:noWrap/>
            <w:vAlign w:val="bottom"/>
            <w:hideMark/>
          </w:tcPr>
          <w:p w14:paraId="583C13D0" w14:textId="77777777" w:rsidR="001E0354" w:rsidRPr="001E0354" w:rsidRDefault="001E0354" w:rsidP="001E0354">
            <w:pPr>
              <w:spacing w:after="0" w:line="240" w:lineRule="auto"/>
              <w:jc w:val="righ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36.11%</w:t>
            </w:r>
          </w:p>
        </w:tc>
        <w:tc>
          <w:tcPr>
            <w:tcW w:w="694" w:type="dxa"/>
            <w:tcBorders>
              <w:top w:val="nil"/>
              <w:left w:val="nil"/>
              <w:bottom w:val="nil"/>
              <w:right w:val="nil"/>
            </w:tcBorders>
            <w:shd w:val="clear" w:color="auto" w:fill="auto"/>
            <w:noWrap/>
            <w:vAlign w:val="bottom"/>
            <w:hideMark/>
          </w:tcPr>
          <w:p w14:paraId="13D0FA6B" w14:textId="77777777" w:rsidR="001E0354" w:rsidRPr="001E0354" w:rsidRDefault="001E0354" w:rsidP="001E0354">
            <w:pPr>
              <w:spacing w:after="0" w:line="240" w:lineRule="auto"/>
              <w:jc w:val="right"/>
              <w:rPr>
                <w:rFonts w:ascii="Calibri" w:eastAsia="Times New Roman" w:hAnsi="Calibri" w:cs="Calibri"/>
                <w:color w:val="000000"/>
                <w:sz w:val="22"/>
                <w:lang w:eastAsia="en-IN"/>
              </w:rPr>
            </w:pPr>
          </w:p>
        </w:tc>
      </w:tr>
      <w:tr w:rsidR="001E0354" w:rsidRPr="001E0354" w14:paraId="28F92B30"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14AE8E4D"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1420" w:type="dxa"/>
            <w:tcBorders>
              <w:top w:val="nil"/>
              <w:left w:val="nil"/>
              <w:bottom w:val="nil"/>
              <w:right w:val="nil"/>
            </w:tcBorders>
            <w:shd w:val="clear" w:color="auto" w:fill="auto"/>
            <w:noWrap/>
            <w:vAlign w:val="bottom"/>
            <w:hideMark/>
          </w:tcPr>
          <w:p w14:paraId="0795E788"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1890" w:type="dxa"/>
            <w:tcBorders>
              <w:top w:val="nil"/>
              <w:left w:val="nil"/>
              <w:bottom w:val="nil"/>
              <w:right w:val="nil"/>
            </w:tcBorders>
            <w:shd w:val="clear" w:color="auto" w:fill="auto"/>
            <w:noWrap/>
            <w:vAlign w:val="bottom"/>
            <w:hideMark/>
          </w:tcPr>
          <w:p w14:paraId="1CE011CB"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c>
          <w:tcPr>
            <w:tcW w:w="694" w:type="dxa"/>
            <w:tcBorders>
              <w:top w:val="nil"/>
              <w:left w:val="nil"/>
              <w:bottom w:val="nil"/>
              <w:right w:val="nil"/>
            </w:tcBorders>
            <w:shd w:val="clear" w:color="auto" w:fill="auto"/>
            <w:noWrap/>
            <w:vAlign w:val="bottom"/>
            <w:hideMark/>
          </w:tcPr>
          <w:p w14:paraId="5B1753DD" w14:textId="77777777" w:rsidR="001E0354" w:rsidRPr="001E0354" w:rsidRDefault="001E0354" w:rsidP="001E0354">
            <w:pPr>
              <w:spacing w:after="0" w:line="240" w:lineRule="auto"/>
              <w:jc w:val="left"/>
              <w:rPr>
                <w:rFonts w:eastAsia="Times New Roman" w:cs="Times New Roman"/>
                <w:color w:val="auto"/>
                <w:sz w:val="20"/>
                <w:szCs w:val="20"/>
                <w:lang w:eastAsia="en-IN"/>
              </w:rPr>
            </w:pPr>
          </w:p>
        </w:tc>
      </w:tr>
      <w:tr w:rsidR="001E0354" w:rsidRPr="001E0354" w14:paraId="6B762D7F" w14:textId="77777777" w:rsidTr="001E0354">
        <w:trPr>
          <w:trHeight w:val="288"/>
          <w:jc w:val="center"/>
        </w:trPr>
        <w:tc>
          <w:tcPr>
            <w:tcW w:w="1820" w:type="dxa"/>
            <w:tcBorders>
              <w:top w:val="nil"/>
              <w:left w:val="nil"/>
              <w:bottom w:val="nil"/>
              <w:right w:val="nil"/>
            </w:tcBorders>
            <w:shd w:val="clear" w:color="auto" w:fill="auto"/>
            <w:noWrap/>
            <w:vAlign w:val="bottom"/>
            <w:hideMark/>
          </w:tcPr>
          <w:p w14:paraId="79FAAB79"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3. NPV =</w:t>
            </w:r>
          </w:p>
        </w:tc>
        <w:tc>
          <w:tcPr>
            <w:tcW w:w="1420" w:type="dxa"/>
            <w:tcBorders>
              <w:top w:val="nil"/>
              <w:left w:val="nil"/>
              <w:bottom w:val="nil"/>
              <w:right w:val="nil"/>
            </w:tcBorders>
            <w:shd w:val="clear" w:color="auto" w:fill="auto"/>
            <w:noWrap/>
            <w:vAlign w:val="bottom"/>
            <w:hideMark/>
          </w:tcPr>
          <w:p w14:paraId="20913566"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p>
        </w:tc>
        <w:tc>
          <w:tcPr>
            <w:tcW w:w="1890" w:type="dxa"/>
            <w:tcBorders>
              <w:top w:val="nil"/>
              <w:left w:val="nil"/>
              <w:bottom w:val="nil"/>
              <w:right w:val="nil"/>
            </w:tcBorders>
            <w:shd w:val="clear" w:color="auto" w:fill="auto"/>
            <w:noWrap/>
            <w:vAlign w:val="bottom"/>
            <w:hideMark/>
          </w:tcPr>
          <w:p w14:paraId="7DBA4804"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r w:rsidRPr="001E0354">
              <w:rPr>
                <w:rFonts w:ascii="Calibri" w:eastAsia="Times New Roman" w:hAnsi="Calibri" w:cs="Calibri"/>
                <w:color w:val="000000"/>
                <w:sz w:val="22"/>
                <w:lang w:eastAsia="en-IN"/>
              </w:rPr>
              <w:t xml:space="preserve"> £                    9.96 </w:t>
            </w:r>
          </w:p>
        </w:tc>
        <w:tc>
          <w:tcPr>
            <w:tcW w:w="694" w:type="dxa"/>
            <w:tcBorders>
              <w:top w:val="nil"/>
              <w:left w:val="nil"/>
              <w:bottom w:val="nil"/>
              <w:right w:val="nil"/>
            </w:tcBorders>
            <w:shd w:val="clear" w:color="auto" w:fill="auto"/>
            <w:noWrap/>
            <w:vAlign w:val="bottom"/>
            <w:hideMark/>
          </w:tcPr>
          <w:p w14:paraId="6E69C9F8" w14:textId="77777777" w:rsidR="001E0354" w:rsidRPr="001E0354" w:rsidRDefault="001E0354" w:rsidP="001E0354">
            <w:pPr>
              <w:spacing w:after="0" w:line="240" w:lineRule="auto"/>
              <w:jc w:val="left"/>
              <w:rPr>
                <w:rFonts w:ascii="Calibri" w:eastAsia="Times New Roman" w:hAnsi="Calibri" w:cs="Calibri"/>
                <w:color w:val="000000"/>
                <w:sz w:val="22"/>
                <w:lang w:eastAsia="en-IN"/>
              </w:rPr>
            </w:pPr>
          </w:p>
        </w:tc>
      </w:tr>
    </w:tbl>
    <w:p w14:paraId="30F3215D" w14:textId="77777777" w:rsidR="001E0354" w:rsidRPr="001E0354" w:rsidRDefault="001E0354" w:rsidP="001E0354">
      <w:pPr>
        <w:rPr>
          <w:lang w:val="en-GB"/>
        </w:rPr>
      </w:pPr>
    </w:p>
    <w:p w14:paraId="6F790A7C" w14:textId="6584DC80" w:rsidR="001E0354" w:rsidRDefault="004E1AE5" w:rsidP="001E0354">
      <w:r>
        <w:lastRenderedPageBreak/>
        <w:tab/>
        <w:t>Project B is a better option to invest in for AstraZeneca than Project A as the payback period is less. The payback period is the time required to recover the initial investment, it is considered lesser the better hence, Project B deems to be a better investment. The accounting rate of return is the average profits over initial investment. It is higher the better hence, Project A is better off using this metric. However, the difference between the accounting rate of return between the two projects is negligible. Net present value is the increase in the shareholder’s wealth that arises from taking up a particular project. Hence, since, AstraZeneca’s goal is to increase shareholder’s wealth, a greater NPV is preferred. Hence, by having a higher NPV, Project B is a better investment. Thus, overall, from the analysis, it can be concluded that Project B is a better investment for AstraZeneca.</w:t>
      </w:r>
    </w:p>
    <w:p w14:paraId="5103C21E" w14:textId="77777777" w:rsidR="00D32843" w:rsidRDefault="00F4464D" w:rsidP="00D32843">
      <w:r>
        <w:tab/>
      </w:r>
      <w:r w:rsidR="00D32843">
        <w:t>The payback mechanism helps to reveal an investment's payback period. The payback period (PBP) is the length (number of years) it takes to compensate the cash flows of income from a specified project with the initial investment. For the shortest payback period when a CFO faces a choice, he will prefer the project.</w:t>
      </w:r>
    </w:p>
    <w:p w14:paraId="17A305AE" w14:textId="13159238" w:rsidR="006509D8" w:rsidRDefault="006509D8" w:rsidP="0001339E">
      <w:pPr>
        <w:pStyle w:val="ListBullet"/>
        <w:numPr>
          <w:ilvl w:val="0"/>
          <w:numId w:val="0"/>
        </w:numPr>
        <w:ind w:left="360" w:hanging="360"/>
      </w:pPr>
      <w:r>
        <w:t xml:space="preserve">The rewards of the period of the </w:t>
      </w:r>
      <w:r w:rsidR="00197488">
        <w:t>pay-out</w:t>
      </w:r>
      <w:r>
        <w:t xml:space="preserve"> are as follows:</w:t>
      </w:r>
    </w:p>
    <w:p w14:paraId="61E8E339" w14:textId="0AB5E12E" w:rsidR="006509D8" w:rsidRDefault="006509D8" w:rsidP="0001339E">
      <w:pPr>
        <w:pStyle w:val="ListBullet"/>
      </w:pPr>
      <w:r>
        <w:t xml:space="preserve">The technique needs very little feedback and is relatively simpler to quantify than other ways of capital budgeting. All you need is the project's initial expense and annual cash gains to measure the payback time. Since the same inputs are still used for other approaches, more conclusions are also required. For example, the number of </w:t>
      </w:r>
      <w:r w:rsidR="00197488">
        <w:t>moneys</w:t>
      </w:r>
      <w:r>
        <w:t xml:space="preserve"> utilised by such strategies allows administrators to make certain decisions.</w:t>
      </w:r>
    </w:p>
    <w:p w14:paraId="4EB6F2EC" w14:textId="2B557473" w:rsidR="006509D8" w:rsidRDefault="006509D8" w:rsidP="0001339E">
      <w:pPr>
        <w:pStyle w:val="ListBullet"/>
      </w:pPr>
      <w:r>
        <w:t>The payback time is vital detail that has not been found by any other way of budgeting for capital. Typically, a proposal with a shorter pay-back time also has a lower probability. Such recognition is particularly essential for small businesses with minimal resources.</w:t>
      </w:r>
    </w:p>
    <w:p w14:paraId="119A4502" w14:textId="11A6E20E" w:rsidR="006509D8" w:rsidRDefault="006509D8" w:rsidP="0001339E">
      <w:pPr>
        <w:pStyle w:val="ListBullet"/>
      </w:pPr>
      <w:r>
        <w:t xml:space="preserve">The payback approach is particularly effective in economies that are volatile or are undergoing drastic technological shifts. This volatility renders it impossible to forecast </w:t>
      </w:r>
      <w:r>
        <w:lastRenderedPageBreak/>
        <w:t>projected annual cash inflows. Thus, the usage and execution of short PBP ventures tends to minimise the risks of obsolescence failure.</w:t>
      </w:r>
    </w:p>
    <w:p w14:paraId="0DC5163D" w14:textId="4A3AF9E5" w:rsidR="006509D8" w:rsidRDefault="006509D8" w:rsidP="0001339E">
      <w:pPr>
        <w:pStyle w:val="ListBullet"/>
        <w:numPr>
          <w:ilvl w:val="0"/>
          <w:numId w:val="0"/>
        </w:numPr>
      </w:pPr>
      <w:r>
        <w:t>The restriction of the time of payment is as follows:</w:t>
      </w:r>
    </w:p>
    <w:p w14:paraId="1E3D5F8E" w14:textId="77777777" w:rsidR="0001339E" w:rsidRDefault="006509D8" w:rsidP="0001339E">
      <w:pPr>
        <w:pStyle w:val="ListBullet"/>
      </w:pPr>
      <w:r>
        <w:t>This is one of the key disadvantages of the payback cycle, which lacks the very simple economic theory of time worth of capital. The money obtained earlier is worth more than that which comes later because of the ability to achieve additional benefit, as per the definition of the time value of the earnings, whether it is reinvested. This will not be recognised by the PBP method, thus distorting the true essence of the cash flows. There is a solution here. It will have the Discounted Payback Time, which would mitigate this downside.</w:t>
      </w:r>
    </w:p>
    <w:p w14:paraId="6471D3FD" w14:textId="21084E13" w:rsidR="0001339E" w:rsidRDefault="006509D8" w:rsidP="0001339E">
      <w:pPr>
        <w:pStyle w:val="ListBullet"/>
      </w:pPr>
      <w:r>
        <w:t>The instalment package only allows cash deposits to be taken into consideration before recovering the original expenditure. The cash balances that would arrive in later years are not taken into account. Such a limited vision of cash flows could cause you to ignore a project that could produce lucrative cash flows in years to come.</w:t>
      </w:r>
    </w:p>
    <w:p w14:paraId="5A4A470E" w14:textId="5C327600" w:rsidR="0001339E" w:rsidRDefault="006509D8" w:rsidP="0001339E">
      <w:pPr>
        <w:pStyle w:val="ListBullet"/>
      </w:pPr>
      <w:r>
        <w:t xml:space="preserve"> The mode of payment is so straightforward that it does not take into account conventional business factors. Financial assets are typically not all one-time purchases. Rather, in the years to come, these ventures also need more expenditure. Often programmes typically require periodic cash inflows.</w:t>
      </w:r>
    </w:p>
    <w:p w14:paraId="5F7FCE24" w14:textId="56A7E107" w:rsidR="006509D8" w:rsidRDefault="006509D8" w:rsidP="006509D8">
      <w:pPr>
        <w:pStyle w:val="ListBullet"/>
      </w:pPr>
      <w:r>
        <w:t xml:space="preserve"> A project with a shorter payback time would not mean that it will be successful. What if the cash flows from the project cease or decline during the payback process during the payback period? In both situations, the scheme can become unworkable before the payback process is finished. The return on investment of the Neglects project, certain businesses expect their capital investment to give them a return that is far over a certain rate of return. Otherwise, the plan may have been repealed. However, the payback plan lacks the cost of the project's return.</w:t>
      </w:r>
    </w:p>
    <w:p w14:paraId="31E8A536" w14:textId="77777777" w:rsidR="006509D8" w:rsidRDefault="006509D8" w:rsidP="0001339E">
      <w:pPr>
        <w:pStyle w:val="ListBullet"/>
        <w:numPr>
          <w:ilvl w:val="0"/>
          <w:numId w:val="0"/>
        </w:numPr>
        <w:ind w:firstLine="360"/>
      </w:pPr>
      <w:r>
        <w:lastRenderedPageBreak/>
        <w:t>The Accounting Return Rate (ARR) is a formula that represents the overall rate of return on expenditure or commodity relative to the initial investment cost. In order to derive the percentage or return that can be projected over the lifespan of the asset or associated undertaking, the ARR method splits the average profits of the asset by the company's initial investment. The time value of money or cash flows shall not be regarded by ARR, which can be an integral part of the activity of a business.</w:t>
      </w:r>
    </w:p>
    <w:p w14:paraId="2E870D35" w14:textId="7577F287" w:rsidR="006509D8" w:rsidRDefault="006509D8" w:rsidP="0001339E">
      <w:pPr>
        <w:pStyle w:val="ListBullet"/>
        <w:numPr>
          <w:ilvl w:val="0"/>
          <w:numId w:val="0"/>
        </w:numPr>
        <w:ind w:firstLine="360"/>
      </w:pPr>
      <w:r>
        <w:t>The accounting rate of return is a capital budgeting measure that is helpful if you want to easily determine the feasibility of your expenditure. In specific, businesses use ARR to evaluate multiple undertakings in order to assess the estimated expense of the return of each effort or to help compromise on an undertaking or transaction. ARR considerations, such as depreciation, have been related to the project's future annual costs. Depreciation is a beneficial depreciation agreement that annually extends or expends the cost of the capital good over the usable life of the commodity. This makes it possible for the organisation, also in its first year of operation, to make a profit from the asset.</w:t>
      </w:r>
    </w:p>
    <w:p w14:paraId="72D632C4" w14:textId="57A93D11" w:rsidR="006509D8" w:rsidRDefault="006509D8" w:rsidP="0001339E">
      <w:pPr>
        <w:pStyle w:val="ListBullet"/>
        <w:numPr>
          <w:ilvl w:val="0"/>
          <w:numId w:val="0"/>
        </w:numPr>
      </w:pPr>
      <w:r>
        <w:t>The advantages of accounting for the cost of return are:</w:t>
      </w:r>
    </w:p>
    <w:p w14:paraId="5BC9ADF2" w14:textId="586AB810" w:rsidR="006509D8" w:rsidRDefault="006509D8" w:rsidP="0001339E">
      <w:pPr>
        <w:pStyle w:val="ListBullet"/>
      </w:pPr>
      <w:r>
        <w:t>Like the payback duration, it's really easy to measure and fast to learn. Net gains or reductions have been considered for the entire economic existence of the enterprise.</w:t>
      </w:r>
    </w:p>
    <w:p w14:paraId="540A061D" w14:textId="0BF1D43A" w:rsidR="006509D8" w:rsidRDefault="006509D8" w:rsidP="0001339E">
      <w:pPr>
        <w:pStyle w:val="ListBullet"/>
      </w:pPr>
      <w:r>
        <w:t xml:space="preserve">The definition of net profits, </w:t>
      </w:r>
      <w:r w:rsidR="0001339E">
        <w:t>i.e.,</w:t>
      </w:r>
      <w:r>
        <w:t xml:space="preserve"> profit after tax and depreciation, is thereby defined. This is a central consideration in the determination of the investment plan.</w:t>
      </w:r>
    </w:p>
    <w:p w14:paraId="5C6BD984" w14:textId="632D8E5E" w:rsidR="006509D8" w:rsidRDefault="006509D8" w:rsidP="0001339E">
      <w:pPr>
        <w:pStyle w:val="ListBullet"/>
      </w:pPr>
      <w:r>
        <w:t>This approach enables the evaluation of a potential product programme for a cost savings plan or other active initiatives.</w:t>
      </w:r>
    </w:p>
    <w:p w14:paraId="67E497DA" w14:textId="56A32314" w:rsidR="006509D8" w:rsidRDefault="006509D8" w:rsidP="0001339E">
      <w:pPr>
        <w:pStyle w:val="ListBullet"/>
      </w:pPr>
      <w:r>
        <w:t>The approach provides a strong impression of the viability of the plan.</w:t>
      </w:r>
    </w:p>
    <w:p w14:paraId="3DDD4D54" w14:textId="0E84918C" w:rsidR="006509D8" w:rsidRDefault="006509D8" w:rsidP="0001339E">
      <w:pPr>
        <w:pStyle w:val="ListBullet"/>
      </w:pPr>
      <w:r>
        <w:t>The accounting principle of benefit for the calculation of the cost of return is taken into consideration from this approach alone. In addition, the accounting benefit can be easily determined from the financial reports</w:t>
      </w:r>
    </w:p>
    <w:p w14:paraId="1E0EE236" w14:textId="4CD871C2" w:rsidR="006509D8" w:rsidRDefault="006509D8" w:rsidP="0001339E">
      <w:pPr>
        <w:pStyle w:val="ListBullet"/>
      </w:pPr>
      <w:r>
        <w:lastRenderedPageBreak/>
        <w:t>Because they are very involved in return on investment, this strategy addresses the needs of shareholders.</w:t>
      </w:r>
    </w:p>
    <w:p w14:paraId="3FD032C8" w14:textId="5EEA260A" w:rsidR="006509D8" w:rsidRDefault="006509D8" w:rsidP="0001339E">
      <w:pPr>
        <w:pStyle w:val="ListBullet"/>
      </w:pPr>
      <w:r>
        <w:t>This method is helpful for evaluating the company's recent results.</w:t>
      </w:r>
    </w:p>
    <w:p w14:paraId="73B6D4BC" w14:textId="0AD17D5C" w:rsidR="006509D8" w:rsidRDefault="006509D8" w:rsidP="0001339E">
      <w:pPr>
        <w:pStyle w:val="ListBullet"/>
        <w:numPr>
          <w:ilvl w:val="0"/>
          <w:numId w:val="0"/>
        </w:numPr>
      </w:pPr>
      <w:r>
        <w:t>The disadvantages of the accounting return norm are as follows:</w:t>
      </w:r>
    </w:p>
    <w:p w14:paraId="1593BCEC" w14:textId="3866EE9D" w:rsidR="006509D8" w:rsidRDefault="006509D8" w:rsidP="0001339E">
      <w:pPr>
        <w:pStyle w:val="ListBullet"/>
      </w:pPr>
      <w:r>
        <w:t>The results are separate if one calculates the ROI and the other calculates the ARR. This is an obstacle for decision-making.</w:t>
      </w:r>
    </w:p>
    <w:p w14:paraId="68DDE41E" w14:textId="18945B3E" w:rsidR="006509D8" w:rsidRDefault="006509D8" w:rsidP="00D26EA3">
      <w:pPr>
        <w:pStyle w:val="ListBullet"/>
      </w:pPr>
      <w:r>
        <w:t>There is no time element of the methodology. The main drawback of the average return approach for choosing alternate uses of the funds is the lack of the importance of the funds over the time.</w:t>
      </w:r>
    </w:p>
    <w:p w14:paraId="4ABE160B" w14:textId="4043D85F" w:rsidR="006509D8" w:rsidRDefault="006509D8" w:rsidP="00900A8C">
      <w:pPr>
        <w:pStyle w:val="ListBullet"/>
      </w:pPr>
      <w:r>
        <w:t>A reasonable return on yield cannot be calculated on the basis of the ARR. That is the discretion of the leadership.</w:t>
      </w:r>
    </w:p>
    <w:p w14:paraId="04FC359A" w14:textId="6A1F6F96" w:rsidR="006509D8" w:rsidRDefault="006509D8" w:rsidP="0001339E">
      <w:pPr>
        <w:pStyle w:val="ListBullet"/>
      </w:pPr>
      <w:r>
        <w:t>This approach does not consider external variables that also influence the sustainability of the proposal.</w:t>
      </w:r>
    </w:p>
    <w:p w14:paraId="6C998240" w14:textId="2ED0F04D" w:rsidR="006509D8" w:rsidRDefault="006509D8" w:rsidP="0001339E">
      <w:pPr>
        <w:pStyle w:val="ListBullet"/>
      </w:pPr>
      <w:r>
        <w:t>It does not cause capital inflows that are more relevant than accounting earnings to be taken into consideration.</w:t>
      </w:r>
    </w:p>
    <w:p w14:paraId="647D5E0A" w14:textId="47BACD23" w:rsidR="006509D8" w:rsidRDefault="006509D8" w:rsidP="0001339E">
      <w:pPr>
        <w:pStyle w:val="ListBullet"/>
      </w:pPr>
      <w:r>
        <w:t>Discounts the period in which revenues are received so that it can be inferred that the rate of return of 20 per cent in 10 years is higher than the rate of return of 18 per cent in 6 years. This is not sufficient since the danger involved with the prolonged length of the project is higher.</w:t>
      </w:r>
    </w:p>
    <w:p w14:paraId="2C034138" w14:textId="7CA24832" w:rsidR="006509D8" w:rsidRDefault="006509D8" w:rsidP="0001339E">
      <w:pPr>
        <w:pStyle w:val="ListBullet"/>
      </w:pPr>
      <w:r>
        <w:t xml:space="preserve">This approach </w:t>
      </w:r>
      <w:r w:rsidR="0001339E">
        <w:t>cannot</w:t>
      </w:r>
      <w:r>
        <w:t xml:space="preserve"> be used in cases when half of the project expenses are to be paid.</w:t>
      </w:r>
    </w:p>
    <w:p w14:paraId="0B5FA4B6" w14:textId="4B559BD5" w:rsidR="006509D8" w:rsidRDefault="006509D8" w:rsidP="0001339E">
      <w:pPr>
        <w:pStyle w:val="ListBullet"/>
      </w:pPr>
      <w:r>
        <w:t>This approach does not consider the life cycle of many investments. However, when taking over the life-cycle of the investment, total profits are measured. As a consequence, the overall spending or initial investment will be the same if the investment has a life period of 4 years or 6 years.</w:t>
      </w:r>
    </w:p>
    <w:p w14:paraId="6F3E82E0" w14:textId="29265DD4" w:rsidR="006509D8" w:rsidRDefault="006509D8" w:rsidP="006509D8">
      <w:pPr>
        <w:pStyle w:val="ListBullet"/>
      </w:pPr>
      <w:r>
        <w:lastRenderedPageBreak/>
        <w:t>Assessment of programmes where support is distributed in two or three instalments over different periods is not beneficial.</w:t>
      </w:r>
    </w:p>
    <w:p w14:paraId="5DAED271" w14:textId="14CD83E0" w:rsidR="006509D8" w:rsidRDefault="006509D8" w:rsidP="0001339E">
      <w:pPr>
        <w:pStyle w:val="ListBullet"/>
        <w:numPr>
          <w:ilvl w:val="0"/>
          <w:numId w:val="0"/>
        </w:numPr>
      </w:pPr>
      <w:r>
        <w:t>Net Present Value is the plurality of discounted cash flow methods utilised in capital budgeting to assess the feasibility of a project or cost (NPV). NPV is the gap between the actual value of currency inflows and the present value of capital outflows for a span of time. Cash flows are lowered to the present valuation using the appropriate rate of return. A positive NPV suggests a successful rebound and a poor NPV reveals a low recovery (</w:t>
      </w:r>
      <w:proofErr w:type="spellStart"/>
      <w:r>
        <w:t>Ardalan</w:t>
      </w:r>
      <w:proofErr w:type="spellEnd"/>
      <w:r>
        <w:t xml:space="preserve"> 2012).</w:t>
      </w:r>
    </w:p>
    <w:p w14:paraId="31BD9B4E" w14:textId="50A7C14F" w:rsidR="006509D8" w:rsidRDefault="006509D8" w:rsidP="0001339E">
      <w:pPr>
        <w:pStyle w:val="ListBullet"/>
        <w:numPr>
          <w:ilvl w:val="0"/>
          <w:numId w:val="0"/>
        </w:numPr>
      </w:pPr>
      <w:r>
        <w:t>Perks with net present value are as follows:</w:t>
      </w:r>
    </w:p>
    <w:p w14:paraId="46685DC7" w14:textId="557A9C23" w:rsidR="006509D8" w:rsidRDefault="006509D8" w:rsidP="0001339E">
      <w:pPr>
        <w:pStyle w:val="ListBullet"/>
      </w:pPr>
      <w:r>
        <w:t>Unlike IRR, it makes sense to use NPV because it does not presume that IRR cash flows will be reinvested, which is almost unlikely. When are the cash funds reinvested at the return price of the project? Reinvesting cash funds from the IRR will mean that you contribute cash flows from the project back to the economy at a cost equivalent to the project's rate of return. You will locate some fund that costs the same price as the reinvestment plan. Oh, yeah, it's really intense, very tough (</w:t>
      </w:r>
      <w:proofErr w:type="spellStart"/>
      <w:r>
        <w:t>Berkovitch</w:t>
      </w:r>
      <w:proofErr w:type="spellEnd"/>
      <w:r>
        <w:t xml:space="preserve"> and Israel 2004).</w:t>
      </w:r>
    </w:p>
    <w:p w14:paraId="068C2CD6" w14:textId="0C0B460A" w:rsidR="006509D8" w:rsidRDefault="006509D8" w:rsidP="0001339E">
      <w:pPr>
        <w:pStyle w:val="ListBullet"/>
      </w:pPr>
      <w:r>
        <w:t>NPV shall take into account each and every cash flow you know. It is not the payback period remedy or the discounted payback period alternative that lacks cash profits beyond the payback period.</w:t>
      </w:r>
    </w:p>
    <w:p w14:paraId="16F5B26E" w14:textId="3D073224" w:rsidR="006509D8" w:rsidRDefault="006509D8" w:rsidP="0001339E">
      <w:pPr>
        <w:pStyle w:val="ListBullet"/>
      </w:pPr>
      <w:r>
        <w:t>If you happen to choose one of the various programmes, NPV would be a strong indicator of profitability. If you use IRR for mutually exclusive activities, you might end up choosing small projects of higher IRR and short-term nature to the disadvantage of long-term (long-term value development is nice for shareholders) and higher NPV projects.</w:t>
      </w:r>
    </w:p>
    <w:p w14:paraId="028BB4CC" w14:textId="3CA64313" w:rsidR="006509D8" w:rsidRDefault="006509D8" w:rsidP="0001339E">
      <w:pPr>
        <w:pStyle w:val="ListBullet"/>
      </w:pPr>
      <w:r>
        <w:t>Discount rates are used for the estimation of NPV; this approach takes into consideration the probability of project execution (business risk, financial risk, operational risk).</w:t>
      </w:r>
    </w:p>
    <w:p w14:paraId="537EE96A" w14:textId="77777777" w:rsidR="0001339E" w:rsidRDefault="006509D8" w:rsidP="0001339E">
      <w:pPr>
        <w:pStyle w:val="ListBullet"/>
        <w:numPr>
          <w:ilvl w:val="0"/>
          <w:numId w:val="0"/>
        </w:numPr>
      </w:pPr>
      <w:r>
        <w:t>The disadvantages to Net present value are:</w:t>
      </w:r>
    </w:p>
    <w:p w14:paraId="0FA0FFEC" w14:textId="6657DB24" w:rsidR="006509D8" w:rsidRDefault="006509D8" w:rsidP="0001339E">
      <w:pPr>
        <w:pStyle w:val="ListBullet"/>
      </w:pPr>
      <w:r>
        <w:lastRenderedPageBreak/>
        <w:t xml:space="preserve"> It can be impossible to determine the expense of the incentive. This cost of opportunity is highly valued in the initial outlay. The outcome would also be skewed by underestimating the original expenditure.</w:t>
      </w:r>
    </w:p>
    <w:p w14:paraId="16E71811" w14:textId="2AF49EDF" w:rsidR="0001339E" w:rsidRDefault="006509D8" w:rsidP="006509D8">
      <w:pPr>
        <w:pStyle w:val="ListBullet"/>
      </w:pPr>
      <w:r>
        <w:t>The Corporate Finance Committee could have difficulties deciding the pace at which cash flows could be discounted. A organisation does not use WACC as an estimation, but should use the project return cost as a discount factor, such that higher or lower NPVs will contribute to an incorrect estimate. Knowledge that a high-risk project cannot be discounted at its capital expense, but at the required rate of return.</w:t>
      </w:r>
      <w:r w:rsidR="002B2836">
        <w:t xml:space="preserve"> </w:t>
      </w:r>
      <w:r>
        <w:t>Managers are always too optimistic about the success of the project, and since the Corporate Finance Committee would sit with the managers to take into account the economic condition of the project, the cash flows assumed may be too big. As a consequence, there could be an upward tendency in this method.</w:t>
      </w:r>
    </w:p>
    <w:p w14:paraId="14BFB0BB" w14:textId="2F6027E4" w:rsidR="00575B1B" w:rsidRDefault="00575B1B" w:rsidP="006509D8">
      <w:pPr>
        <w:pStyle w:val="ListBullet"/>
      </w:pPr>
      <w:r>
        <w:t>Short-term ventures with higher NPV will not raise the company's Earnings per Share, Stock Return. EPS and ROE are what can raise the worth of shareholders. Short-term ventures with a higher NPV will not perform favourably for shareholders.</w:t>
      </w:r>
    </w:p>
    <w:p w14:paraId="54E2D9A0" w14:textId="55CF827A" w:rsidR="00FA60DD" w:rsidRDefault="00575B1B" w:rsidP="00FA60DD">
      <w:pPr>
        <w:pStyle w:val="ListBullet"/>
      </w:pPr>
      <w:r>
        <w:t>Resource rationing is if you don't have access to infinite money, but inside the capital expenditure, you have to pick programmes. Today, it would not be acceptable for a mutually exclusive project to equate the NPV of projects needing a particular sum of funding.</w:t>
      </w:r>
    </w:p>
    <w:p w14:paraId="1A2F2110" w14:textId="7D594F4F" w:rsidR="00FA60DD" w:rsidRDefault="00FA60DD" w:rsidP="00FA60DD">
      <w:pPr>
        <w:pStyle w:val="ListBullet"/>
        <w:numPr>
          <w:ilvl w:val="0"/>
          <w:numId w:val="0"/>
        </w:numPr>
        <w:ind w:firstLine="360"/>
      </w:pPr>
      <w:r>
        <w:t xml:space="preserve">A few scholars have shone some light on the non-financial dimensions of budgeting for money. In his analysis of 115 CFOs, for example, </w:t>
      </w:r>
      <w:r w:rsidR="00571A15">
        <w:t>Shimon</w:t>
      </w:r>
      <w:r>
        <w:t xml:space="preserve"> (1995) noticed that non-financial strategies play a significant role in project assessment. Similarly, 77 percent of businesses indicated that while quantitative influences are influential, qualitative variables still affect the investment decision, Petty, Scott and Bird (1975) reported. They also observed that the legal aspect, accompanied by reputation and environmental obligation, was the most significant </w:t>
      </w:r>
      <w:r>
        <w:lastRenderedPageBreak/>
        <w:t xml:space="preserve">qualitative factor influencing investment judgement. </w:t>
      </w:r>
      <w:r w:rsidR="00571A15">
        <w:t>Freemen</w:t>
      </w:r>
      <w:r>
        <w:t xml:space="preserve"> (1973) also noticed in a U.S. study that 97 percent of respondent businesses agreed to have accepted investment proposals on qualitative grounds for which denial was recommended by quantitative evaluation techniques.</w:t>
      </w:r>
    </w:p>
    <w:p w14:paraId="14CD6A83" w14:textId="39C9E517" w:rsidR="00571A15" w:rsidRDefault="00FA60DD" w:rsidP="00FA60DD">
      <w:pPr>
        <w:pStyle w:val="ListBullet"/>
        <w:numPr>
          <w:ilvl w:val="0"/>
          <w:numId w:val="0"/>
        </w:numPr>
        <w:ind w:firstLine="360"/>
      </w:pPr>
      <w:r>
        <w:t>There is no literature available on the position of non-financial considerations in financial evaluation, which, on the other hand, often bear more weight than the so-called investment valuation financial criteria. We also assume that, if not properly treated, non-financial investment valuation considerations can not only contribute to the particular project loss, but can even adversely influence the very sustainability of a business enterprise.</w:t>
      </w:r>
    </w:p>
    <w:p w14:paraId="116676AE" w14:textId="77777777" w:rsidR="00571A15" w:rsidRDefault="00571A15">
      <w:pPr>
        <w:ind w:firstLine="2160"/>
      </w:pPr>
      <w:r>
        <w:br w:type="page"/>
      </w:r>
    </w:p>
    <w:p w14:paraId="467CB8CA" w14:textId="716CD370" w:rsidR="00FA60DD" w:rsidRDefault="00571A15" w:rsidP="00571A15">
      <w:pPr>
        <w:pStyle w:val="Heading1"/>
      </w:pPr>
      <w:bookmarkStart w:id="11" w:name="_Toc59874311"/>
      <w:r>
        <w:lastRenderedPageBreak/>
        <w:t>References and Bibliography</w:t>
      </w:r>
      <w:bookmarkEnd w:id="11"/>
    </w:p>
    <w:p w14:paraId="79947948" w14:textId="77777777" w:rsidR="009D3395" w:rsidRPr="009D3395" w:rsidRDefault="009D3395" w:rsidP="00CB215C">
      <w:pPr>
        <w:rPr>
          <w:rFonts w:cs="Times New Roman"/>
          <w:color w:val="222222"/>
          <w:szCs w:val="24"/>
          <w:shd w:val="clear" w:color="auto" w:fill="FFFFFF"/>
        </w:rPr>
      </w:pPr>
      <w:proofErr w:type="spellStart"/>
      <w:r w:rsidRPr="009D3395">
        <w:rPr>
          <w:rFonts w:cs="Times New Roman"/>
          <w:color w:val="222222"/>
          <w:szCs w:val="24"/>
          <w:shd w:val="clear" w:color="auto" w:fill="FFFFFF"/>
        </w:rPr>
        <w:t>Ardalan</w:t>
      </w:r>
      <w:proofErr w:type="spellEnd"/>
      <w:r w:rsidRPr="009D3395">
        <w:rPr>
          <w:rFonts w:cs="Times New Roman"/>
          <w:color w:val="222222"/>
          <w:szCs w:val="24"/>
          <w:shd w:val="clear" w:color="auto" w:fill="FFFFFF"/>
        </w:rPr>
        <w:t>, K., 2012. Payback period and NPV: their different cash flows. Journal of economics and finance education, 11(2), pp.10-16.</w:t>
      </w:r>
    </w:p>
    <w:p w14:paraId="4FFDC9FF" w14:textId="77777777" w:rsidR="009D3395" w:rsidRPr="009D3395" w:rsidRDefault="009D3395" w:rsidP="009D3395">
      <w:pPr>
        <w:rPr>
          <w:rFonts w:cs="Times New Roman"/>
          <w:color w:val="222222"/>
          <w:szCs w:val="24"/>
          <w:shd w:val="clear" w:color="auto" w:fill="FFFFFF"/>
        </w:rPr>
      </w:pPr>
      <w:proofErr w:type="spellStart"/>
      <w:r w:rsidRPr="009D3395">
        <w:rPr>
          <w:rFonts w:cs="Times New Roman"/>
          <w:color w:val="222222"/>
          <w:szCs w:val="24"/>
          <w:shd w:val="clear" w:color="auto" w:fill="FFFFFF"/>
        </w:rPr>
        <w:t>Armeanu</w:t>
      </w:r>
      <w:proofErr w:type="spellEnd"/>
      <w:r w:rsidRPr="009D3395">
        <w:rPr>
          <w:rFonts w:cs="Times New Roman"/>
          <w:color w:val="222222"/>
          <w:szCs w:val="24"/>
          <w:shd w:val="clear" w:color="auto" w:fill="FFFFFF"/>
        </w:rPr>
        <w:t xml:space="preserve">, D. and </w:t>
      </w:r>
      <w:proofErr w:type="spellStart"/>
      <w:r w:rsidRPr="009D3395">
        <w:rPr>
          <w:rFonts w:cs="Times New Roman"/>
          <w:color w:val="222222"/>
          <w:szCs w:val="24"/>
          <w:shd w:val="clear" w:color="auto" w:fill="FFFFFF"/>
        </w:rPr>
        <w:t>Lache</w:t>
      </w:r>
      <w:proofErr w:type="spellEnd"/>
      <w:r w:rsidRPr="009D3395">
        <w:rPr>
          <w:rFonts w:cs="Times New Roman"/>
          <w:color w:val="222222"/>
          <w:szCs w:val="24"/>
          <w:shd w:val="clear" w:color="auto" w:fill="FFFFFF"/>
        </w:rPr>
        <w:t>, L., 2009. The NPV criterion for valuing investments under uncertainty. Economic Computation and Economic Cybernetics Studies and Research, 4, p.43.</w:t>
      </w:r>
    </w:p>
    <w:p w14:paraId="563B2BCE" w14:textId="77777777" w:rsidR="009D3395" w:rsidRPr="009D3395" w:rsidRDefault="009D3395" w:rsidP="009D3395">
      <w:pPr>
        <w:rPr>
          <w:rFonts w:cs="Times New Roman"/>
          <w:szCs w:val="24"/>
        </w:rPr>
      </w:pPr>
      <w:r w:rsidRPr="009D3395">
        <w:rPr>
          <w:rFonts w:cs="Times New Roman"/>
          <w:szCs w:val="24"/>
        </w:rPr>
        <w:t>Astrazeneca.com, 2020. Annual Report 2019. [online] Astrazeneca.com. Available at: &lt;https://www.astrazeneca.com/investor-relations/annual-reports/annual-report-2019.html#eps-0&gt; [Accessed 22 December 2020].</w:t>
      </w:r>
    </w:p>
    <w:p w14:paraId="370C5474" w14:textId="77777777" w:rsidR="009D3395" w:rsidRPr="009D3395" w:rsidRDefault="009D3395" w:rsidP="009D3395">
      <w:pPr>
        <w:rPr>
          <w:rFonts w:cs="Times New Roman"/>
          <w:color w:val="222222"/>
          <w:szCs w:val="24"/>
          <w:shd w:val="clear" w:color="auto" w:fill="FFFFFF"/>
        </w:rPr>
      </w:pPr>
      <w:proofErr w:type="spellStart"/>
      <w:r w:rsidRPr="009D3395">
        <w:rPr>
          <w:rFonts w:cs="Times New Roman"/>
          <w:color w:val="222222"/>
          <w:szCs w:val="24"/>
          <w:shd w:val="clear" w:color="auto" w:fill="FFFFFF"/>
        </w:rPr>
        <w:t>Berkovitch</w:t>
      </w:r>
      <w:proofErr w:type="spellEnd"/>
      <w:r w:rsidRPr="009D3395">
        <w:rPr>
          <w:rFonts w:cs="Times New Roman"/>
          <w:color w:val="222222"/>
          <w:szCs w:val="24"/>
          <w:shd w:val="clear" w:color="auto" w:fill="FFFFFF"/>
        </w:rPr>
        <w:t>, E. and Israel, R., 2004. Why the NPV criterion does not maximize NPV. The Review of Financial Studies, 17(1), pp.239-255.</w:t>
      </w:r>
    </w:p>
    <w:p w14:paraId="6F10BF14" w14:textId="77777777" w:rsidR="009D3395" w:rsidRPr="009D3395" w:rsidRDefault="009D3395" w:rsidP="009D3395">
      <w:pPr>
        <w:rPr>
          <w:rFonts w:cs="Times New Roman"/>
          <w:color w:val="222222"/>
          <w:szCs w:val="24"/>
          <w:shd w:val="clear" w:color="auto" w:fill="FFFFFF"/>
        </w:rPr>
      </w:pPr>
      <w:r w:rsidRPr="009D3395">
        <w:rPr>
          <w:rFonts w:cs="Times New Roman"/>
          <w:color w:val="222222"/>
          <w:szCs w:val="24"/>
          <w:shd w:val="clear" w:color="auto" w:fill="FFFFFF"/>
        </w:rPr>
        <w:t>Brief, R.P. and Lawson, R.A., 1992. The role of the accounting rate of return in financial statement analysis. Accounting Review, pp.411-426.</w:t>
      </w:r>
    </w:p>
    <w:p w14:paraId="707F5368" w14:textId="77777777" w:rsidR="009D3395" w:rsidRPr="009D3395" w:rsidRDefault="009D3395" w:rsidP="00CB215C">
      <w:pPr>
        <w:rPr>
          <w:rFonts w:cs="Times New Roman"/>
          <w:color w:val="222222"/>
          <w:szCs w:val="24"/>
          <w:shd w:val="clear" w:color="auto" w:fill="FFFFFF"/>
        </w:rPr>
      </w:pPr>
      <w:r w:rsidRPr="009D3395">
        <w:rPr>
          <w:rFonts w:cs="Times New Roman"/>
          <w:color w:val="222222"/>
          <w:szCs w:val="24"/>
          <w:shd w:val="clear" w:color="auto" w:fill="FFFFFF"/>
        </w:rPr>
        <w:t>Brief, R.P., 1999. The accounting rate of return as a framework for analysis. Available at SSRN 184228.</w:t>
      </w:r>
    </w:p>
    <w:p w14:paraId="5FAFA169" w14:textId="77777777" w:rsidR="009D3395" w:rsidRPr="009D3395" w:rsidRDefault="009D3395" w:rsidP="009D3395">
      <w:pPr>
        <w:rPr>
          <w:rFonts w:cs="Times New Roman"/>
          <w:color w:val="222222"/>
          <w:szCs w:val="24"/>
          <w:shd w:val="clear" w:color="auto" w:fill="FFFFFF"/>
        </w:rPr>
      </w:pPr>
      <w:r w:rsidRPr="009D3395">
        <w:rPr>
          <w:rFonts w:cs="Times New Roman"/>
          <w:color w:val="222222"/>
          <w:szCs w:val="24"/>
          <w:shd w:val="clear" w:color="auto" w:fill="FFFFFF"/>
        </w:rPr>
        <w:t xml:space="preserve">Burger, L. and </w:t>
      </w:r>
      <w:proofErr w:type="spellStart"/>
      <w:r w:rsidRPr="009D3395">
        <w:rPr>
          <w:rFonts w:cs="Times New Roman"/>
          <w:color w:val="222222"/>
          <w:szCs w:val="24"/>
          <w:shd w:val="clear" w:color="auto" w:fill="FFFFFF"/>
        </w:rPr>
        <w:t>Aripaka</w:t>
      </w:r>
      <w:proofErr w:type="spellEnd"/>
      <w:r w:rsidRPr="009D3395">
        <w:rPr>
          <w:rFonts w:cs="Times New Roman"/>
          <w:color w:val="222222"/>
          <w:szCs w:val="24"/>
          <w:shd w:val="clear" w:color="auto" w:fill="FFFFFF"/>
        </w:rPr>
        <w:t>, P., 2020. AstraZeneca to be exempt from coronavirus vaccine liability claims in most countries. Reuters. July, 30.</w:t>
      </w:r>
    </w:p>
    <w:p w14:paraId="6FD010E2" w14:textId="77777777" w:rsidR="009D3395" w:rsidRPr="009D3395" w:rsidRDefault="009D3395" w:rsidP="009D3395">
      <w:pPr>
        <w:rPr>
          <w:rFonts w:cs="Times New Roman"/>
          <w:color w:val="222222"/>
          <w:szCs w:val="24"/>
          <w:shd w:val="clear" w:color="auto" w:fill="FFFFFF"/>
        </w:rPr>
      </w:pPr>
      <w:r w:rsidRPr="009D3395">
        <w:rPr>
          <w:rFonts w:cs="Times New Roman"/>
          <w:color w:val="222222"/>
          <w:szCs w:val="24"/>
          <w:shd w:val="clear" w:color="auto" w:fill="FFFFFF"/>
        </w:rPr>
        <w:t>Chen, J.H., 2012, July. Adding flexibility for NPV method in capital budgeting. In Global Conference on Business &amp; Finance Proceedings (Vol. 7, No. 2, p. 49). Institute for Business &amp; Finance Research.</w:t>
      </w:r>
    </w:p>
    <w:p w14:paraId="1C24A2D8" w14:textId="77777777" w:rsidR="009D3395" w:rsidRPr="009D3395" w:rsidRDefault="009D3395" w:rsidP="009D3395">
      <w:pPr>
        <w:rPr>
          <w:rFonts w:cs="Times New Roman"/>
          <w:color w:val="222222"/>
          <w:szCs w:val="24"/>
          <w:shd w:val="clear" w:color="auto" w:fill="FFFFFF"/>
        </w:rPr>
      </w:pPr>
      <w:r w:rsidRPr="009D3395">
        <w:rPr>
          <w:rFonts w:cs="Times New Roman"/>
          <w:color w:val="222222"/>
          <w:szCs w:val="24"/>
          <w:shd w:val="clear" w:color="auto" w:fill="FFFFFF"/>
        </w:rPr>
        <w:t>Gordon, L.A., 1974. Accounting rate of return vs. economic rate of return. Journal of Business Finance &amp; Accounting, 1(3), pp.343-356.</w:t>
      </w:r>
    </w:p>
    <w:p w14:paraId="4487EBF2" w14:textId="77777777" w:rsidR="009D3395" w:rsidRPr="009D3395" w:rsidRDefault="009D3395" w:rsidP="009D3395">
      <w:pPr>
        <w:rPr>
          <w:rFonts w:cs="Times New Roman"/>
          <w:szCs w:val="24"/>
        </w:rPr>
      </w:pPr>
      <w:r w:rsidRPr="009D3395">
        <w:rPr>
          <w:rFonts w:cs="Times New Roman"/>
          <w:szCs w:val="24"/>
        </w:rPr>
        <w:t xml:space="preserve">Hindustan Times, 2020. UK’S </w:t>
      </w:r>
      <w:proofErr w:type="spellStart"/>
      <w:r w:rsidRPr="009D3395">
        <w:rPr>
          <w:rFonts w:cs="Times New Roman"/>
          <w:szCs w:val="24"/>
        </w:rPr>
        <w:t>Astrazeneca</w:t>
      </w:r>
      <w:proofErr w:type="spellEnd"/>
      <w:r w:rsidRPr="009D3395">
        <w:rPr>
          <w:rFonts w:cs="Times New Roman"/>
          <w:szCs w:val="24"/>
        </w:rPr>
        <w:t xml:space="preserve"> Says Buying US Biotech Firm Alexion For $39 Billion. [online] Hindustan Times. Available at: &lt;https://www.hindustantimes.com/world-</w:t>
      </w:r>
      <w:r w:rsidRPr="009D3395">
        <w:rPr>
          <w:rFonts w:cs="Times New Roman"/>
          <w:szCs w:val="24"/>
        </w:rPr>
        <w:lastRenderedPageBreak/>
        <w:t>news/uk-s-astrazeneca-says-buying-us-biotech-firm-alexion-for-39-billion/story-6I4C4ln7gIJBTgcaaGJ8UO.html&gt; [Accessed 22 December 2020]</w:t>
      </w:r>
    </w:p>
    <w:p w14:paraId="2D737496" w14:textId="77777777" w:rsidR="009D3395" w:rsidRPr="009D3395" w:rsidRDefault="009D3395" w:rsidP="009D3395">
      <w:pPr>
        <w:rPr>
          <w:rFonts w:cs="Times New Roman"/>
          <w:color w:val="222222"/>
          <w:szCs w:val="24"/>
          <w:shd w:val="clear" w:color="auto" w:fill="FFFFFF"/>
        </w:rPr>
      </w:pPr>
      <w:r w:rsidRPr="009D3395">
        <w:rPr>
          <w:rFonts w:cs="Times New Roman"/>
          <w:color w:val="222222"/>
          <w:szCs w:val="24"/>
          <w:shd w:val="clear" w:color="auto" w:fill="FFFFFF"/>
        </w:rPr>
        <w:t>Kashyap, R., 2020. The Economics of Enlightenment: Time Value of Knowledge and the Net Present Value (NPV) of Knowledge Machines, A Proposed Approach Adapted from Finance. The BE Journal of Economic Analysis &amp; Policy, 20(2).</w:t>
      </w:r>
    </w:p>
    <w:p w14:paraId="2D9FE754" w14:textId="77777777" w:rsidR="009D3395" w:rsidRPr="009D3395" w:rsidRDefault="009D3395" w:rsidP="009D3395">
      <w:pPr>
        <w:rPr>
          <w:rFonts w:cs="Times New Roman"/>
          <w:color w:val="222222"/>
          <w:szCs w:val="24"/>
          <w:shd w:val="clear" w:color="auto" w:fill="FFFFFF"/>
        </w:rPr>
      </w:pPr>
      <w:proofErr w:type="spellStart"/>
      <w:r w:rsidRPr="009D3395">
        <w:rPr>
          <w:rFonts w:cs="Times New Roman"/>
          <w:color w:val="222222"/>
          <w:szCs w:val="24"/>
          <w:shd w:val="clear" w:color="auto" w:fill="FFFFFF"/>
        </w:rPr>
        <w:t>Kasula</w:t>
      </w:r>
      <w:proofErr w:type="spellEnd"/>
      <w:r w:rsidRPr="009D3395">
        <w:rPr>
          <w:rFonts w:cs="Times New Roman"/>
          <w:color w:val="222222"/>
          <w:szCs w:val="24"/>
          <w:shd w:val="clear" w:color="auto" w:fill="FFFFFF"/>
        </w:rPr>
        <w:t>, S.S.K., 2020. Current State Simulation Scope of Improvement and Forecast Demand Analysis at AstraZeneca using Discrete Event Simulation.</w:t>
      </w:r>
    </w:p>
    <w:p w14:paraId="6A7A4D44" w14:textId="77777777" w:rsidR="009D3395" w:rsidRPr="009D3395" w:rsidRDefault="009D3395" w:rsidP="009D3395">
      <w:pPr>
        <w:rPr>
          <w:rFonts w:cs="Times New Roman"/>
          <w:color w:val="222222"/>
          <w:szCs w:val="24"/>
          <w:shd w:val="clear" w:color="auto" w:fill="FFFFFF"/>
        </w:rPr>
      </w:pPr>
      <w:proofErr w:type="spellStart"/>
      <w:r w:rsidRPr="009D3395">
        <w:rPr>
          <w:rFonts w:cs="Times New Roman"/>
          <w:color w:val="222222"/>
          <w:szCs w:val="24"/>
          <w:shd w:val="clear" w:color="auto" w:fill="FFFFFF"/>
        </w:rPr>
        <w:t>Mahase</w:t>
      </w:r>
      <w:proofErr w:type="spellEnd"/>
      <w:r w:rsidRPr="009D3395">
        <w:rPr>
          <w:rFonts w:cs="Times New Roman"/>
          <w:color w:val="222222"/>
          <w:szCs w:val="24"/>
          <w:shd w:val="clear" w:color="auto" w:fill="FFFFFF"/>
        </w:rPr>
        <w:t>, E., 2020. Covid-19: UK government asks regulator to assess Oxford vaccine as questions are raised over interim data. BMJ: British Medical Journal (Online), 371.</w:t>
      </w:r>
    </w:p>
    <w:p w14:paraId="70F31C0B" w14:textId="77777777" w:rsidR="009D3395" w:rsidRPr="009D3395" w:rsidRDefault="009D3395" w:rsidP="009D3395">
      <w:pPr>
        <w:rPr>
          <w:rFonts w:cs="Times New Roman"/>
          <w:color w:val="222222"/>
          <w:szCs w:val="24"/>
          <w:shd w:val="clear" w:color="auto" w:fill="FFFFFF"/>
        </w:rPr>
      </w:pPr>
      <w:proofErr w:type="spellStart"/>
      <w:r w:rsidRPr="009D3395">
        <w:rPr>
          <w:rFonts w:cs="Times New Roman"/>
          <w:color w:val="222222"/>
          <w:szCs w:val="24"/>
          <w:shd w:val="clear" w:color="auto" w:fill="FFFFFF"/>
        </w:rPr>
        <w:t>Marchioni</w:t>
      </w:r>
      <w:proofErr w:type="spellEnd"/>
      <w:r w:rsidRPr="009D3395">
        <w:rPr>
          <w:rFonts w:cs="Times New Roman"/>
          <w:color w:val="222222"/>
          <w:szCs w:val="24"/>
          <w:shd w:val="clear" w:color="auto" w:fill="FFFFFF"/>
        </w:rPr>
        <w:t xml:space="preserve">, A. and </w:t>
      </w:r>
      <w:proofErr w:type="spellStart"/>
      <w:r w:rsidRPr="009D3395">
        <w:rPr>
          <w:rFonts w:cs="Times New Roman"/>
          <w:color w:val="222222"/>
          <w:szCs w:val="24"/>
          <w:shd w:val="clear" w:color="auto" w:fill="FFFFFF"/>
        </w:rPr>
        <w:t>Magni</w:t>
      </w:r>
      <w:proofErr w:type="spellEnd"/>
      <w:r w:rsidRPr="009D3395">
        <w:rPr>
          <w:rFonts w:cs="Times New Roman"/>
          <w:color w:val="222222"/>
          <w:szCs w:val="24"/>
          <w:shd w:val="clear" w:color="auto" w:fill="FFFFFF"/>
        </w:rPr>
        <w:t>, C.A., 2018. Investment decisions and sensitivity analysis: NPV-consistency of rates of return. European Journal of Operational Research, 268(1), pp.361-372.</w:t>
      </w:r>
    </w:p>
    <w:p w14:paraId="3987B2E1" w14:textId="77777777" w:rsidR="009D3395" w:rsidRPr="009D3395" w:rsidRDefault="009D3395" w:rsidP="009D3395">
      <w:pPr>
        <w:rPr>
          <w:rFonts w:cs="Times New Roman"/>
          <w:color w:val="222222"/>
          <w:szCs w:val="24"/>
          <w:shd w:val="clear" w:color="auto" w:fill="FFFFFF"/>
        </w:rPr>
      </w:pPr>
      <w:r w:rsidRPr="009D3395">
        <w:rPr>
          <w:rFonts w:cs="Times New Roman"/>
          <w:color w:val="222222"/>
          <w:szCs w:val="24"/>
          <w:shd w:val="clear" w:color="auto" w:fill="FFFFFF"/>
        </w:rPr>
        <w:t>Osborne, M.J., 2010. A resolution to the NPV–IRR debate?. The Quarterly Review of Economics and Finance, 50(2), pp.234-239.</w:t>
      </w:r>
    </w:p>
    <w:p w14:paraId="25E63656" w14:textId="77777777" w:rsidR="009D3395" w:rsidRPr="009D3395" w:rsidRDefault="009D3395" w:rsidP="009D3395">
      <w:pPr>
        <w:rPr>
          <w:rFonts w:cs="Times New Roman"/>
          <w:color w:val="222222"/>
          <w:szCs w:val="24"/>
          <w:shd w:val="clear" w:color="auto" w:fill="FFFFFF"/>
        </w:rPr>
      </w:pPr>
      <w:proofErr w:type="spellStart"/>
      <w:r w:rsidRPr="009D3395">
        <w:rPr>
          <w:rFonts w:cs="Times New Roman"/>
          <w:color w:val="222222"/>
          <w:szCs w:val="24"/>
          <w:shd w:val="clear" w:color="auto" w:fill="FFFFFF"/>
        </w:rPr>
        <w:t>Ubabuko</w:t>
      </w:r>
      <w:proofErr w:type="spellEnd"/>
      <w:r w:rsidRPr="009D3395">
        <w:rPr>
          <w:rFonts w:cs="Times New Roman"/>
          <w:color w:val="222222"/>
          <w:szCs w:val="24"/>
          <w:shd w:val="clear" w:color="auto" w:fill="FFFFFF"/>
        </w:rPr>
        <w:t xml:space="preserve">, K. and Adjei, E.K., 2011. The Consequences of Post-Merger &amp; Acquisition Performance in Listed and Non-Listed Company in Sweden: A Case Study for AstraZeneca AB, </w:t>
      </w:r>
      <w:proofErr w:type="spellStart"/>
      <w:r w:rsidRPr="009D3395">
        <w:rPr>
          <w:rFonts w:cs="Times New Roman"/>
          <w:color w:val="222222"/>
          <w:szCs w:val="24"/>
          <w:shd w:val="clear" w:color="auto" w:fill="FFFFFF"/>
        </w:rPr>
        <w:t>Cybercom</w:t>
      </w:r>
      <w:proofErr w:type="spellEnd"/>
      <w:r w:rsidRPr="009D3395">
        <w:rPr>
          <w:rFonts w:cs="Times New Roman"/>
          <w:color w:val="222222"/>
          <w:szCs w:val="24"/>
          <w:shd w:val="clear" w:color="auto" w:fill="FFFFFF"/>
        </w:rPr>
        <w:t xml:space="preserve"> AB, Grant Thornton Sweden AB and </w:t>
      </w:r>
      <w:proofErr w:type="spellStart"/>
      <w:r w:rsidRPr="009D3395">
        <w:rPr>
          <w:rFonts w:cs="Times New Roman"/>
          <w:color w:val="222222"/>
          <w:szCs w:val="24"/>
          <w:shd w:val="clear" w:color="auto" w:fill="FFFFFF"/>
        </w:rPr>
        <w:t>PayEx</w:t>
      </w:r>
      <w:proofErr w:type="spellEnd"/>
      <w:r w:rsidRPr="009D3395">
        <w:rPr>
          <w:rFonts w:cs="Times New Roman"/>
          <w:color w:val="222222"/>
          <w:szCs w:val="24"/>
          <w:shd w:val="clear" w:color="auto" w:fill="FFFFFF"/>
        </w:rPr>
        <w:t>. </w:t>
      </w:r>
      <w:proofErr w:type="spellStart"/>
      <w:r w:rsidRPr="009D3395">
        <w:rPr>
          <w:rFonts w:cs="Times New Roman"/>
          <w:color w:val="222222"/>
          <w:szCs w:val="24"/>
          <w:shd w:val="clear" w:color="auto" w:fill="FFFFFF"/>
        </w:rPr>
        <w:t>Cybercom</w:t>
      </w:r>
      <w:proofErr w:type="spellEnd"/>
      <w:r w:rsidRPr="009D3395">
        <w:rPr>
          <w:rFonts w:cs="Times New Roman"/>
          <w:color w:val="222222"/>
          <w:szCs w:val="24"/>
          <w:shd w:val="clear" w:color="auto" w:fill="FFFFFF"/>
        </w:rPr>
        <w:t xml:space="preserve"> AB, Grant Thornton Sweden AB and </w:t>
      </w:r>
      <w:proofErr w:type="spellStart"/>
      <w:r w:rsidRPr="009D3395">
        <w:rPr>
          <w:rFonts w:cs="Times New Roman"/>
          <w:color w:val="222222"/>
          <w:szCs w:val="24"/>
          <w:shd w:val="clear" w:color="auto" w:fill="FFFFFF"/>
        </w:rPr>
        <w:t>PayEx</w:t>
      </w:r>
      <w:proofErr w:type="spellEnd"/>
      <w:r w:rsidRPr="009D3395">
        <w:rPr>
          <w:rFonts w:cs="Times New Roman"/>
          <w:color w:val="222222"/>
          <w:szCs w:val="24"/>
          <w:shd w:val="clear" w:color="auto" w:fill="FFFFFF"/>
        </w:rPr>
        <w:t xml:space="preserve"> (June 10, 2011).</w:t>
      </w:r>
    </w:p>
    <w:p w14:paraId="0BBF377E" w14:textId="77777777" w:rsidR="009D3395" w:rsidRPr="009D3395" w:rsidRDefault="009D3395" w:rsidP="009D3395">
      <w:pPr>
        <w:rPr>
          <w:rFonts w:cs="Times New Roman"/>
          <w:szCs w:val="24"/>
        </w:rPr>
      </w:pPr>
      <w:r w:rsidRPr="009D3395">
        <w:rPr>
          <w:rFonts w:cs="Times New Roman"/>
          <w:szCs w:val="24"/>
        </w:rPr>
        <w:t>Uk.finance.yahoo.com, 2020. Yahoo Is Now A Part Of Verizon Media. [online] Uk.finance.yahoo.com. Available at: &lt;https://uk.finance.yahoo.com/quote/AZN.L/key-statistics?p=AZN.L&gt; [Accessed 22 December 2020].</w:t>
      </w:r>
    </w:p>
    <w:p w14:paraId="41C0A3BB" w14:textId="77777777" w:rsidR="009D3395" w:rsidRPr="009D3395" w:rsidRDefault="009D3395" w:rsidP="009D3395">
      <w:pPr>
        <w:rPr>
          <w:rFonts w:cs="Times New Roman"/>
          <w:color w:val="222222"/>
          <w:szCs w:val="24"/>
          <w:shd w:val="clear" w:color="auto" w:fill="FFFFFF"/>
        </w:rPr>
      </w:pPr>
      <w:r w:rsidRPr="009D3395">
        <w:rPr>
          <w:rFonts w:cs="Times New Roman"/>
          <w:color w:val="222222"/>
          <w:szCs w:val="24"/>
          <w:shd w:val="clear" w:color="auto" w:fill="FFFFFF"/>
        </w:rPr>
        <w:t xml:space="preserve">Watson, C.J., </w:t>
      </w:r>
      <w:proofErr w:type="spellStart"/>
      <w:r w:rsidRPr="009D3395">
        <w:rPr>
          <w:rFonts w:cs="Times New Roman"/>
          <w:color w:val="222222"/>
          <w:szCs w:val="24"/>
          <w:shd w:val="clear" w:color="auto" w:fill="FFFFFF"/>
        </w:rPr>
        <w:t>Whitledge</w:t>
      </w:r>
      <w:proofErr w:type="spellEnd"/>
      <w:r w:rsidRPr="009D3395">
        <w:rPr>
          <w:rFonts w:cs="Times New Roman"/>
          <w:color w:val="222222"/>
          <w:szCs w:val="24"/>
          <w:shd w:val="clear" w:color="auto" w:fill="FFFFFF"/>
        </w:rPr>
        <w:t xml:space="preserve">, J.D., </w:t>
      </w:r>
      <w:proofErr w:type="spellStart"/>
      <w:r w:rsidRPr="009D3395">
        <w:rPr>
          <w:rFonts w:cs="Times New Roman"/>
          <w:color w:val="222222"/>
          <w:szCs w:val="24"/>
          <w:shd w:val="clear" w:color="auto" w:fill="FFFFFF"/>
        </w:rPr>
        <w:t>Siani</w:t>
      </w:r>
      <w:proofErr w:type="spellEnd"/>
      <w:r w:rsidRPr="009D3395">
        <w:rPr>
          <w:rFonts w:cs="Times New Roman"/>
          <w:color w:val="222222"/>
          <w:szCs w:val="24"/>
          <w:shd w:val="clear" w:color="auto" w:fill="FFFFFF"/>
        </w:rPr>
        <w:t>, A.M. and Burns, M.M., 2020. Pharmaceutical Compounding: a History, Regulatory Overview, and Systematic Review of Compounding Errors. Journal of Medical Toxicology, pp.1-21.</w:t>
      </w:r>
    </w:p>
    <w:p w14:paraId="1656174D" w14:textId="77777777" w:rsidR="009D3395" w:rsidRPr="009D3395" w:rsidRDefault="009D3395" w:rsidP="00CB215C">
      <w:pPr>
        <w:rPr>
          <w:rFonts w:cs="Times New Roman"/>
          <w:color w:val="222222"/>
          <w:szCs w:val="24"/>
          <w:shd w:val="clear" w:color="auto" w:fill="FFFFFF"/>
        </w:rPr>
      </w:pPr>
      <w:proofErr w:type="spellStart"/>
      <w:r w:rsidRPr="009D3395">
        <w:rPr>
          <w:rFonts w:cs="Times New Roman"/>
          <w:color w:val="222222"/>
          <w:szCs w:val="24"/>
          <w:shd w:val="clear" w:color="auto" w:fill="FFFFFF"/>
        </w:rPr>
        <w:lastRenderedPageBreak/>
        <w:t>Weingartner</w:t>
      </w:r>
      <w:proofErr w:type="spellEnd"/>
      <w:r w:rsidRPr="009D3395">
        <w:rPr>
          <w:rFonts w:cs="Times New Roman"/>
          <w:color w:val="222222"/>
          <w:szCs w:val="24"/>
          <w:shd w:val="clear" w:color="auto" w:fill="FFFFFF"/>
        </w:rPr>
        <w:t>, H.M., 1969. Some new views on the payback period and capital budgeting decisions. Management Science, 15(12), pp.B-594.</w:t>
      </w:r>
    </w:p>
    <w:p w14:paraId="7FC89AB1" w14:textId="77777777" w:rsidR="009D3395" w:rsidRPr="009D3395" w:rsidRDefault="009D3395" w:rsidP="009D3395">
      <w:pPr>
        <w:rPr>
          <w:rFonts w:cs="Times New Roman"/>
          <w:color w:val="222222"/>
          <w:szCs w:val="24"/>
          <w:shd w:val="clear" w:color="auto" w:fill="FFFFFF"/>
        </w:rPr>
      </w:pPr>
      <w:r w:rsidRPr="009D3395">
        <w:rPr>
          <w:rFonts w:cs="Times New Roman"/>
          <w:color w:val="222222"/>
          <w:szCs w:val="24"/>
          <w:shd w:val="clear" w:color="auto" w:fill="FFFFFF"/>
        </w:rPr>
        <w:t>Whittington, G., 1979. On the use of the accounting rate of return in empirical research. Accounting and Business Research, 9(35), pp.201-208.</w:t>
      </w:r>
    </w:p>
    <w:p w14:paraId="4DE38192" w14:textId="77777777" w:rsidR="009D3395" w:rsidRPr="009D3395" w:rsidRDefault="009D3395" w:rsidP="009D3395">
      <w:pPr>
        <w:rPr>
          <w:rFonts w:cs="Times New Roman"/>
          <w:color w:val="222222"/>
          <w:szCs w:val="24"/>
          <w:shd w:val="clear" w:color="auto" w:fill="FFFFFF"/>
        </w:rPr>
      </w:pPr>
      <w:proofErr w:type="spellStart"/>
      <w:r w:rsidRPr="009D3395">
        <w:rPr>
          <w:rFonts w:cs="Times New Roman"/>
          <w:color w:val="222222"/>
          <w:szCs w:val="24"/>
          <w:shd w:val="clear" w:color="auto" w:fill="FFFFFF"/>
        </w:rPr>
        <w:t>Woyna-Orlewicz</w:t>
      </w:r>
      <w:proofErr w:type="spellEnd"/>
      <w:r w:rsidRPr="009D3395">
        <w:rPr>
          <w:rFonts w:cs="Times New Roman"/>
          <w:color w:val="222222"/>
          <w:szCs w:val="24"/>
          <w:shd w:val="clear" w:color="auto" w:fill="FFFFFF"/>
        </w:rPr>
        <w:t xml:space="preserve">, K. and </w:t>
      </w:r>
      <w:proofErr w:type="spellStart"/>
      <w:r w:rsidRPr="009D3395">
        <w:rPr>
          <w:rFonts w:cs="Times New Roman"/>
          <w:color w:val="222222"/>
          <w:szCs w:val="24"/>
          <w:shd w:val="clear" w:color="auto" w:fill="FFFFFF"/>
        </w:rPr>
        <w:t>Jachowicz</w:t>
      </w:r>
      <w:proofErr w:type="spellEnd"/>
      <w:r w:rsidRPr="009D3395">
        <w:rPr>
          <w:rFonts w:cs="Times New Roman"/>
          <w:color w:val="222222"/>
          <w:szCs w:val="24"/>
          <w:shd w:val="clear" w:color="auto" w:fill="FFFFFF"/>
        </w:rPr>
        <w:t xml:space="preserve">, R., 2020. Pharmaceutical industry before COVID-19. Acta </w:t>
      </w:r>
      <w:proofErr w:type="spellStart"/>
      <w:r w:rsidRPr="009D3395">
        <w:rPr>
          <w:rFonts w:cs="Times New Roman"/>
          <w:color w:val="222222"/>
          <w:szCs w:val="24"/>
          <w:shd w:val="clear" w:color="auto" w:fill="FFFFFF"/>
        </w:rPr>
        <w:t>Poloniae</w:t>
      </w:r>
      <w:proofErr w:type="spellEnd"/>
      <w:r w:rsidRPr="009D3395">
        <w:rPr>
          <w:rFonts w:cs="Times New Roman"/>
          <w:color w:val="222222"/>
          <w:szCs w:val="24"/>
          <w:shd w:val="clear" w:color="auto" w:fill="FFFFFF"/>
        </w:rPr>
        <w:t xml:space="preserve"> </w:t>
      </w:r>
      <w:proofErr w:type="spellStart"/>
      <w:r w:rsidRPr="009D3395">
        <w:rPr>
          <w:rFonts w:cs="Times New Roman"/>
          <w:color w:val="222222"/>
          <w:szCs w:val="24"/>
          <w:shd w:val="clear" w:color="auto" w:fill="FFFFFF"/>
        </w:rPr>
        <w:t>Pharmaceutica</w:t>
      </w:r>
      <w:proofErr w:type="spellEnd"/>
      <w:r w:rsidRPr="009D3395">
        <w:rPr>
          <w:rFonts w:cs="Times New Roman"/>
          <w:color w:val="222222"/>
          <w:szCs w:val="24"/>
          <w:shd w:val="clear" w:color="auto" w:fill="FFFFFF"/>
        </w:rPr>
        <w:t>-Drug Research, pp.269-274.</w:t>
      </w:r>
    </w:p>
    <w:p w14:paraId="2BEE8EE3" w14:textId="77777777" w:rsidR="009D3395" w:rsidRPr="009D3395" w:rsidRDefault="009D3395" w:rsidP="00CB215C">
      <w:pPr>
        <w:rPr>
          <w:rFonts w:cs="Times New Roman"/>
          <w:color w:val="222222"/>
          <w:szCs w:val="24"/>
          <w:shd w:val="clear" w:color="auto" w:fill="FFFFFF"/>
        </w:rPr>
      </w:pPr>
      <w:r w:rsidRPr="009D3395">
        <w:rPr>
          <w:rFonts w:cs="Times New Roman"/>
          <w:color w:val="222222"/>
          <w:szCs w:val="24"/>
          <w:shd w:val="clear" w:color="auto" w:fill="FFFFFF"/>
        </w:rPr>
        <w:t>Wright, F.K., 1978. Accounting rate of profit and internal rate of return. Oxford Economic Papers, 30(3), pp.464-468.</w:t>
      </w:r>
    </w:p>
    <w:p w14:paraId="1FE96A53" w14:textId="77777777" w:rsidR="009F7DCC" w:rsidRDefault="009F7DCC" w:rsidP="009F7DCC"/>
    <w:sectPr w:rsidR="009F7DCC" w:rsidSect="00571A15">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626BB" w14:textId="77777777" w:rsidR="00281AD1" w:rsidRDefault="00281AD1" w:rsidP="00571A15">
      <w:pPr>
        <w:spacing w:after="0" w:line="240" w:lineRule="auto"/>
      </w:pPr>
      <w:r>
        <w:separator/>
      </w:r>
    </w:p>
  </w:endnote>
  <w:endnote w:type="continuationSeparator" w:id="0">
    <w:p w14:paraId="0297039C" w14:textId="77777777" w:rsidR="00281AD1" w:rsidRDefault="00281AD1" w:rsidP="00571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C2BFB" w14:textId="77777777" w:rsidR="00FD2300" w:rsidRDefault="00FD23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4C409A" w14:textId="77777777" w:rsidR="00FD2300" w:rsidRDefault="00FD23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0334C" w14:textId="657E180A" w:rsidR="002B2836" w:rsidRDefault="002B2836" w:rsidP="00FD2300">
    <w:pPr>
      <w:pStyle w:val="Footer"/>
    </w:pPr>
  </w:p>
  <w:p w14:paraId="13ECE1D8" w14:textId="77777777" w:rsidR="002B2836" w:rsidRDefault="002B2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B4233" w14:textId="77777777" w:rsidR="00281AD1" w:rsidRDefault="00281AD1" w:rsidP="00571A15">
      <w:pPr>
        <w:spacing w:after="0" w:line="240" w:lineRule="auto"/>
      </w:pPr>
      <w:r>
        <w:separator/>
      </w:r>
    </w:p>
  </w:footnote>
  <w:footnote w:type="continuationSeparator" w:id="0">
    <w:p w14:paraId="0146A3FB" w14:textId="77777777" w:rsidR="00281AD1" w:rsidRDefault="00281AD1" w:rsidP="00571A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65965" w14:textId="77777777" w:rsidR="00FD2300" w:rsidRDefault="00FD23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D441" w14:textId="0BC2F825" w:rsidR="009D3395" w:rsidRPr="00571A15" w:rsidRDefault="009D3395">
    <w:pPr>
      <w:pStyle w:val="Header"/>
      <w:rPr>
        <w:lang w:val="en-SG"/>
      </w:rPr>
    </w:pPr>
    <w:r w:rsidRPr="00571A15">
      <w:rPr>
        <w:noProof/>
        <w:lang w:val="en-SG"/>
      </w:rPr>
      <mc:AlternateContent>
        <mc:Choice Requires="wps">
          <w:drawing>
            <wp:anchor distT="0" distB="0" distL="114300" distR="114300" simplePos="0" relativeHeight="251660288" behindDoc="0" locked="0" layoutInCell="0" allowOverlap="1" wp14:anchorId="51B66C6C" wp14:editId="5E6A41ED">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E34D8A" w14:textId="211F5285" w:rsidR="009D3395" w:rsidRDefault="009D3395" w:rsidP="00571A15">
                          <w:pPr>
                            <w:spacing w:after="0" w:line="240" w:lineRule="auto"/>
                            <w:jc w:val="left"/>
                            <w:rPr>
                              <w:noProof/>
                            </w:rPr>
                          </w:pPr>
                          <w:r>
                            <w:rPr>
                              <w:lang w:val="en-SG"/>
                            </w:rPr>
                            <w:t>FINANCIAL MANAGEMENT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51B66C6C"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6AE34D8A" w14:textId="211F5285" w:rsidR="009D3395" w:rsidRDefault="009D3395" w:rsidP="00571A15">
                    <w:pPr>
                      <w:spacing w:after="0" w:line="240" w:lineRule="auto"/>
                      <w:jc w:val="left"/>
                      <w:rPr>
                        <w:noProof/>
                      </w:rPr>
                    </w:pPr>
                    <w:r>
                      <w:rPr>
                        <w:lang w:val="en-SG"/>
                      </w:rPr>
                      <w:t>FINANCIAL MANAGEMENT</w:t>
                    </w:r>
                  </w:p>
                </w:txbxContent>
              </v:textbox>
              <w10:wrap anchorx="margin" anchory="margin"/>
            </v:shape>
          </w:pict>
        </mc:Fallback>
      </mc:AlternateContent>
    </w:r>
    <w:r w:rsidRPr="00571A15">
      <w:rPr>
        <w:noProof/>
        <w:lang w:val="en-SG"/>
      </w:rPr>
      <mc:AlternateContent>
        <mc:Choice Requires="wps">
          <w:drawing>
            <wp:anchor distT="0" distB="0" distL="114300" distR="114300" simplePos="0" relativeHeight="251659264" behindDoc="0" locked="0" layoutInCell="0" allowOverlap="1" wp14:anchorId="2D700102" wp14:editId="2B6AA5E3">
              <wp:simplePos x="0" y="0"/>
              <wp:positionH relativeFrom="page">
                <wp:align>right</wp:align>
              </wp:positionH>
              <wp:positionV relativeFrom="topMargin">
                <wp:align>center</wp:align>
              </wp:positionV>
              <wp:extent cx="911860" cy="170815"/>
              <wp:effectExtent l="0" t="0" r="0" b="15240"/>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noFill/>
                      <a:ln>
                        <a:noFill/>
                      </a:ln>
                    </wps:spPr>
                    <wps:txbx>
                      <w:txbxContent>
                        <w:p w14:paraId="255DA149" w14:textId="77777777" w:rsidR="009D3395" w:rsidRDefault="009D339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2D700102"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" o:allowincell="f" filled="f" stroked="f">
              <v:textbox style="mso-fit-shape-to-text:t" inset=",0,,0">
                <w:txbxContent>
                  <w:p w14:paraId="255DA149" w14:textId="77777777" w:rsidR="009D3395" w:rsidRDefault="009D339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E455C" w14:textId="67B3C3F2" w:rsidR="009D3395" w:rsidRPr="00571A15" w:rsidRDefault="009D3395" w:rsidP="00571A15">
    <w:pPr>
      <w:pStyle w:val="Header"/>
      <w:rPr>
        <w:lang w:val="en-SG"/>
      </w:rPr>
    </w:pPr>
    <w:r>
      <w:rPr>
        <w:lang w:val="en-SG"/>
      </w:rPr>
      <w:t xml:space="preserve">  FINANCIAL MANAGEMENT</w:t>
    </w:r>
  </w:p>
  <w:p w14:paraId="24D1DFCC" w14:textId="77777777" w:rsidR="009D3395" w:rsidRDefault="009D33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ACD60DA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4A7351D0"/>
    <w:multiLevelType w:val="hybridMultilevel"/>
    <w:tmpl w:val="D3F889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A97"/>
    <w:rsid w:val="0001339E"/>
    <w:rsid w:val="000F0B8C"/>
    <w:rsid w:val="00110235"/>
    <w:rsid w:val="0013060D"/>
    <w:rsid w:val="00197488"/>
    <w:rsid w:val="001E0354"/>
    <w:rsid w:val="00281AD1"/>
    <w:rsid w:val="002B2836"/>
    <w:rsid w:val="002D2A86"/>
    <w:rsid w:val="00360CC6"/>
    <w:rsid w:val="00404941"/>
    <w:rsid w:val="00455604"/>
    <w:rsid w:val="00475A5B"/>
    <w:rsid w:val="004E1AE5"/>
    <w:rsid w:val="00571A15"/>
    <w:rsid w:val="00575B1B"/>
    <w:rsid w:val="005834A4"/>
    <w:rsid w:val="00590263"/>
    <w:rsid w:val="00631F6F"/>
    <w:rsid w:val="006509D8"/>
    <w:rsid w:val="0073150F"/>
    <w:rsid w:val="007A6838"/>
    <w:rsid w:val="007C2539"/>
    <w:rsid w:val="007D5705"/>
    <w:rsid w:val="00812ED7"/>
    <w:rsid w:val="00842A97"/>
    <w:rsid w:val="0086343E"/>
    <w:rsid w:val="00881F1E"/>
    <w:rsid w:val="00905DE2"/>
    <w:rsid w:val="009428B2"/>
    <w:rsid w:val="00964183"/>
    <w:rsid w:val="00991667"/>
    <w:rsid w:val="009A292A"/>
    <w:rsid w:val="009D3395"/>
    <w:rsid w:val="009F7DCC"/>
    <w:rsid w:val="00AC574A"/>
    <w:rsid w:val="00C81D17"/>
    <w:rsid w:val="00CA28A1"/>
    <w:rsid w:val="00CB215C"/>
    <w:rsid w:val="00CE4DC0"/>
    <w:rsid w:val="00D32843"/>
    <w:rsid w:val="00D6316E"/>
    <w:rsid w:val="00DF7E42"/>
    <w:rsid w:val="00F4464D"/>
    <w:rsid w:val="00F86295"/>
    <w:rsid w:val="00FA60DD"/>
    <w:rsid w:val="00FC6FA2"/>
    <w:rsid w:val="00FD23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701983"/>
  <w15:chartTrackingRefBased/>
  <w15:docId w15:val="{63FAD295-60CE-496D-B5EB-199F2D9CF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480" w:lineRule="auto"/>
        <w:ind w:firstLine="21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838"/>
    <w:pPr>
      <w:ind w:firstLine="0"/>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A6838"/>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428B2"/>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9428B2"/>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83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9428B2"/>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9428B2"/>
    <w:rPr>
      <w:rFonts w:ascii="Times New Roman" w:eastAsiaTheme="majorEastAsia" w:hAnsi="Times New Roman" w:cstheme="majorBidi"/>
      <w:b/>
      <w:bCs/>
      <w:color w:val="000000" w:themeColor="text1"/>
      <w:sz w:val="24"/>
    </w:rPr>
  </w:style>
  <w:style w:type="paragraph" w:styleId="ListBullet">
    <w:name w:val="List Bullet"/>
    <w:basedOn w:val="Normal"/>
    <w:uiPriority w:val="99"/>
    <w:unhideWhenUsed/>
    <w:rsid w:val="00F4464D"/>
    <w:pPr>
      <w:numPr>
        <w:numId w:val="1"/>
      </w:numPr>
      <w:contextualSpacing/>
    </w:pPr>
  </w:style>
  <w:style w:type="table" w:styleId="TableGrid">
    <w:name w:val="Table Grid"/>
    <w:basedOn w:val="TableNormal"/>
    <w:uiPriority w:val="39"/>
    <w:rsid w:val="00FC6F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71A15"/>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71A15"/>
    <w:pPr>
      <w:spacing w:after="100"/>
    </w:pPr>
  </w:style>
  <w:style w:type="paragraph" w:styleId="TOC2">
    <w:name w:val="toc 2"/>
    <w:basedOn w:val="Normal"/>
    <w:next w:val="Normal"/>
    <w:autoRedefine/>
    <w:uiPriority w:val="39"/>
    <w:unhideWhenUsed/>
    <w:rsid w:val="00571A15"/>
    <w:pPr>
      <w:spacing w:after="100"/>
      <w:ind w:left="240"/>
    </w:pPr>
  </w:style>
  <w:style w:type="character" w:styleId="Hyperlink">
    <w:name w:val="Hyperlink"/>
    <w:basedOn w:val="DefaultParagraphFont"/>
    <w:uiPriority w:val="99"/>
    <w:unhideWhenUsed/>
    <w:rsid w:val="00571A15"/>
    <w:rPr>
      <w:color w:val="0563C1" w:themeColor="hyperlink"/>
      <w:u w:val="single"/>
    </w:rPr>
  </w:style>
  <w:style w:type="paragraph" w:styleId="Header">
    <w:name w:val="header"/>
    <w:basedOn w:val="Normal"/>
    <w:link w:val="HeaderChar"/>
    <w:uiPriority w:val="99"/>
    <w:unhideWhenUsed/>
    <w:rsid w:val="00571A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A15"/>
    <w:rPr>
      <w:rFonts w:ascii="Times New Roman" w:hAnsi="Times New Roman"/>
      <w:color w:val="000000" w:themeColor="text1"/>
      <w:sz w:val="24"/>
    </w:rPr>
  </w:style>
  <w:style w:type="paragraph" w:styleId="Footer">
    <w:name w:val="footer"/>
    <w:basedOn w:val="Normal"/>
    <w:link w:val="FooterChar"/>
    <w:uiPriority w:val="99"/>
    <w:unhideWhenUsed/>
    <w:rsid w:val="00571A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A15"/>
    <w:rPr>
      <w:rFonts w:ascii="Times New Roman" w:hAnsi="Times New Roman"/>
      <w:color w:val="000000" w:themeColor="text1"/>
      <w:sz w:val="24"/>
    </w:rPr>
  </w:style>
  <w:style w:type="paragraph" w:styleId="ListParagraph">
    <w:name w:val="List Paragraph"/>
    <w:basedOn w:val="Normal"/>
    <w:uiPriority w:val="34"/>
    <w:qFormat/>
    <w:rsid w:val="009D33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251973">
      <w:bodyDiv w:val="1"/>
      <w:marLeft w:val="0"/>
      <w:marRight w:val="0"/>
      <w:marTop w:val="0"/>
      <w:marBottom w:val="0"/>
      <w:divBdr>
        <w:top w:val="none" w:sz="0" w:space="0" w:color="auto"/>
        <w:left w:val="none" w:sz="0" w:space="0" w:color="auto"/>
        <w:bottom w:val="none" w:sz="0" w:space="0" w:color="auto"/>
        <w:right w:val="none" w:sz="0" w:space="0" w:color="auto"/>
      </w:divBdr>
    </w:div>
    <w:div w:id="324474983">
      <w:bodyDiv w:val="1"/>
      <w:marLeft w:val="0"/>
      <w:marRight w:val="0"/>
      <w:marTop w:val="0"/>
      <w:marBottom w:val="0"/>
      <w:divBdr>
        <w:top w:val="none" w:sz="0" w:space="0" w:color="auto"/>
        <w:left w:val="none" w:sz="0" w:space="0" w:color="auto"/>
        <w:bottom w:val="none" w:sz="0" w:space="0" w:color="auto"/>
        <w:right w:val="none" w:sz="0" w:space="0" w:color="auto"/>
      </w:divBdr>
    </w:div>
    <w:div w:id="378627417">
      <w:bodyDiv w:val="1"/>
      <w:marLeft w:val="0"/>
      <w:marRight w:val="0"/>
      <w:marTop w:val="0"/>
      <w:marBottom w:val="0"/>
      <w:divBdr>
        <w:top w:val="none" w:sz="0" w:space="0" w:color="auto"/>
        <w:left w:val="none" w:sz="0" w:space="0" w:color="auto"/>
        <w:bottom w:val="none" w:sz="0" w:space="0" w:color="auto"/>
        <w:right w:val="none" w:sz="0" w:space="0" w:color="auto"/>
      </w:divBdr>
    </w:div>
    <w:div w:id="471555989">
      <w:bodyDiv w:val="1"/>
      <w:marLeft w:val="0"/>
      <w:marRight w:val="0"/>
      <w:marTop w:val="0"/>
      <w:marBottom w:val="0"/>
      <w:divBdr>
        <w:top w:val="none" w:sz="0" w:space="0" w:color="auto"/>
        <w:left w:val="none" w:sz="0" w:space="0" w:color="auto"/>
        <w:bottom w:val="none" w:sz="0" w:space="0" w:color="auto"/>
        <w:right w:val="none" w:sz="0" w:space="0" w:color="auto"/>
      </w:divBdr>
    </w:div>
    <w:div w:id="519660002">
      <w:bodyDiv w:val="1"/>
      <w:marLeft w:val="0"/>
      <w:marRight w:val="0"/>
      <w:marTop w:val="0"/>
      <w:marBottom w:val="0"/>
      <w:divBdr>
        <w:top w:val="none" w:sz="0" w:space="0" w:color="auto"/>
        <w:left w:val="none" w:sz="0" w:space="0" w:color="auto"/>
        <w:bottom w:val="none" w:sz="0" w:space="0" w:color="auto"/>
        <w:right w:val="none" w:sz="0" w:space="0" w:color="auto"/>
      </w:divBdr>
    </w:div>
    <w:div w:id="1183011874">
      <w:bodyDiv w:val="1"/>
      <w:marLeft w:val="0"/>
      <w:marRight w:val="0"/>
      <w:marTop w:val="0"/>
      <w:marBottom w:val="0"/>
      <w:divBdr>
        <w:top w:val="none" w:sz="0" w:space="0" w:color="auto"/>
        <w:left w:val="none" w:sz="0" w:space="0" w:color="auto"/>
        <w:bottom w:val="none" w:sz="0" w:space="0" w:color="auto"/>
        <w:right w:val="none" w:sz="0" w:space="0" w:color="auto"/>
      </w:divBdr>
    </w:div>
    <w:div w:id="1461387763">
      <w:bodyDiv w:val="1"/>
      <w:marLeft w:val="0"/>
      <w:marRight w:val="0"/>
      <w:marTop w:val="0"/>
      <w:marBottom w:val="0"/>
      <w:divBdr>
        <w:top w:val="none" w:sz="0" w:space="0" w:color="auto"/>
        <w:left w:val="none" w:sz="0" w:space="0" w:color="auto"/>
        <w:bottom w:val="none" w:sz="0" w:space="0" w:color="auto"/>
        <w:right w:val="none" w:sz="0" w:space="0" w:color="auto"/>
      </w:divBdr>
    </w:div>
    <w:div w:id="1605532166">
      <w:bodyDiv w:val="1"/>
      <w:marLeft w:val="0"/>
      <w:marRight w:val="0"/>
      <w:marTop w:val="0"/>
      <w:marBottom w:val="0"/>
      <w:divBdr>
        <w:top w:val="none" w:sz="0" w:space="0" w:color="auto"/>
        <w:left w:val="none" w:sz="0" w:space="0" w:color="auto"/>
        <w:bottom w:val="none" w:sz="0" w:space="0" w:color="auto"/>
        <w:right w:val="none" w:sz="0" w:space="0" w:color="auto"/>
      </w:divBdr>
    </w:div>
    <w:div w:id="1707871562">
      <w:bodyDiv w:val="1"/>
      <w:marLeft w:val="0"/>
      <w:marRight w:val="0"/>
      <w:marTop w:val="0"/>
      <w:marBottom w:val="0"/>
      <w:divBdr>
        <w:top w:val="none" w:sz="0" w:space="0" w:color="auto"/>
        <w:left w:val="none" w:sz="0" w:space="0" w:color="auto"/>
        <w:bottom w:val="none" w:sz="0" w:space="0" w:color="auto"/>
        <w:right w:val="none" w:sz="0" w:space="0" w:color="auto"/>
      </w:divBdr>
    </w:div>
    <w:div w:id="1744643873">
      <w:bodyDiv w:val="1"/>
      <w:marLeft w:val="0"/>
      <w:marRight w:val="0"/>
      <w:marTop w:val="0"/>
      <w:marBottom w:val="0"/>
      <w:divBdr>
        <w:top w:val="none" w:sz="0" w:space="0" w:color="auto"/>
        <w:left w:val="none" w:sz="0" w:space="0" w:color="auto"/>
        <w:bottom w:val="none" w:sz="0" w:space="0" w:color="auto"/>
        <w:right w:val="none" w:sz="0" w:space="0" w:color="auto"/>
      </w:divBdr>
    </w:div>
    <w:div w:id="1874072325">
      <w:bodyDiv w:val="1"/>
      <w:marLeft w:val="0"/>
      <w:marRight w:val="0"/>
      <w:marTop w:val="0"/>
      <w:marBottom w:val="0"/>
      <w:divBdr>
        <w:top w:val="none" w:sz="0" w:space="0" w:color="auto"/>
        <w:left w:val="none" w:sz="0" w:space="0" w:color="auto"/>
        <w:bottom w:val="none" w:sz="0" w:space="0" w:color="auto"/>
        <w:right w:val="none" w:sz="0" w:space="0" w:color="auto"/>
      </w:divBdr>
    </w:div>
    <w:div w:id="2131584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mp"/><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tmp"/><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13630A-6C47-4FD9-8319-CA62895AF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26</Pages>
  <Words>5621</Words>
  <Characters>32040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Shivangi Agarwal</dc:creator>
  <cp:keywords/>
  <dc:description/>
  <cp:lastModifiedBy>Michael Adeniyi Thomas (Student)</cp:lastModifiedBy>
  <cp:revision>9</cp:revision>
  <dcterms:created xsi:type="dcterms:W3CDTF">2020-12-30T02:45:00Z</dcterms:created>
  <dcterms:modified xsi:type="dcterms:W3CDTF">2021-05-03T11:26:00Z</dcterms:modified>
</cp:coreProperties>
</file>