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2EDCC9" w14:textId="1E333226" w:rsidR="002E7E0D" w:rsidRDefault="002E7E0D" w:rsidP="002E7E0D">
      <w:pPr>
        <w:spacing w:line="360" w:lineRule="auto"/>
        <w:rPr>
          <w:rFonts w:ascii="Times New Roman Regular" w:hAnsi="Times New Roman Regular" w:cs="Times New Roman Regular"/>
          <w:b/>
          <w:bCs/>
          <w:sz w:val="24"/>
          <w:szCs w:val="32"/>
        </w:rPr>
      </w:pPr>
      <w:r>
        <w:rPr>
          <w:rFonts w:ascii="Times New Roman Regular" w:hAnsi="Times New Roman Regular" w:cs="Times New Roman Regular"/>
          <w:b/>
          <w:bCs/>
          <w:sz w:val="32"/>
          <w:szCs w:val="40"/>
        </w:rPr>
        <w:t xml:space="preserve">Critically Review  </w:t>
      </w:r>
      <w:r>
        <w:rPr>
          <w:rFonts w:ascii="Times New Roman Regular" w:hAnsi="Times New Roman Regular" w:cs="Times New Roman Regular"/>
          <w:sz w:val="24"/>
          <w:szCs w:val="32"/>
        </w:rPr>
        <w:br w:type="page"/>
      </w:r>
      <w:r>
        <w:rPr>
          <w:rFonts w:ascii="Times New Roman Regular" w:hAnsi="Times New Roman Regular" w:cs="Times New Roman Regular"/>
          <w:b/>
          <w:bCs/>
          <w:sz w:val="24"/>
          <w:szCs w:val="32"/>
        </w:rPr>
        <w:lastRenderedPageBreak/>
        <w:t xml:space="preserve">Introduction </w:t>
      </w:r>
    </w:p>
    <w:p w14:paraId="4AB2BE99" w14:textId="07C6E43E" w:rsidR="002E7E0D" w:rsidRDefault="002E7E0D" w:rsidP="002E7E0D">
      <w:pPr>
        <w:spacing w:line="360" w:lineRule="auto"/>
        <w:rPr>
          <w:rFonts w:ascii="Times New Roman Regular" w:hAnsi="Times New Roman Regular" w:cs="Times New Roman Regular" w:hint="eastAsia"/>
          <w:sz w:val="24"/>
          <w:szCs w:val="32"/>
        </w:rPr>
      </w:pPr>
      <w:r>
        <w:rPr>
          <w:rFonts w:ascii="Times New Roman Regular" w:hAnsi="Times New Roman Regular" w:cs="Times New Roman Regular"/>
          <w:sz w:val="24"/>
          <w:szCs w:val="32"/>
        </w:rPr>
        <w:t xml:space="preserve">In the article titled “factors affecting second language learning” by Lightbown and Spada (2000), the authors discussed the relevant factors that influence learners’ performance in second language learning. They hold the belief that learners can achieve success in language acquisition, whether in their first language learning or second language studying. This belief may stem from personal experiences or observations of certain individuals who are outgoing and tend to immerse themselves in the language, thereby finding numerous opportunities for learning. The factors being mentioned and discussed in the article contain motivation, attitudes, age, aptitude, intelligence, personality, and age. However, the extent to which these factors contribute to the success of language learners can vary between individuals and may not always align with research findings, as notified by Lightbown and Spada (2000). Overall, Lightbown and Spada’s (2000) stances offer a comparable comprehensive understanding of the individualized differences from the </w:t>
      </w:r>
      <w:proofErr w:type="gramStart"/>
      <w:r>
        <w:rPr>
          <w:rFonts w:ascii="Times New Roman Regular" w:hAnsi="Times New Roman Regular" w:cs="Times New Roman Regular"/>
          <w:sz w:val="24"/>
          <w:szCs w:val="32"/>
        </w:rPr>
        <w:t>above mentioned</w:t>
      </w:r>
      <w:proofErr w:type="gramEnd"/>
      <w:r>
        <w:rPr>
          <w:rFonts w:ascii="Times New Roman Regular" w:hAnsi="Times New Roman Regular" w:cs="Times New Roman Regular"/>
          <w:sz w:val="24"/>
          <w:szCs w:val="32"/>
        </w:rPr>
        <w:t xml:space="preserve"> perspectives in influencing individual performance in second language learning, but deeper reflections are worthwhile to be done across specific arguments stated. This essay aims to have a critical review of the arguments by Lightbown and Spada (2000) with a particular focus on how age may influence learners’ performance in second language learning. </w:t>
      </w:r>
    </w:p>
    <w:p w14:paraId="4646C76D" w14:textId="77777777" w:rsidR="002E7E0D" w:rsidRDefault="002E7E0D" w:rsidP="002E7E0D">
      <w:pPr>
        <w:spacing w:line="360" w:lineRule="auto"/>
        <w:rPr>
          <w:rFonts w:ascii="Times New Roman Regular" w:hAnsi="Times New Roman Regular" w:cs="Times New Roman Regular" w:hint="eastAsia"/>
          <w:sz w:val="24"/>
          <w:szCs w:val="32"/>
        </w:rPr>
      </w:pPr>
    </w:p>
    <w:p w14:paraId="245D8441" w14:textId="77777777" w:rsidR="002E7E0D" w:rsidRDefault="002E7E0D" w:rsidP="002E7E0D">
      <w:pPr>
        <w:spacing w:line="360" w:lineRule="auto"/>
        <w:rPr>
          <w:rFonts w:ascii="Times New Roman Regular" w:hAnsi="Times New Roman Regular" w:cs="Times New Roman Regular" w:hint="eastAsia"/>
          <w:b/>
          <w:bCs/>
          <w:sz w:val="24"/>
          <w:szCs w:val="32"/>
        </w:rPr>
      </w:pPr>
      <w:r>
        <w:rPr>
          <w:rFonts w:ascii="Times New Roman Regular" w:hAnsi="Times New Roman Regular" w:cs="Times New Roman Regular"/>
          <w:b/>
          <w:bCs/>
          <w:sz w:val="24"/>
          <w:szCs w:val="32"/>
        </w:rPr>
        <w:t>What does Second language learning involve?</w:t>
      </w:r>
    </w:p>
    <w:p w14:paraId="32A77B6B" w14:textId="77777777" w:rsidR="002E7E0D" w:rsidRDefault="002E7E0D" w:rsidP="002E7E0D">
      <w:pPr>
        <w:spacing w:line="360" w:lineRule="auto"/>
        <w:rPr>
          <w:rFonts w:ascii="Times New Roman Regular" w:hAnsi="Times New Roman Regular" w:hint="eastAsia"/>
          <w:sz w:val="24"/>
          <w:szCs w:val="32"/>
        </w:rPr>
      </w:pPr>
      <w:r>
        <w:rPr>
          <w:rFonts w:ascii="Times New Roman Regular" w:hAnsi="Times New Roman Regular"/>
          <w:sz w:val="24"/>
          <w:szCs w:val="32"/>
        </w:rPr>
        <w:t xml:space="preserve">Various interpretations exist regarding the concept of 'second language learning', but it generally contains the acquisition of any language other than one's native or first language, regardless of proficiency level, as long as this acquisition occurs subsequent to learning the first language (Mitchell &amp; Myles, 2019). Some scholars argue for a differentiation between 'second language learning' and 'second language acquisition'. 'Acquisition' typically refers to the natural absorption of a second language through exposure, whereas 'learning' pertains to the deliberate and structured study of the language (Abdullaev, 2021). Second language learning thus moves beyond simply the language acquisition of a foreign language like speaking, grammar, or vocabulary, but moreover, it is about learning the target cultural norms, and </w:t>
      </w:r>
      <w:proofErr w:type="spellStart"/>
      <w:r>
        <w:rPr>
          <w:rFonts w:ascii="Times New Roman Regular" w:hAnsi="Times New Roman Regular"/>
          <w:sz w:val="24"/>
          <w:szCs w:val="32"/>
        </w:rPr>
        <w:t>interacultural</w:t>
      </w:r>
      <w:proofErr w:type="spellEnd"/>
      <w:r>
        <w:rPr>
          <w:rFonts w:ascii="Times New Roman Regular" w:hAnsi="Times New Roman Regular"/>
          <w:sz w:val="24"/>
          <w:szCs w:val="32"/>
        </w:rPr>
        <w:t xml:space="preserve"> </w:t>
      </w:r>
      <w:r>
        <w:rPr>
          <w:rFonts w:ascii="Times New Roman Regular" w:hAnsi="Times New Roman Regular"/>
          <w:sz w:val="24"/>
          <w:szCs w:val="32"/>
        </w:rPr>
        <w:lastRenderedPageBreak/>
        <w:t xml:space="preserve">communication (Abdullaev, 2021). </w:t>
      </w:r>
    </w:p>
    <w:p w14:paraId="5E368E7D" w14:textId="77777777" w:rsidR="002E7E0D" w:rsidRDefault="002E7E0D" w:rsidP="002E7E0D">
      <w:pPr>
        <w:spacing w:line="360" w:lineRule="auto"/>
        <w:rPr>
          <w:rFonts w:ascii="Times New Roman Regular" w:hAnsi="Times New Roman Regular" w:hint="eastAsia"/>
          <w:sz w:val="24"/>
          <w:szCs w:val="32"/>
        </w:rPr>
      </w:pPr>
    </w:p>
    <w:p w14:paraId="6E052A59" w14:textId="77777777" w:rsidR="002E7E0D" w:rsidRDefault="002E7E0D" w:rsidP="002E7E0D">
      <w:pPr>
        <w:spacing w:line="360" w:lineRule="auto"/>
        <w:rPr>
          <w:rFonts w:ascii="Times New Roman Regular" w:hAnsi="Times New Roman Regular" w:hint="eastAsia"/>
          <w:sz w:val="24"/>
          <w:szCs w:val="32"/>
        </w:rPr>
      </w:pPr>
      <w:r>
        <w:rPr>
          <w:rFonts w:ascii="Times New Roman Regular" w:hAnsi="Times New Roman Regular"/>
          <w:sz w:val="24"/>
          <w:szCs w:val="32"/>
        </w:rPr>
        <w:t xml:space="preserve">Ellis (2004) provides a thorough examination of research in the field of second language acquisition. He begins by centering on the learner and identifies three main areas of research aimed at understanding language acquisition. The first area focuses on external factors influencing learners, such as social settings and interaction. The second area delves into internal factors of learners, including cognitive processes and universal mechanisms. The third area concentrates on individual language learners, aiming to elucidate variances in learning outcomes (Ellis, 2004). Ellis’s theory echoes with </w:t>
      </w:r>
      <w:proofErr w:type="spellStart"/>
      <w:r>
        <w:rPr>
          <w:rFonts w:ascii="Times New Roman Regular" w:hAnsi="Times New Roman Regular"/>
          <w:sz w:val="24"/>
          <w:szCs w:val="32"/>
        </w:rPr>
        <w:t>Spolsky’s</w:t>
      </w:r>
      <w:proofErr w:type="spellEnd"/>
      <w:r>
        <w:rPr>
          <w:rFonts w:ascii="Times New Roman Regular" w:hAnsi="Times New Roman Regular"/>
          <w:sz w:val="24"/>
          <w:szCs w:val="32"/>
        </w:rPr>
        <w:t xml:space="preserve"> (1985) model of second language learning, both of which emphasizes the interplay between external contextual factors and learners’ individual features to influence one’s second language learning performance. From these scholars’ demonstration of the meaning of second language learning and involved activities in study, it can be known that second language learning is complicated and studying second language learning involves multiple variables, just as discussed in the article by </w:t>
      </w:r>
      <w:r>
        <w:rPr>
          <w:rFonts w:ascii="Times New Roman Regular" w:hAnsi="Times New Roman Regular" w:cs="Times New Roman Regular"/>
          <w:sz w:val="24"/>
          <w:szCs w:val="32"/>
        </w:rPr>
        <w:t xml:space="preserve">Lightbown and Spada (2000). </w:t>
      </w:r>
    </w:p>
    <w:p w14:paraId="57368979" w14:textId="77777777" w:rsidR="002E7E0D" w:rsidRDefault="002E7E0D" w:rsidP="002E7E0D">
      <w:pPr>
        <w:spacing w:line="360" w:lineRule="auto"/>
        <w:rPr>
          <w:rFonts w:ascii="Times New Roman Regular" w:hAnsi="Times New Roman Regular" w:cs="Times New Roman Regular" w:hint="eastAsia"/>
          <w:sz w:val="24"/>
          <w:szCs w:val="32"/>
        </w:rPr>
      </w:pPr>
    </w:p>
    <w:p w14:paraId="6244CB95" w14:textId="77777777" w:rsidR="002E7E0D" w:rsidRDefault="002E7E0D" w:rsidP="002E7E0D">
      <w:pPr>
        <w:spacing w:line="360" w:lineRule="auto"/>
        <w:rPr>
          <w:rFonts w:ascii="Times New Roman Regular" w:hAnsi="Times New Roman Regular" w:cs="Times New Roman Regular" w:hint="eastAsia"/>
          <w:b/>
          <w:bCs/>
          <w:sz w:val="24"/>
          <w:szCs w:val="32"/>
        </w:rPr>
      </w:pPr>
      <w:r>
        <w:rPr>
          <w:rFonts w:ascii="Times New Roman Regular" w:hAnsi="Times New Roman Regular" w:cs="Times New Roman Regular"/>
          <w:b/>
          <w:bCs/>
          <w:sz w:val="24"/>
          <w:szCs w:val="32"/>
        </w:rPr>
        <w:t xml:space="preserve">Factors affecting students, an overview </w:t>
      </w:r>
    </w:p>
    <w:p w14:paraId="0443112A" w14:textId="77777777" w:rsidR="002E7E0D" w:rsidRDefault="002E7E0D" w:rsidP="002E7E0D">
      <w:pPr>
        <w:spacing w:line="360" w:lineRule="auto"/>
        <w:rPr>
          <w:rFonts w:ascii="Times New Roman Regular" w:hAnsi="Times New Roman Regular" w:hint="eastAsia"/>
          <w:sz w:val="24"/>
          <w:szCs w:val="32"/>
        </w:rPr>
      </w:pPr>
      <w:r>
        <w:rPr>
          <w:rFonts w:ascii="Times New Roman Regular" w:hAnsi="Times New Roman Regular" w:cs="Times New Roman Regular"/>
          <w:sz w:val="24"/>
          <w:szCs w:val="32"/>
        </w:rPr>
        <w:t xml:space="preserve">Lightbown and Spada (2000) clarify various factors influencing learners’ second language learning performance, including motivation, attitudes, age, aptitude, intelligence, personality, and age. </w:t>
      </w:r>
      <w:r>
        <w:rPr>
          <w:rFonts w:ascii="Times New Roman Regular" w:hAnsi="Times New Roman Regular"/>
          <w:sz w:val="24"/>
          <w:szCs w:val="32"/>
        </w:rPr>
        <w:t xml:space="preserve">Specifically, as demonstrated in the article of Lightbown and Spada (2000), age is merely one aspect among many that impacts a learner's acquisition of a second language (L2). The environment in which learning occurs, involving both classroom and extracurricular contexts, plays a pivotal role in shaping language proficiency. Additionally, individual motivation and differences in cognitive abilities, such as intelligence and aptitude, significantly influence learning outcomes (Lightbown and Spada, 2000). Personality traits and preferred learning styles also emerge as crucial determinants affecting both the pace of learning and ultimate success in language acquisition. However, delving into the study of individual learner variables poses challenges, with research outcomes often falling short of complete </w:t>
      </w:r>
      <w:r>
        <w:rPr>
          <w:rFonts w:ascii="Times New Roman Regular" w:hAnsi="Times New Roman Regular"/>
          <w:sz w:val="24"/>
          <w:szCs w:val="32"/>
        </w:rPr>
        <w:lastRenderedPageBreak/>
        <w:t xml:space="preserve">satisfaction (Lightbown and Spada, 2000). This shortfall can be attributed partially to the absence of precise definitions and standardized methods for measuring these individual characteristics, as well as to the intricate interactions between them. </w:t>
      </w:r>
    </w:p>
    <w:p w14:paraId="1BF6194E" w14:textId="77777777" w:rsidR="002E7E0D" w:rsidRDefault="002E7E0D" w:rsidP="002E7E0D">
      <w:pPr>
        <w:spacing w:line="360" w:lineRule="auto"/>
        <w:rPr>
          <w:rFonts w:ascii="Times New Roman Regular" w:hAnsi="Times New Roman Regular" w:hint="eastAsia"/>
          <w:sz w:val="24"/>
          <w:szCs w:val="32"/>
        </w:rPr>
      </w:pPr>
    </w:p>
    <w:p w14:paraId="4B357CC8" w14:textId="77777777" w:rsidR="002E7E0D" w:rsidRDefault="002E7E0D" w:rsidP="002E7E0D">
      <w:pPr>
        <w:spacing w:line="360" w:lineRule="auto"/>
        <w:rPr>
          <w:rFonts w:ascii="Times New Roman Regular" w:hAnsi="Times New Roman Regular" w:hint="eastAsia"/>
          <w:sz w:val="24"/>
          <w:szCs w:val="32"/>
        </w:rPr>
      </w:pPr>
      <w:r>
        <w:rPr>
          <w:rFonts w:ascii="Times New Roman Regular" w:hAnsi="Times New Roman Regular"/>
          <w:sz w:val="24"/>
          <w:szCs w:val="32"/>
        </w:rPr>
        <w:t>To comment on Lightbown and Spada’s research results (2000), it</w:t>
      </w:r>
      <w:r>
        <w:rPr>
          <w:rFonts w:ascii="Times New Roman Regular" w:hAnsi="Times New Roman Regular" w:cs="Times New Roman Regular"/>
          <w:sz w:val="24"/>
          <w:szCs w:val="32"/>
        </w:rPr>
        <w:t xml:space="preserve"> corresponds to Ellis’s statement of individual learning factors in the third area of the second language acquisition, </w:t>
      </w:r>
      <w:r>
        <w:rPr>
          <w:rFonts w:ascii="Times New Roman Regular" w:hAnsi="Times New Roman Regular"/>
          <w:sz w:val="24"/>
          <w:szCs w:val="32"/>
        </w:rPr>
        <w:t xml:space="preserve">which serve as the foundation for learners' strategic choices, ultimately shaping language acquisition results. Both of them underscore the intricate interplay among individual factors, strategies, and learning outcomes. From Lightbown and Spada’s arguments, it can also be known that making precise predictions regarding how an individual's specific characteristics impact their success as a language learner remains a daunting task (Skehan, 1991; </w:t>
      </w:r>
      <w:proofErr w:type="spellStart"/>
      <w:r>
        <w:rPr>
          <w:rFonts w:ascii="Times New Roman Regular" w:hAnsi="Times New Roman Regular"/>
          <w:sz w:val="24"/>
          <w:szCs w:val="32"/>
        </w:rPr>
        <w:t>Dornyei</w:t>
      </w:r>
      <w:proofErr w:type="spellEnd"/>
      <w:r>
        <w:rPr>
          <w:rFonts w:ascii="Times New Roman Regular" w:hAnsi="Times New Roman Regular"/>
          <w:sz w:val="24"/>
          <w:szCs w:val="32"/>
        </w:rPr>
        <w:t>, 2014). Despite these challenges, the implications for second language teaching are clear. For example, while conclusive research findings on the correlation between personal factors and second language learning may be elusive, educators should acknowledge and accommodate learners' diverse aptitudes, personalities, and learning styles (</w:t>
      </w:r>
      <w:proofErr w:type="spellStart"/>
      <w:r>
        <w:rPr>
          <w:rFonts w:ascii="Times New Roman Regular" w:hAnsi="Times New Roman Regular"/>
          <w:sz w:val="24"/>
          <w:szCs w:val="32"/>
        </w:rPr>
        <w:t>Chamot</w:t>
      </w:r>
      <w:proofErr w:type="spellEnd"/>
      <w:r>
        <w:rPr>
          <w:rFonts w:ascii="Times New Roman Regular" w:hAnsi="Times New Roman Regular"/>
          <w:sz w:val="24"/>
          <w:szCs w:val="32"/>
        </w:rPr>
        <w:t>, 2005). Besides, it is also important for teachers to create a supportive and inclusive learning environment that caters to the varied needs of learners (</w:t>
      </w:r>
      <w:proofErr w:type="spellStart"/>
      <w:r>
        <w:rPr>
          <w:rFonts w:ascii="Times New Roman Regular" w:hAnsi="Times New Roman Regular"/>
          <w:sz w:val="24"/>
          <w:szCs w:val="32"/>
        </w:rPr>
        <w:t>Lintangsari</w:t>
      </w:r>
      <w:proofErr w:type="spellEnd"/>
      <w:r>
        <w:rPr>
          <w:rFonts w:ascii="Times New Roman Regular" w:hAnsi="Times New Roman Regular"/>
          <w:sz w:val="24"/>
          <w:szCs w:val="32"/>
        </w:rPr>
        <w:t xml:space="preserve"> and </w:t>
      </w:r>
      <w:proofErr w:type="spellStart"/>
      <w:r>
        <w:rPr>
          <w:rFonts w:ascii="Times New Roman Regular" w:hAnsi="Times New Roman Regular"/>
          <w:sz w:val="24"/>
          <w:szCs w:val="32"/>
        </w:rPr>
        <w:t>Emaliana</w:t>
      </w:r>
      <w:proofErr w:type="spellEnd"/>
      <w:r>
        <w:rPr>
          <w:rFonts w:ascii="Times New Roman Regular" w:hAnsi="Times New Roman Regular"/>
          <w:sz w:val="24"/>
          <w:szCs w:val="32"/>
        </w:rPr>
        <w:t xml:space="preserve">, 2020).  </w:t>
      </w:r>
    </w:p>
    <w:p w14:paraId="5E00EE61" w14:textId="77777777" w:rsidR="002E7E0D" w:rsidRDefault="002E7E0D" w:rsidP="002E7E0D">
      <w:pPr>
        <w:spacing w:line="360" w:lineRule="auto"/>
        <w:rPr>
          <w:rFonts w:ascii="Times New Roman Regular" w:hAnsi="Times New Roman Regular" w:hint="eastAsia"/>
          <w:sz w:val="24"/>
          <w:szCs w:val="32"/>
        </w:rPr>
      </w:pPr>
    </w:p>
    <w:p w14:paraId="64C5E464" w14:textId="77777777" w:rsidR="002E7E0D" w:rsidRDefault="002E7E0D" w:rsidP="002E7E0D">
      <w:pPr>
        <w:spacing w:line="360" w:lineRule="auto"/>
        <w:rPr>
          <w:rFonts w:ascii="Times New Roman Regular" w:hAnsi="Times New Roman Regular" w:cs="Times New Roman Regular" w:hint="eastAsia"/>
          <w:b/>
          <w:bCs/>
          <w:sz w:val="24"/>
          <w:szCs w:val="32"/>
        </w:rPr>
      </w:pPr>
      <w:r>
        <w:rPr>
          <w:rFonts w:ascii="Times New Roman Regular" w:hAnsi="Times New Roman Regular" w:cs="Times New Roman Regular"/>
          <w:b/>
          <w:bCs/>
          <w:sz w:val="24"/>
          <w:szCs w:val="32"/>
        </w:rPr>
        <w:t xml:space="preserve">Age in influencing EFL learning performance </w:t>
      </w:r>
    </w:p>
    <w:p w14:paraId="16D7B269" w14:textId="77777777" w:rsidR="002E7E0D" w:rsidRDefault="002E7E0D" w:rsidP="002E7E0D">
      <w:pPr>
        <w:spacing w:line="360" w:lineRule="auto"/>
        <w:rPr>
          <w:rFonts w:ascii="Times New Roman Regular" w:hAnsi="Times New Roman Regular" w:hint="eastAsia"/>
          <w:sz w:val="24"/>
          <w:szCs w:val="32"/>
        </w:rPr>
      </w:pPr>
      <w:r>
        <w:rPr>
          <w:rFonts w:ascii="Times New Roman Regular" w:hAnsi="Times New Roman Regular"/>
          <w:sz w:val="24"/>
          <w:szCs w:val="32"/>
        </w:rPr>
        <w:t xml:space="preserve">Among the various factors </w:t>
      </w:r>
      <w:proofErr w:type="spellStart"/>
      <w:r>
        <w:rPr>
          <w:rFonts w:ascii="Times New Roman Regular" w:hAnsi="Times New Roman Regular"/>
          <w:sz w:val="24"/>
          <w:szCs w:val="32"/>
        </w:rPr>
        <w:t>discusse</w:t>
      </w:r>
      <w:proofErr w:type="spellEnd"/>
      <w:r>
        <w:rPr>
          <w:rFonts w:ascii="Times New Roman Regular" w:hAnsi="Times New Roman Regular"/>
          <w:sz w:val="24"/>
          <w:szCs w:val="32"/>
        </w:rPr>
        <w:t xml:space="preserve"> by Lightbown and Spada (2000), in this section, the author will discuss the age factor in influencing L2 learners’ performance critically. Basically, according to Lightbown and Spada (2000), the correlation between a learner's age and their potential for success in second language acquisition is intricate and multifaceted. This relationship must be examined in conjunction with several key factors of 1) the sage of L2 developments 2) the goals of L2 learning and 3) the context of L2 learning. In informal language learning environments where the target language is primarily used, children may eventually attain native-like fluency in the L2. However, parents and older learners, especially post-puberty learners, often struggle to achieve such high levels of proficiency, particularly in pronunciation and accent (Lightbown </w:t>
      </w:r>
      <w:r>
        <w:rPr>
          <w:rFonts w:ascii="Times New Roman Regular" w:hAnsi="Times New Roman Regular"/>
          <w:sz w:val="24"/>
          <w:szCs w:val="32"/>
        </w:rPr>
        <w:lastRenderedPageBreak/>
        <w:t xml:space="preserve">and Spada, 2000). It means that post-puberty learners may find it more challenging to attain native-like mastery of spoken language, including pronunciation, word choice, and certain grammatical features. This argument is sound as adult learners, as compared to children, are forming their habits of speaking when they have spent years speaking their mother tongue. It may be difficult for mouth muscles to adapt to new pronunciation rules in English (Klein, 1986; </w:t>
      </w:r>
      <w:proofErr w:type="spellStart"/>
      <w:r>
        <w:rPr>
          <w:rFonts w:ascii="Times New Roman Regular" w:hAnsi="Times New Roman Regular"/>
          <w:sz w:val="24"/>
          <w:szCs w:val="32"/>
        </w:rPr>
        <w:t>Aarinen</w:t>
      </w:r>
      <w:proofErr w:type="spellEnd"/>
      <w:r>
        <w:rPr>
          <w:rFonts w:ascii="Times New Roman Regular" w:hAnsi="Times New Roman Regular"/>
          <w:sz w:val="24"/>
          <w:szCs w:val="32"/>
        </w:rPr>
        <w:t xml:space="preserve">, 2019). Differently, for children, the acquisition of their first language does not solidify long-term pronunciation habits. Therefore, when they are exposed to a second language, they are more likely to learn a closer-to-native pronunciation standard, including correct native mouth shapes and pronunciation intensity. </w:t>
      </w:r>
    </w:p>
    <w:p w14:paraId="6BE43711" w14:textId="77777777" w:rsidR="002E7E0D" w:rsidRDefault="002E7E0D" w:rsidP="002E7E0D">
      <w:pPr>
        <w:spacing w:line="360" w:lineRule="auto"/>
        <w:rPr>
          <w:rFonts w:ascii="Times New Roman Regular" w:hAnsi="Times New Roman Regular" w:hint="eastAsia"/>
          <w:sz w:val="24"/>
          <w:szCs w:val="32"/>
        </w:rPr>
      </w:pPr>
    </w:p>
    <w:p w14:paraId="2D21679C" w14:textId="77777777" w:rsidR="002E7E0D" w:rsidRDefault="002E7E0D" w:rsidP="002E7E0D">
      <w:pPr>
        <w:spacing w:line="360" w:lineRule="auto"/>
        <w:rPr>
          <w:rFonts w:ascii="Times New Roman Regular" w:hAnsi="Times New Roman Regular" w:hint="eastAsia"/>
          <w:sz w:val="24"/>
          <w:szCs w:val="32"/>
        </w:rPr>
      </w:pPr>
      <w:r>
        <w:rPr>
          <w:rFonts w:ascii="Times New Roman Regular" w:hAnsi="Times New Roman Regular"/>
          <w:sz w:val="24"/>
          <w:szCs w:val="32"/>
        </w:rPr>
        <w:t xml:space="preserve">On the other hand, according to Lightbown and Spada (2000), adults and adolescents may make faster progress in mastering an L2 when immersed in contexts where they can utilize the language daily in various social, personal, professional, or academic interactions. In formal language learning environments such as classrooms, older learners like adolescents and adults may demonstrate greater efficiency in the early stages of L2 development compared to younger learners (Lightbown and Spada, 2000). This argument is supported by </w:t>
      </w:r>
      <w:r>
        <w:rPr>
          <w:rFonts w:ascii="Times New Roman Regular" w:hAnsi="Times New Roman Regular" w:hint="eastAsia"/>
          <w:sz w:val="24"/>
          <w:szCs w:val="32"/>
        </w:rPr>
        <w:t>discovery learning theory supported</w:t>
      </w:r>
      <w:r>
        <w:rPr>
          <w:rFonts w:ascii="Times New Roman Regular" w:hAnsi="Times New Roman Regular"/>
          <w:sz w:val="24"/>
          <w:szCs w:val="32"/>
        </w:rPr>
        <w:t xml:space="preserve">. Discovery Learning proves advantageous for students undertaking second language acquisition, fostering peer interaction and facilitating both language development and concept comprehension through content (Singaravelu, 2012). Reichert and Raimond (2005, as cited in Singaravelu, 2012) propose that Discovery Learning embodies a highly student-centered and self-directed approach to learning. As highlighted by Syam (2021), DaimlerChrysler exemplifies the application of guided discovery learning principles in teaching maintenance engineers to troubleshoot automotive electrical systems. This is the reason why L2 learners, when they are immersed in some contexts, they can grasp their second language more efficient. As compared to children, adults, because of their richer social experience and personal cognitive capabilities, their interactive discovery could be much effective than children lack social and life experience. Thus, it may be a reason explaining the rationale of why adults may demonstrate their greater efficiency </w:t>
      </w:r>
      <w:r>
        <w:rPr>
          <w:rFonts w:ascii="Times New Roman Regular" w:hAnsi="Times New Roman Regular"/>
          <w:sz w:val="24"/>
          <w:szCs w:val="32"/>
        </w:rPr>
        <w:lastRenderedPageBreak/>
        <w:t xml:space="preserve">in L2 developments. </w:t>
      </w:r>
    </w:p>
    <w:p w14:paraId="75909CD1" w14:textId="77777777" w:rsidR="002E7E0D" w:rsidRDefault="002E7E0D" w:rsidP="002E7E0D">
      <w:pPr>
        <w:spacing w:line="360" w:lineRule="auto"/>
        <w:rPr>
          <w:rFonts w:ascii="Times New Roman Regular" w:hAnsi="Times New Roman Regular" w:hint="eastAsia"/>
          <w:sz w:val="24"/>
          <w:szCs w:val="32"/>
        </w:rPr>
      </w:pPr>
    </w:p>
    <w:p w14:paraId="47DCF343" w14:textId="77777777" w:rsidR="002E7E0D" w:rsidRDefault="002E7E0D" w:rsidP="002E7E0D">
      <w:pPr>
        <w:spacing w:line="360" w:lineRule="auto"/>
        <w:rPr>
          <w:rFonts w:ascii="Times New Roman Regular" w:hAnsi="Times New Roman Regular" w:hint="eastAsia"/>
          <w:sz w:val="24"/>
          <w:szCs w:val="32"/>
        </w:rPr>
      </w:pPr>
      <w:r>
        <w:rPr>
          <w:rFonts w:ascii="Times New Roman Regular" w:hAnsi="Times New Roman Regular"/>
          <w:sz w:val="24"/>
          <w:szCs w:val="32"/>
        </w:rPr>
        <w:t xml:space="preserve">Further, Lightbown and Spada (2000) stated that in cases where children continue to primarily use their native language, it might be more effective to initiate second language (L2) or English as a Foreign Language (EFL) learning at a later stage, such as early adolescence around the ages of 10, 11, or 12. In situations where learners receive only limited hours of instruction per week, those who commence learning at a later age often reach a comparable level of proficiency to those who began earlier (Lightbown and Spada, 2000). Regardless of the age at which they begin learning, one or two hours of instruction per week are insufficient to develop highly advanced L2 speakers. These demonstrate that second language learning needs huge amount of input in a consistent way. Such can be explained by the input hypothesis as proposed by Krashen (1992). According to Krashen (1992), language acquisition occurs through the comprehension of input, with comprehensible input, also known as intake, playing a vital role in this process. Listening and reading are deemed paramount, with material ideally presented at a level slightly above the learner's current proficiency (Krashen, 1992). </w:t>
      </w:r>
      <w:proofErr w:type="gramStart"/>
      <w:r>
        <w:rPr>
          <w:rFonts w:ascii="Times New Roman Regular" w:hAnsi="Times New Roman Regular"/>
          <w:sz w:val="24"/>
          <w:szCs w:val="32"/>
        </w:rPr>
        <w:t>So</w:t>
      </w:r>
      <w:proofErr w:type="gramEnd"/>
      <w:r>
        <w:rPr>
          <w:rFonts w:ascii="Times New Roman Regular" w:hAnsi="Times New Roman Regular"/>
          <w:sz w:val="24"/>
          <w:szCs w:val="32"/>
        </w:rPr>
        <w:t xml:space="preserve"> if the learner just takes courses once a week without consistent input, it will be hard for them to obtain good L2 learning performance. The input cases are thus suitable for both child learners and adult learners. </w:t>
      </w:r>
    </w:p>
    <w:p w14:paraId="026D3C91" w14:textId="77777777" w:rsidR="002E7E0D" w:rsidRDefault="002E7E0D" w:rsidP="002E7E0D">
      <w:pPr>
        <w:spacing w:line="360" w:lineRule="auto"/>
        <w:rPr>
          <w:rFonts w:ascii="Times New Roman Regular" w:hAnsi="Times New Roman Regular" w:hint="eastAsia"/>
          <w:sz w:val="24"/>
          <w:szCs w:val="32"/>
        </w:rPr>
      </w:pPr>
    </w:p>
    <w:p w14:paraId="33B93761" w14:textId="77777777" w:rsidR="002E7E0D" w:rsidRDefault="002E7E0D" w:rsidP="002E7E0D">
      <w:pPr>
        <w:spacing w:line="360" w:lineRule="auto"/>
        <w:rPr>
          <w:rFonts w:ascii="Times New Roman Regular" w:hAnsi="Times New Roman Regular" w:hint="eastAsia"/>
          <w:sz w:val="24"/>
          <w:szCs w:val="32"/>
        </w:rPr>
      </w:pPr>
      <w:r>
        <w:rPr>
          <w:rFonts w:ascii="Times New Roman Regular" w:hAnsi="Times New Roman Regular"/>
          <w:sz w:val="24"/>
          <w:szCs w:val="32"/>
        </w:rPr>
        <w:t xml:space="preserve">However, it should be noted that age cannot be isolated from factors such as motivation, social identity, and learning conditions. Lennon (1993) states that personal motivation factors can be a positive trigger moving individuals to conquer the associated barriers when they learn English as their second language. The advanced learner, due to various intrinsic or extrinsic motivators, may work harder or learn in greater passion, which is beneficial for the L2 learning performance improvements. Learning conditions, for example, can also shape learners’ performance regardless of age differences. Whether for adults or kids, being able to immerse themselves in good language learning conditions, like facilitated by digital or mobile learning devices, tend to grasp L2 better, faster, and more efficient. This is also the reason why Lightbown and Spada (2000) </w:t>
      </w:r>
      <w:r>
        <w:rPr>
          <w:rFonts w:ascii="Times New Roman Regular" w:hAnsi="Times New Roman Regular"/>
          <w:sz w:val="24"/>
          <w:szCs w:val="32"/>
        </w:rPr>
        <w:lastRenderedPageBreak/>
        <w:t xml:space="preserve">state that the quality and quantity of language input for L2 learners is significant in leveraging their learning performance and L2 language acquisition success. Thus, age is not the sole factor influencing L2 learning performance, as learning English as a second language is a complicated process. But from Lightbown and Spada’s (2000) research findings, it can be known that age is indeed an important factor influencing learners’ performance. It should be noticed that </w:t>
      </w:r>
      <w:proofErr w:type="gramStart"/>
      <w:r>
        <w:rPr>
          <w:rFonts w:ascii="Times New Roman Regular" w:hAnsi="Times New Roman Regular"/>
          <w:sz w:val="24"/>
          <w:szCs w:val="32"/>
        </w:rPr>
        <w:t>children</w:t>
      </w:r>
      <w:proofErr w:type="gramEnd"/>
      <w:r>
        <w:rPr>
          <w:rFonts w:ascii="Times New Roman Regular" w:hAnsi="Times New Roman Regular"/>
          <w:sz w:val="24"/>
          <w:szCs w:val="32"/>
        </w:rPr>
        <w:t xml:space="preserve"> learners may obtain advantages in native pronunciation acquisition but adult learners may work equal well in reading comprehension as those starting to learn English as their second language at early age. </w:t>
      </w:r>
    </w:p>
    <w:p w14:paraId="638E60A0" w14:textId="77777777" w:rsidR="002E7E0D" w:rsidRDefault="002E7E0D" w:rsidP="002E7E0D">
      <w:pPr>
        <w:spacing w:line="360" w:lineRule="auto"/>
        <w:rPr>
          <w:rFonts w:ascii="Times New Roman Regular" w:hAnsi="Times New Roman Regular" w:hint="eastAsia"/>
          <w:sz w:val="24"/>
          <w:szCs w:val="32"/>
        </w:rPr>
      </w:pPr>
    </w:p>
    <w:p w14:paraId="681DC98B" w14:textId="77777777" w:rsidR="002E7E0D" w:rsidRDefault="002E7E0D" w:rsidP="002E7E0D">
      <w:pPr>
        <w:spacing w:line="360" w:lineRule="auto"/>
        <w:rPr>
          <w:rFonts w:ascii="Times New Roman Regular" w:hAnsi="Times New Roman Regular" w:hint="eastAsia"/>
          <w:b/>
          <w:bCs/>
          <w:sz w:val="24"/>
          <w:szCs w:val="32"/>
        </w:rPr>
      </w:pPr>
      <w:r>
        <w:rPr>
          <w:rFonts w:ascii="Times New Roman Regular" w:hAnsi="Times New Roman Regular"/>
          <w:b/>
          <w:bCs/>
          <w:sz w:val="24"/>
          <w:szCs w:val="32"/>
        </w:rPr>
        <w:t xml:space="preserve">Conclusions </w:t>
      </w:r>
    </w:p>
    <w:p w14:paraId="59C9B728" w14:textId="77777777" w:rsidR="002E7E0D" w:rsidRDefault="002E7E0D" w:rsidP="002E7E0D">
      <w:pPr>
        <w:spacing w:line="360" w:lineRule="auto"/>
        <w:rPr>
          <w:rFonts w:ascii="Times New Roman Regular" w:hAnsi="Times New Roman Regular" w:cs="Times New Roman Regular" w:hint="eastAsia"/>
          <w:sz w:val="24"/>
        </w:rPr>
      </w:pPr>
      <w:r>
        <w:rPr>
          <w:rFonts w:ascii="Times New Roman Regular" w:hAnsi="Times New Roman Regular"/>
          <w:sz w:val="24"/>
          <w:szCs w:val="32"/>
        </w:rPr>
        <w:t xml:space="preserve">In conclusion, the article by Lightbown and Spada (2000) offers a comprehensive exploration </w:t>
      </w:r>
      <w:r>
        <w:rPr>
          <w:rFonts w:ascii="Times New Roman Regular" w:hAnsi="Times New Roman Regular" w:cs="Times New Roman Regular"/>
          <w:sz w:val="24"/>
        </w:rPr>
        <w:t>of the factors influencing second language learning. The authors dissect various elements such as motivation, attitudes, age, aptitude, intelligence, personality, and learning context, shedding light on their intricate interplay in shaping learners' language acquisition outcomes. While their insights provide a robust foundation for understanding the complexity of second language learning, it's evident that no single factor operates in isolation. Age, in particular, emerges as a crucial determinant, with implications varying depending on the stage of L2 development, learning goals, and context. The discussion surrounding the age factor underscores the nuanced relationship between age and language learning, highlighting both advantages and challenges for different age groups. Furthermore, the conclusions drawn from Lightbown and Spada's (2000) research prompt deeper reflections on the multifaceted nature of second language acquisition and the need for tailored approaches that consider individual differences and learning contexts. Moving forward, educators and researchers can leverage these insights to design more effective language learning programs and interventions that cater to the diverse needs of language learners across different age groups and contexts.</w:t>
      </w:r>
    </w:p>
    <w:p w14:paraId="2A845552" w14:textId="77777777" w:rsidR="002E7E0D" w:rsidRDefault="002E7E0D" w:rsidP="002E7E0D">
      <w:pPr>
        <w:spacing w:line="360" w:lineRule="auto"/>
        <w:rPr>
          <w:rFonts w:ascii="Times New Roman Regular" w:hAnsi="Times New Roman Regular" w:cs="Times New Roman Regular" w:hint="eastAsia"/>
          <w:sz w:val="24"/>
        </w:rPr>
      </w:pPr>
    </w:p>
    <w:p w14:paraId="31C9F1D3" w14:textId="77777777" w:rsidR="002E7E0D" w:rsidRDefault="002E7E0D" w:rsidP="002E7E0D">
      <w:pPr>
        <w:spacing w:line="360" w:lineRule="auto"/>
        <w:rPr>
          <w:rFonts w:ascii="Times New Roman Regular" w:hAnsi="Times New Roman Regular" w:cs="Times New Roman Regular" w:hint="eastAsia"/>
          <w:sz w:val="24"/>
        </w:rPr>
      </w:pPr>
    </w:p>
    <w:p w14:paraId="2B4EE69F" w14:textId="77777777" w:rsidR="002E7E0D" w:rsidRDefault="002E7E0D" w:rsidP="002E7E0D">
      <w:pPr>
        <w:spacing w:line="360" w:lineRule="auto"/>
        <w:rPr>
          <w:rFonts w:ascii="Times New Roman Regular" w:hAnsi="Times New Roman Regular" w:cs="Times New Roman Regular" w:hint="eastAsia"/>
          <w:sz w:val="24"/>
        </w:rPr>
      </w:pPr>
      <w:r>
        <w:rPr>
          <w:rFonts w:ascii="Times New Roman Regular" w:hAnsi="Times New Roman Regular" w:cs="Times New Roman Regular"/>
          <w:sz w:val="24"/>
        </w:rPr>
        <w:br w:type="page"/>
      </w:r>
    </w:p>
    <w:p w14:paraId="0CF239BB" w14:textId="77777777" w:rsidR="002E7E0D" w:rsidRDefault="002E7E0D" w:rsidP="002E7E0D">
      <w:pPr>
        <w:spacing w:line="360" w:lineRule="auto"/>
        <w:rPr>
          <w:rFonts w:ascii="Times New Roman Regular" w:hAnsi="Times New Roman Regular" w:cs="Times New Roman Regular" w:hint="eastAsia"/>
          <w:b/>
          <w:bCs/>
          <w:sz w:val="24"/>
        </w:rPr>
      </w:pPr>
      <w:r>
        <w:rPr>
          <w:rFonts w:ascii="Times New Roman Regular" w:hAnsi="Times New Roman Regular" w:cs="Times New Roman Regular"/>
          <w:b/>
          <w:bCs/>
          <w:sz w:val="24"/>
        </w:rPr>
        <w:lastRenderedPageBreak/>
        <w:t xml:space="preserve">References </w:t>
      </w:r>
    </w:p>
    <w:p w14:paraId="439D77DA" w14:textId="77777777" w:rsidR="002E7E0D" w:rsidRDefault="002E7E0D" w:rsidP="002E7E0D">
      <w:pPr>
        <w:spacing w:line="360" w:lineRule="auto"/>
        <w:rPr>
          <w:rFonts w:ascii="Times New Roman Regular" w:hAnsi="Times New Roman Regular" w:cs="Times New Roman Regular" w:hint="eastAsia"/>
          <w:sz w:val="24"/>
        </w:rPr>
      </w:pPr>
    </w:p>
    <w:p w14:paraId="0B0BB386" w14:textId="77777777" w:rsidR="002E7E0D" w:rsidRDefault="002E7E0D" w:rsidP="002E7E0D">
      <w:pPr>
        <w:widowControl/>
        <w:spacing w:line="360" w:lineRule="auto"/>
        <w:jc w:val="left"/>
        <w:rPr>
          <w:rFonts w:ascii="Times New Roman Regular" w:hAnsi="Times New Roman Regular" w:cs="Times New Roman Regular" w:hint="eastAsia"/>
          <w:sz w:val="24"/>
        </w:rPr>
      </w:pPr>
      <w:proofErr w:type="spellStart"/>
      <w:r>
        <w:rPr>
          <w:rFonts w:ascii="Times New Roman Regular" w:eastAsia="宋体" w:hAnsi="Times New Roman Regular" w:cs="Times New Roman Regular"/>
          <w:kern w:val="0"/>
          <w:sz w:val="24"/>
          <w:shd w:val="clear" w:color="auto" w:fill="FFFFFF"/>
          <w:lang w:bidi="ar"/>
        </w:rPr>
        <w:t>Aarinen</w:t>
      </w:r>
      <w:proofErr w:type="spellEnd"/>
      <w:r>
        <w:rPr>
          <w:rFonts w:ascii="Times New Roman Regular" w:eastAsia="宋体" w:hAnsi="Times New Roman Regular" w:cs="Times New Roman Regular"/>
          <w:kern w:val="0"/>
          <w:sz w:val="24"/>
          <w:shd w:val="clear" w:color="auto" w:fill="FFFFFF"/>
          <w:lang w:bidi="ar"/>
        </w:rPr>
        <w:t>, J. (2019). </w:t>
      </w:r>
      <w:r>
        <w:rPr>
          <w:rFonts w:ascii="Times New Roman Regular" w:eastAsia="宋体" w:hAnsi="Times New Roman Regular" w:cs="Times New Roman Regular"/>
          <w:i/>
          <w:iCs/>
          <w:kern w:val="0"/>
          <w:sz w:val="24"/>
          <w:lang w:bidi="ar"/>
        </w:rPr>
        <w:t>Teaching and learning English pronunciation in Finland</w:t>
      </w:r>
      <w:r>
        <w:rPr>
          <w:rFonts w:ascii="Times New Roman Regular" w:eastAsia="宋体" w:hAnsi="Times New Roman Regular" w:cs="Times New Roman Regular"/>
          <w:kern w:val="0"/>
          <w:sz w:val="24"/>
          <w:shd w:val="clear" w:color="auto" w:fill="FFFFFF"/>
          <w:lang w:bidi="ar"/>
        </w:rPr>
        <w:t xml:space="preserve"> (Bachelor's thesis, J. </w:t>
      </w:r>
      <w:proofErr w:type="spellStart"/>
      <w:r>
        <w:rPr>
          <w:rFonts w:ascii="Times New Roman Regular" w:eastAsia="宋体" w:hAnsi="Times New Roman Regular" w:cs="Times New Roman Regular"/>
          <w:kern w:val="0"/>
          <w:sz w:val="24"/>
          <w:shd w:val="clear" w:color="auto" w:fill="FFFFFF"/>
          <w:lang w:bidi="ar"/>
        </w:rPr>
        <w:t>Aarinen</w:t>
      </w:r>
      <w:proofErr w:type="spellEnd"/>
      <w:r>
        <w:rPr>
          <w:rFonts w:ascii="Times New Roman Regular" w:eastAsia="宋体" w:hAnsi="Times New Roman Regular" w:cs="Times New Roman Regular"/>
          <w:kern w:val="0"/>
          <w:sz w:val="24"/>
          <w:shd w:val="clear" w:color="auto" w:fill="FFFFFF"/>
          <w:lang w:bidi="ar"/>
        </w:rPr>
        <w:t>).</w:t>
      </w:r>
    </w:p>
    <w:p w14:paraId="5AF2E08A" w14:textId="77777777" w:rsidR="002E7E0D" w:rsidRDefault="002E7E0D" w:rsidP="002E7E0D">
      <w:pPr>
        <w:spacing w:line="360" w:lineRule="auto"/>
        <w:rPr>
          <w:rFonts w:ascii="Times New Roman Regular" w:hAnsi="Times New Roman Regular" w:cs="Times New Roman Regular" w:hint="eastAsia"/>
          <w:sz w:val="24"/>
        </w:rPr>
      </w:pPr>
    </w:p>
    <w:p w14:paraId="329CE533" w14:textId="77777777" w:rsidR="002E7E0D" w:rsidRDefault="002E7E0D" w:rsidP="002E7E0D">
      <w:pPr>
        <w:widowControl/>
        <w:spacing w:line="360" w:lineRule="auto"/>
        <w:jc w:val="left"/>
        <w:rPr>
          <w:rFonts w:ascii="Times New Roman Regular" w:eastAsia="宋体" w:hAnsi="Times New Roman Regular" w:cs="Times New Roman Regular" w:hint="eastAsia"/>
          <w:kern w:val="0"/>
          <w:sz w:val="24"/>
          <w:shd w:val="clear" w:color="auto" w:fill="FFFFFF"/>
          <w:lang w:bidi="ar"/>
        </w:rPr>
      </w:pPr>
      <w:r>
        <w:rPr>
          <w:rFonts w:ascii="Times New Roman Regular" w:eastAsia="宋体" w:hAnsi="Times New Roman Regular" w:cs="Times New Roman Regular"/>
          <w:kern w:val="0"/>
          <w:sz w:val="24"/>
          <w:shd w:val="clear" w:color="auto" w:fill="FFFFFF"/>
          <w:lang w:bidi="ar"/>
        </w:rPr>
        <w:t>Abdullaev, Z. K. (2021). Second language learning. </w:t>
      </w:r>
      <w:r>
        <w:rPr>
          <w:rFonts w:ascii="Times New Roman Regular" w:eastAsia="宋体" w:hAnsi="Times New Roman Regular" w:cs="Times New Roman Regular"/>
          <w:i/>
          <w:iCs/>
          <w:kern w:val="0"/>
          <w:sz w:val="24"/>
          <w:lang w:bidi="ar"/>
        </w:rPr>
        <w:t>Mental Enlightenment Scientific-Methodological Journal</w:t>
      </w:r>
      <w:r>
        <w:rPr>
          <w:rFonts w:ascii="Times New Roman Regular" w:eastAsia="宋体" w:hAnsi="Times New Roman Regular" w:cs="Times New Roman Regular"/>
          <w:kern w:val="0"/>
          <w:sz w:val="24"/>
          <w:shd w:val="clear" w:color="auto" w:fill="FFFFFF"/>
          <w:lang w:bidi="ar"/>
        </w:rPr>
        <w:t>, </w:t>
      </w:r>
      <w:r>
        <w:rPr>
          <w:rFonts w:ascii="Times New Roman Regular" w:eastAsia="宋体" w:hAnsi="Times New Roman Regular" w:cs="Times New Roman Regular"/>
          <w:kern w:val="0"/>
          <w:sz w:val="24"/>
          <w:lang w:bidi="ar"/>
        </w:rPr>
        <w:t>2021</w:t>
      </w:r>
      <w:r>
        <w:rPr>
          <w:rFonts w:ascii="Times New Roman Regular" w:eastAsia="宋体" w:hAnsi="Times New Roman Regular" w:cs="Times New Roman Regular"/>
          <w:kern w:val="0"/>
          <w:sz w:val="24"/>
          <w:shd w:val="clear" w:color="auto" w:fill="FFFFFF"/>
          <w:lang w:bidi="ar"/>
        </w:rPr>
        <w:t>(06), pp.1-11.</w:t>
      </w:r>
    </w:p>
    <w:p w14:paraId="4811B1EA" w14:textId="77777777" w:rsidR="002E7E0D" w:rsidRDefault="002E7E0D" w:rsidP="002E7E0D">
      <w:pPr>
        <w:widowControl/>
        <w:spacing w:line="360" w:lineRule="auto"/>
        <w:jc w:val="left"/>
        <w:rPr>
          <w:rFonts w:ascii="Times New Roman Regular" w:eastAsia="宋体" w:hAnsi="Times New Roman Regular" w:cs="Times New Roman Regular" w:hint="eastAsia"/>
          <w:kern w:val="0"/>
          <w:sz w:val="24"/>
          <w:shd w:val="clear" w:color="auto" w:fill="FFFFFF"/>
          <w:lang w:bidi="ar"/>
        </w:rPr>
      </w:pPr>
    </w:p>
    <w:p w14:paraId="69E3366C" w14:textId="77777777" w:rsidR="002E7E0D" w:rsidRDefault="002E7E0D" w:rsidP="002E7E0D">
      <w:pPr>
        <w:widowControl/>
        <w:spacing w:line="360" w:lineRule="auto"/>
        <w:jc w:val="left"/>
        <w:rPr>
          <w:rFonts w:ascii="Times New Roman Regular" w:hAnsi="Times New Roman Regular" w:cs="Times New Roman Regular" w:hint="eastAsia"/>
          <w:sz w:val="24"/>
        </w:rPr>
      </w:pPr>
      <w:proofErr w:type="spellStart"/>
      <w:r>
        <w:rPr>
          <w:rFonts w:ascii="Times New Roman Regular" w:eastAsia="宋体" w:hAnsi="Times New Roman Regular" w:cs="Times New Roman Regular"/>
          <w:kern w:val="0"/>
          <w:sz w:val="24"/>
          <w:shd w:val="clear" w:color="auto" w:fill="FFFFFF"/>
          <w:lang w:bidi="ar"/>
        </w:rPr>
        <w:t>Chamot</w:t>
      </w:r>
      <w:proofErr w:type="spellEnd"/>
      <w:r>
        <w:rPr>
          <w:rFonts w:ascii="Times New Roman Regular" w:eastAsia="宋体" w:hAnsi="Times New Roman Regular" w:cs="Times New Roman Regular"/>
          <w:kern w:val="0"/>
          <w:sz w:val="24"/>
          <w:shd w:val="clear" w:color="auto" w:fill="FFFFFF"/>
          <w:lang w:bidi="ar"/>
        </w:rPr>
        <w:t>, A. U. (2005). Language learning strategy instruction: Current issues and research. </w:t>
      </w:r>
      <w:r>
        <w:rPr>
          <w:rFonts w:ascii="Times New Roman Regular" w:eastAsia="宋体" w:hAnsi="Times New Roman Regular" w:cs="Times New Roman Regular"/>
          <w:i/>
          <w:iCs/>
          <w:kern w:val="0"/>
          <w:sz w:val="24"/>
          <w:lang w:bidi="ar"/>
        </w:rPr>
        <w:t>Annual review of applied linguistics</w:t>
      </w:r>
      <w:r>
        <w:rPr>
          <w:rFonts w:ascii="Times New Roman Regular" w:eastAsia="宋体" w:hAnsi="Times New Roman Regular" w:cs="Times New Roman Regular"/>
          <w:kern w:val="0"/>
          <w:sz w:val="24"/>
          <w:shd w:val="clear" w:color="auto" w:fill="FFFFFF"/>
          <w:lang w:bidi="ar"/>
        </w:rPr>
        <w:t>, </w:t>
      </w:r>
      <w:r>
        <w:rPr>
          <w:rFonts w:ascii="Times New Roman Regular" w:eastAsia="宋体" w:hAnsi="Times New Roman Regular" w:cs="Times New Roman Regular"/>
          <w:kern w:val="0"/>
          <w:sz w:val="24"/>
          <w:lang w:bidi="ar"/>
        </w:rPr>
        <w:t>25</w:t>
      </w:r>
      <w:r>
        <w:rPr>
          <w:rFonts w:ascii="Times New Roman Regular" w:eastAsia="宋体" w:hAnsi="Times New Roman Regular" w:cs="Times New Roman Regular"/>
          <w:kern w:val="0"/>
          <w:sz w:val="24"/>
          <w:shd w:val="clear" w:color="auto" w:fill="FFFFFF"/>
          <w:lang w:bidi="ar"/>
        </w:rPr>
        <w:t>, pp.112-130.</w:t>
      </w:r>
    </w:p>
    <w:p w14:paraId="4CABB3F6" w14:textId="77777777" w:rsidR="002E7E0D" w:rsidRDefault="002E7E0D" w:rsidP="002E7E0D">
      <w:pPr>
        <w:widowControl/>
        <w:spacing w:line="360" w:lineRule="auto"/>
        <w:jc w:val="left"/>
        <w:rPr>
          <w:rFonts w:ascii="Times New Roman Regular" w:eastAsia="宋体" w:hAnsi="Times New Roman Regular" w:cs="Times New Roman Regular" w:hint="eastAsia"/>
          <w:kern w:val="0"/>
          <w:sz w:val="24"/>
          <w:shd w:val="clear" w:color="auto" w:fill="FFFFFF"/>
          <w:lang w:bidi="ar"/>
        </w:rPr>
      </w:pPr>
    </w:p>
    <w:p w14:paraId="7223BF54" w14:textId="77777777" w:rsidR="002E7E0D" w:rsidRDefault="002E7E0D" w:rsidP="002E7E0D">
      <w:pPr>
        <w:widowControl/>
        <w:spacing w:line="360" w:lineRule="auto"/>
        <w:jc w:val="left"/>
        <w:rPr>
          <w:rFonts w:ascii="Times New Roman Regular" w:hAnsi="Times New Roman Regular" w:cs="Times New Roman Regular" w:hint="eastAsia"/>
          <w:sz w:val="24"/>
        </w:rPr>
      </w:pPr>
      <w:r>
        <w:rPr>
          <w:rFonts w:ascii="Times New Roman Regular" w:eastAsia="宋体" w:hAnsi="Times New Roman Regular" w:cs="Times New Roman Regular"/>
          <w:kern w:val="0"/>
          <w:sz w:val="24"/>
          <w:shd w:val="clear" w:color="auto" w:fill="FFFFFF"/>
          <w:lang w:bidi="ar"/>
        </w:rPr>
        <w:t>Dörnyei, Z. (2014). </w:t>
      </w:r>
      <w:r>
        <w:rPr>
          <w:rFonts w:ascii="Times New Roman Regular" w:eastAsia="宋体" w:hAnsi="Times New Roman Regular" w:cs="Times New Roman Regular"/>
          <w:i/>
          <w:iCs/>
          <w:kern w:val="0"/>
          <w:sz w:val="24"/>
          <w:lang w:bidi="ar"/>
        </w:rPr>
        <w:t>The psychology of the language learner: Individual differences in second language acquisition</w:t>
      </w:r>
      <w:r>
        <w:rPr>
          <w:rFonts w:ascii="Times New Roman Regular" w:eastAsia="宋体" w:hAnsi="Times New Roman Regular" w:cs="Times New Roman Regular"/>
          <w:kern w:val="0"/>
          <w:sz w:val="24"/>
          <w:shd w:val="clear" w:color="auto" w:fill="FFFFFF"/>
          <w:lang w:bidi="ar"/>
        </w:rPr>
        <w:t>. Routledge.</w:t>
      </w:r>
    </w:p>
    <w:p w14:paraId="606FE6FC" w14:textId="77777777" w:rsidR="002E7E0D" w:rsidRDefault="002E7E0D" w:rsidP="002E7E0D">
      <w:pPr>
        <w:widowControl/>
        <w:spacing w:line="360" w:lineRule="auto"/>
        <w:jc w:val="left"/>
        <w:rPr>
          <w:rFonts w:ascii="Times New Roman Regular" w:eastAsia="宋体" w:hAnsi="Times New Roman Regular" w:cs="Times New Roman Regular" w:hint="eastAsia"/>
          <w:kern w:val="0"/>
          <w:sz w:val="24"/>
          <w:shd w:val="clear" w:color="auto" w:fill="FFFFFF"/>
          <w:lang w:bidi="ar"/>
        </w:rPr>
      </w:pPr>
    </w:p>
    <w:p w14:paraId="3FFD39EC" w14:textId="77777777" w:rsidR="002E7E0D" w:rsidRDefault="002E7E0D" w:rsidP="002E7E0D">
      <w:pPr>
        <w:widowControl/>
        <w:spacing w:line="360" w:lineRule="auto"/>
        <w:jc w:val="left"/>
        <w:rPr>
          <w:rFonts w:ascii="Times New Roman Regular" w:hAnsi="Times New Roman Regular" w:cs="Times New Roman Regular" w:hint="eastAsia"/>
          <w:sz w:val="24"/>
        </w:rPr>
      </w:pPr>
      <w:r>
        <w:rPr>
          <w:rFonts w:ascii="Times New Roman Regular" w:eastAsia="宋体" w:hAnsi="Times New Roman Regular" w:cs="Times New Roman Regular"/>
          <w:kern w:val="0"/>
          <w:sz w:val="24"/>
          <w:shd w:val="clear" w:color="auto" w:fill="FFFFFF"/>
          <w:lang w:bidi="ar"/>
        </w:rPr>
        <w:t>Ellis, R. (2004). Individual differences in second language learning. </w:t>
      </w:r>
      <w:r>
        <w:rPr>
          <w:rFonts w:ascii="Times New Roman Regular" w:eastAsia="宋体" w:hAnsi="Times New Roman Regular" w:cs="Times New Roman Regular"/>
          <w:i/>
          <w:iCs/>
          <w:kern w:val="0"/>
          <w:sz w:val="24"/>
          <w:lang w:bidi="ar"/>
        </w:rPr>
        <w:t>The handbook of applied linguistics</w:t>
      </w:r>
      <w:r>
        <w:rPr>
          <w:rFonts w:ascii="Times New Roman Regular" w:eastAsia="宋体" w:hAnsi="Times New Roman Regular" w:cs="Times New Roman Regular"/>
          <w:kern w:val="0"/>
          <w:sz w:val="24"/>
          <w:shd w:val="clear" w:color="auto" w:fill="FFFFFF"/>
          <w:lang w:bidi="ar"/>
        </w:rPr>
        <w:t>, pp.525-551.</w:t>
      </w:r>
    </w:p>
    <w:p w14:paraId="70A3ED8B" w14:textId="77777777" w:rsidR="002E7E0D" w:rsidRDefault="002E7E0D" w:rsidP="002E7E0D">
      <w:pPr>
        <w:widowControl/>
        <w:spacing w:line="360" w:lineRule="auto"/>
        <w:jc w:val="left"/>
        <w:rPr>
          <w:rFonts w:ascii="Times New Roman Regular" w:eastAsia="宋体" w:hAnsi="Times New Roman Regular" w:cs="Times New Roman Regular" w:hint="eastAsia"/>
          <w:kern w:val="0"/>
          <w:sz w:val="24"/>
          <w:shd w:val="clear" w:color="auto" w:fill="FFFFFF"/>
          <w:lang w:bidi="ar"/>
        </w:rPr>
      </w:pPr>
    </w:p>
    <w:p w14:paraId="5BDCF364" w14:textId="77777777" w:rsidR="002E7E0D" w:rsidRDefault="002E7E0D" w:rsidP="002E7E0D">
      <w:pPr>
        <w:widowControl/>
        <w:spacing w:line="360" w:lineRule="auto"/>
        <w:jc w:val="left"/>
        <w:rPr>
          <w:rFonts w:ascii="Times New Roman Regular" w:hAnsi="Times New Roman Regular" w:cs="Times New Roman Regular" w:hint="eastAsia"/>
          <w:sz w:val="24"/>
        </w:rPr>
      </w:pPr>
      <w:r>
        <w:rPr>
          <w:rFonts w:ascii="Times New Roman Regular" w:eastAsia="宋体" w:hAnsi="Times New Roman Regular" w:cs="Times New Roman Regular"/>
          <w:kern w:val="0"/>
          <w:sz w:val="24"/>
          <w:shd w:val="clear" w:color="auto" w:fill="FFFFFF"/>
          <w:lang w:bidi="ar"/>
        </w:rPr>
        <w:t>Klein, W. (1986). </w:t>
      </w:r>
      <w:r>
        <w:rPr>
          <w:rFonts w:ascii="Times New Roman Regular" w:eastAsia="宋体" w:hAnsi="Times New Roman Regular" w:cs="Times New Roman Regular"/>
          <w:i/>
          <w:iCs/>
          <w:kern w:val="0"/>
          <w:sz w:val="24"/>
          <w:lang w:bidi="ar"/>
        </w:rPr>
        <w:t>Second language acquisition</w:t>
      </w:r>
      <w:r>
        <w:rPr>
          <w:rFonts w:ascii="Times New Roman Regular" w:eastAsia="宋体" w:hAnsi="Times New Roman Regular" w:cs="Times New Roman Regular"/>
          <w:kern w:val="0"/>
          <w:sz w:val="24"/>
          <w:shd w:val="clear" w:color="auto" w:fill="FFFFFF"/>
          <w:lang w:bidi="ar"/>
        </w:rPr>
        <w:t>. Cambridge University Press.</w:t>
      </w:r>
    </w:p>
    <w:p w14:paraId="467233F2" w14:textId="77777777" w:rsidR="002E7E0D" w:rsidRDefault="002E7E0D" w:rsidP="002E7E0D">
      <w:pPr>
        <w:widowControl/>
        <w:spacing w:line="360" w:lineRule="auto"/>
        <w:jc w:val="left"/>
        <w:rPr>
          <w:rFonts w:ascii="Times New Roman Regular" w:eastAsia="宋体" w:hAnsi="Times New Roman Regular" w:cs="Times New Roman Regular" w:hint="eastAsia"/>
          <w:kern w:val="0"/>
          <w:sz w:val="24"/>
          <w:shd w:val="clear" w:color="auto" w:fill="FFFFFF"/>
          <w:lang w:bidi="ar"/>
        </w:rPr>
      </w:pPr>
    </w:p>
    <w:p w14:paraId="263FA4FB" w14:textId="77777777" w:rsidR="002E7E0D" w:rsidRDefault="002E7E0D" w:rsidP="002E7E0D">
      <w:pPr>
        <w:widowControl/>
        <w:spacing w:line="360" w:lineRule="auto"/>
        <w:jc w:val="left"/>
        <w:rPr>
          <w:rFonts w:ascii="Times New Roman Regular" w:hAnsi="Times New Roman Regular" w:cs="Times New Roman Regular" w:hint="eastAsia"/>
          <w:sz w:val="24"/>
        </w:rPr>
      </w:pPr>
      <w:r>
        <w:rPr>
          <w:rFonts w:ascii="Times New Roman Regular" w:eastAsia="宋体" w:hAnsi="Times New Roman Regular" w:cs="Times New Roman Regular"/>
          <w:kern w:val="0"/>
          <w:sz w:val="24"/>
          <w:shd w:val="clear" w:color="auto" w:fill="FFFFFF"/>
          <w:lang w:bidi="ar"/>
        </w:rPr>
        <w:t>Krashen, S. (1992). The input hypothesis: An update. </w:t>
      </w:r>
      <w:r>
        <w:rPr>
          <w:rFonts w:ascii="Times New Roman Regular" w:eastAsia="宋体" w:hAnsi="Times New Roman Regular" w:cs="Times New Roman Regular"/>
          <w:i/>
          <w:iCs/>
          <w:kern w:val="0"/>
          <w:sz w:val="24"/>
          <w:lang w:bidi="ar"/>
        </w:rPr>
        <w:t>Linguistics and language pedagogy: The state of the art</w:t>
      </w:r>
      <w:r>
        <w:rPr>
          <w:rFonts w:ascii="Times New Roman Regular" w:eastAsia="宋体" w:hAnsi="Times New Roman Regular" w:cs="Times New Roman Regular"/>
          <w:kern w:val="0"/>
          <w:sz w:val="24"/>
          <w:shd w:val="clear" w:color="auto" w:fill="FFFFFF"/>
          <w:lang w:bidi="ar"/>
        </w:rPr>
        <w:t>, pp.409-431.</w:t>
      </w:r>
    </w:p>
    <w:p w14:paraId="72A8F165" w14:textId="77777777" w:rsidR="002E7E0D" w:rsidRDefault="002E7E0D" w:rsidP="002E7E0D">
      <w:pPr>
        <w:widowControl/>
        <w:spacing w:line="360" w:lineRule="auto"/>
        <w:jc w:val="left"/>
        <w:rPr>
          <w:rFonts w:ascii="Times New Roman Regular" w:eastAsia="宋体" w:hAnsi="Times New Roman Regular" w:cs="Times New Roman Regular" w:hint="eastAsia"/>
          <w:kern w:val="0"/>
          <w:sz w:val="24"/>
          <w:shd w:val="clear" w:color="auto" w:fill="FFFFFF"/>
          <w:lang w:bidi="ar"/>
        </w:rPr>
      </w:pPr>
    </w:p>
    <w:p w14:paraId="5641A314" w14:textId="77777777" w:rsidR="002E7E0D" w:rsidRDefault="002E7E0D" w:rsidP="002E7E0D">
      <w:pPr>
        <w:widowControl/>
        <w:spacing w:line="360" w:lineRule="auto"/>
        <w:jc w:val="left"/>
        <w:rPr>
          <w:rFonts w:ascii="Times New Roman Regular" w:eastAsia="宋体" w:hAnsi="Times New Roman Regular" w:cs="Times New Roman Regular" w:hint="eastAsia"/>
          <w:kern w:val="0"/>
          <w:sz w:val="24"/>
          <w:shd w:val="clear" w:color="auto" w:fill="FFFFFF"/>
          <w:lang w:bidi="ar"/>
        </w:rPr>
      </w:pPr>
      <w:r>
        <w:rPr>
          <w:rFonts w:ascii="Times New Roman Regular" w:eastAsia="宋体" w:hAnsi="Times New Roman Regular" w:cs="Times New Roman Regular"/>
          <w:kern w:val="0"/>
          <w:sz w:val="24"/>
          <w:shd w:val="clear" w:color="auto" w:fill="FFFFFF"/>
          <w:lang w:bidi="ar"/>
        </w:rPr>
        <w:t xml:space="preserve">Lennon, P. (1993). The advanced learner: affective, social and motivational factors. </w:t>
      </w:r>
      <w:r>
        <w:rPr>
          <w:rFonts w:ascii="Times New Roman Regular" w:eastAsia="宋体" w:hAnsi="Times New Roman Regular" w:cs="Times New Roman Regular"/>
          <w:i/>
          <w:iCs/>
          <w:kern w:val="0"/>
          <w:sz w:val="24"/>
          <w:shd w:val="clear" w:color="auto" w:fill="FFFFFF"/>
          <w:lang w:bidi="ar"/>
        </w:rPr>
        <w:t>The Language Learning Journal,</w:t>
      </w:r>
      <w:r>
        <w:rPr>
          <w:rFonts w:ascii="Times New Roman Regular" w:eastAsia="宋体" w:hAnsi="Times New Roman Regular" w:cs="Times New Roman Regular"/>
          <w:kern w:val="0"/>
          <w:sz w:val="24"/>
          <w:shd w:val="clear" w:color="auto" w:fill="FFFFFF"/>
          <w:lang w:bidi="ar"/>
        </w:rPr>
        <w:t xml:space="preserve"> 8(1), pp. 39-43. </w:t>
      </w:r>
    </w:p>
    <w:p w14:paraId="2F1A2BFB" w14:textId="77777777" w:rsidR="002E7E0D" w:rsidRDefault="002E7E0D" w:rsidP="002E7E0D">
      <w:pPr>
        <w:spacing w:line="360" w:lineRule="auto"/>
        <w:rPr>
          <w:rFonts w:ascii="Times New Roman Regular" w:hAnsi="Times New Roman Regular" w:cs="Times New Roman Regular" w:hint="eastAsia"/>
          <w:sz w:val="24"/>
        </w:rPr>
      </w:pPr>
    </w:p>
    <w:p w14:paraId="1A15FD60" w14:textId="77777777" w:rsidR="002E7E0D" w:rsidRDefault="002E7E0D" w:rsidP="002E7E0D">
      <w:pPr>
        <w:spacing w:line="360" w:lineRule="auto"/>
        <w:rPr>
          <w:rFonts w:ascii="Times New Roman Regular" w:hAnsi="Times New Roman Regular" w:cs="Times New Roman Regular" w:hint="eastAsia"/>
          <w:sz w:val="24"/>
        </w:rPr>
      </w:pPr>
      <w:r>
        <w:rPr>
          <w:rFonts w:ascii="Times New Roman Regular" w:hAnsi="Times New Roman Regular" w:cs="Times New Roman Regular"/>
          <w:sz w:val="24"/>
        </w:rPr>
        <w:t>Lightbown, P.M. and Spada, N. (2000). Factors affecting second language learning. In Candlin, C.N. and Mercer, N. (2000).</w:t>
      </w:r>
      <w:r>
        <w:rPr>
          <w:rFonts w:ascii="Times New Roman Regular" w:hAnsi="Times New Roman Regular" w:cs="Times New Roman Regular"/>
          <w:i/>
          <w:iCs/>
          <w:sz w:val="24"/>
        </w:rPr>
        <w:t xml:space="preserve"> English language teaching in its social context. </w:t>
      </w:r>
      <w:r>
        <w:rPr>
          <w:rFonts w:ascii="Times New Roman Regular" w:hAnsi="Times New Roman Regular" w:cs="Times New Roman Regular"/>
          <w:sz w:val="24"/>
        </w:rPr>
        <w:t>Routledge London.</w:t>
      </w:r>
    </w:p>
    <w:p w14:paraId="58A60066" w14:textId="77777777" w:rsidR="002E7E0D" w:rsidRDefault="002E7E0D" w:rsidP="002E7E0D">
      <w:pPr>
        <w:spacing w:line="360" w:lineRule="auto"/>
        <w:rPr>
          <w:rFonts w:ascii="Times New Roman Regular" w:hAnsi="Times New Roman Regular" w:cs="Times New Roman Regular" w:hint="eastAsia"/>
          <w:sz w:val="24"/>
        </w:rPr>
      </w:pPr>
    </w:p>
    <w:p w14:paraId="736A2F8E" w14:textId="77777777" w:rsidR="002E7E0D" w:rsidRDefault="002E7E0D" w:rsidP="002E7E0D">
      <w:pPr>
        <w:widowControl/>
        <w:spacing w:line="360" w:lineRule="auto"/>
        <w:jc w:val="left"/>
        <w:rPr>
          <w:rFonts w:ascii="Times New Roman Regular" w:hAnsi="Times New Roman Regular" w:cs="Times New Roman Regular" w:hint="eastAsia"/>
          <w:sz w:val="24"/>
        </w:rPr>
      </w:pPr>
      <w:proofErr w:type="spellStart"/>
      <w:r>
        <w:rPr>
          <w:rFonts w:ascii="Times New Roman Regular" w:eastAsia="宋体" w:hAnsi="Times New Roman Regular" w:cs="Times New Roman Regular"/>
          <w:kern w:val="0"/>
          <w:sz w:val="24"/>
          <w:shd w:val="clear" w:color="auto" w:fill="FFFFFF"/>
          <w:lang w:bidi="ar"/>
        </w:rPr>
        <w:lastRenderedPageBreak/>
        <w:t>Lintangsari</w:t>
      </w:r>
      <w:proofErr w:type="spellEnd"/>
      <w:r>
        <w:rPr>
          <w:rFonts w:ascii="Times New Roman Regular" w:eastAsia="宋体" w:hAnsi="Times New Roman Regular" w:cs="Times New Roman Regular"/>
          <w:kern w:val="0"/>
          <w:sz w:val="24"/>
          <w:shd w:val="clear" w:color="auto" w:fill="FFFFFF"/>
          <w:lang w:bidi="ar"/>
        </w:rPr>
        <w:t xml:space="preserve">, A. P., and </w:t>
      </w:r>
      <w:proofErr w:type="spellStart"/>
      <w:r>
        <w:rPr>
          <w:rFonts w:ascii="Times New Roman Regular" w:eastAsia="宋体" w:hAnsi="Times New Roman Regular" w:cs="Times New Roman Regular"/>
          <w:kern w:val="0"/>
          <w:sz w:val="24"/>
          <w:shd w:val="clear" w:color="auto" w:fill="FFFFFF"/>
          <w:lang w:bidi="ar"/>
        </w:rPr>
        <w:t>Emaliana</w:t>
      </w:r>
      <w:proofErr w:type="spellEnd"/>
      <w:r>
        <w:rPr>
          <w:rFonts w:ascii="Times New Roman Regular" w:eastAsia="宋体" w:hAnsi="Times New Roman Regular" w:cs="Times New Roman Regular"/>
          <w:kern w:val="0"/>
          <w:sz w:val="24"/>
          <w:shd w:val="clear" w:color="auto" w:fill="FFFFFF"/>
          <w:lang w:bidi="ar"/>
        </w:rPr>
        <w:t>, I. (2020). Inclusive Education Services for the Blind: Values, Roles, and Challenges of University EFL Teachers. </w:t>
      </w:r>
      <w:r>
        <w:rPr>
          <w:rFonts w:ascii="Times New Roman Regular" w:eastAsia="宋体" w:hAnsi="Times New Roman Regular" w:cs="Times New Roman Regular"/>
          <w:i/>
          <w:iCs/>
          <w:kern w:val="0"/>
          <w:sz w:val="24"/>
          <w:lang w:bidi="ar"/>
        </w:rPr>
        <w:t>International Journal of Evaluation and Research in Education</w:t>
      </w:r>
      <w:r>
        <w:rPr>
          <w:rFonts w:ascii="Times New Roman Regular" w:eastAsia="宋体" w:hAnsi="Times New Roman Regular" w:cs="Times New Roman Regular"/>
          <w:kern w:val="0"/>
          <w:sz w:val="24"/>
          <w:shd w:val="clear" w:color="auto" w:fill="FFFFFF"/>
          <w:lang w:bidi="ar"/>
        </w:rPr>
        <w:t>, </w:t>
      </w:r>
      <w:r>
        <w:rPr>
          <w:rFonts w:ascii="Times New Roman Regular" w:eastAsia="宋体" w:hAnsi="Times New Roman Regular" w:cs="Times New Roman Regular"/>
          <w:kern w:val="0"/>
          <w:sz w:val="24"/>
          <w:lang w:bidi="ar"/>
        </w:rPr>
        <w:t>9</w:t>
      </w:r>
      <w:r>
        <w:rPr>
          <w:rFonts w:ascii="Times New Roman Regular" w:eastAsia="宋体" w:hAnsi="Times New Roman Regular" w:cs="Times New Roman Regular"/>
          <w:kern w:val="0"/>
          <w:sz w:val="24"/>
          <w:shd w:val="clear" w:color="auto" w:fill="FFFFFF"/>
          <w:lang w:bidi="ar"/>
        </w:rPr>
        <w:t>(2), pp.439-447.</w:t>
      </w:r>
    </w:p>
    <w:p w14:paraId="4BAF4702" w14:textId="77777777" w:rsidR="002E7E0D" w:rsidRDefault="002E7E0D" w:rsidP="002E7E0D">
      <w:pPr>
        <w:spacing w:line="360" w:lineRule="auto"/>
        <w:rPr>
          <w:rFonts w:ascii="Times New Roman Regular" w:hAnsi="Times New Roman Regular" w:cs="Times New Roman Regular" w:hint="eastAsia"/>
          <w:sz w:val="24"/>
        </w:rPr>
      </w:pPr>
    </w:p>
    <w:p w14:paraId="1E43EB46" w14:textId="77777777" w:rsidR="002E7E0D" w:rsidRDefault="002E7E0D" w:rsidP="002E7E0D">
      <w:pPr>
        <w:widowControl/>
        <w:spacing w:line="360" w:lineRule="auto"/>
        <w:jc w:val="left"/>
        <w:rPr>
          <w:rFonts w:ascii="Times New Roman Regular" w:hAnsi="Times New Roman Regular" w:cs="Times New Roman Regular" w:hint="eastAsia"/>
          <w:sz w:val="24"/>
        </w:rPr>
      </w:pPr>
      <w:r>
        <w:rPr>
          <w:rFonts w:ascii="Times New Roman Regular" w:eastAsia="宋体" w:hAnsi="Times New Roman Regular" w:cs="Times New Roman Regular"/>
          <w:kern w:val="0"/>
          <w:sz w:val="24"/>
          <w:shd w:val="clear" w:color="auto" w:fill="FFFFFF"/>
          <w:lang w:bidi="ar"/>
        </w:rPr>
        <w:t>Mitchell, R., Myles, F., and Marsden, E. (2019). </w:t>
      </w:r>
      <w:r>
        <w:rPr>
          <w:rFonts w:ascii="Times New Roman Regular" w:eastAsia="宋体" w:hAnsi="Times New Roman Regular" w:cs="Times New Roman Regular"/>
          <w:i/>
          <w:iCs/>
          <w:kern w:val="0"/>
          <w:sz w:val="24"/>
          <w:lang w:bidi="ar"/>
        </w:rPr>
        <w:t>Second language learning theories</w:t>
      </w:r>
      <w:r>
        <w:rPr>
          <w:rFonts w:ascii="Times New Roman Regular" w:eastAsia="宋体" w:hAnsi="Times New Roman Regular" w:cs="Times New Roman Regular"/>
          <w:kern w:val="0"/>
          <w:sz w:val="24"/>
          <w:shd w:val="clear" w:color="auto" w:fill="FFFFFF"/>
          <w:lang w:bidi="ar"/>
        </w:rPr>
        <w:t>. Routledge.</w:t>
      </w:r>
    </w:p>
    <w:p w14:paraId="2EA5A436" w14:textId="77777777" w:rsidR="002E7E0D" w:rsidRDefault="002E7E0D" w:rsidP="002E7E0D">
      <w:pPr>
        <w:spacing w:line="360" w:lineRule="auto"/>
        <w:rPr>
          <w:rFonts w:ascii="Times New Roman Regular" w:hAnsi="Times New Roman Regular" w:cs="Times New Roman Regular" w:hint="eastAsia"/>
          <w:sz w:val="24"/>
        </w:rPr>
      </w:pPr>
    </w:p>
    <w:p w14:paraId="239985E8" w14:textId="77777777" w:rsidR="002E7E0D" w:rsidRDefault="002E7E0D" w:rsidP="002E7E0D">
      <w:pPr>
        <w:spacing w:line="360" w:lineRule="auto"/>
        <w:rPr>
          <w:rFonts w:ascii="Times New Roman Regular" w:hAnsi="Times New Roman Regular" w:cs="Times New Roman Regular" w:hint="eastAsia"/>
          <w:sz w:val="24"/>
        </w:rPr>
      </w:pPr>
      <w:r>
        <w:rPr>
          <w:rFonts w:ascii="Times New Roman Regular" w:hAnsi="Times New Roman Regular" w:cs="Times New Roman Regular"/>
          <w:sz w:val="24"/>
        </w:rPr>
        <w:t>Singaravelu, G. (2012). Discovery learning strategies in English.</w:t>
      </w:r>
      <w:r>
        <w:rPr>
          <w:rFonts w:ascii="Times New Roman Regular" w:hAnsi="Times New Roman Regular" w:cs="Times New Roman Regular"/>
          <w:i/>
          <w:iCs/>
          <w:sz w:val="24"/>
        </w:rPr>
        <w:t xml:space="preserve"> Journal on English Language Teaching,</w:t>
      </w:r>
      <w:r>
        <w:rPr>
          <w:rFonts w:ascii="Times New Roman Regular" w:hAnsi="Times New Roman Regular" w:cs="Times New Roman Regular"/>
          <w:sz w:val="24"/>
        </w:rPr>
        <w:t xml:space="preserve"> 2(1), pp. 57-62. </w:t>
      </w:r>
    </w:p>
    <w:p w14:paraId="53B2EA66" w14:textId="77777777" w:rsidR="002E7E0D" w:rsidRDefault="002E7E0D" w:rsidP="002E7E0D">
      <w:pPr>
        <w:spacing w:line="360" w:lineRule="auto"/>
        <w:rPr>
          <w:rFonts w:ascii="Times New Roman Regular" w:hAnsi="Times New Roman Regular" w:cs="Times New Roman Regular" w:hint="eastAsia"/>
          <w:sz w:val="24"/>
        </w:rPr>
      </w:pPr>
    </w:p>
    <w:p w14:paraId="11D73216" w14:textId="77777777" w:rsidR="002E7E0D" w:rsidRDefault="002E7E0D" w:rsidP="002E7E0D">
      <w:pPr>
        <w:widowControl/>
        <w:spacing w:line="360" w:lineRule="auto"/>
        <w:jc w:val="left"/>
        <w:rPr>
          <w:rFonts w:ascii="Times New Roman Regular" w:hAnsi="Times New Roman Regular" w:cs="Times New Roman Regular" w:hint="eastAsia"/>
          <w:sz w:val="24"/>
        </w:rPr>
      </w:pPr>
      <w:r>
        <w:rPr>
          <w:rFonts w:ascii="Times New Roman Regular" w:eastAsia="宋体" w:hAnsi="Times New Roman Regular" w:cs="Times New Roman Regular"/>
          <w:kern w:val="0"/>
          <w:sz w:val="24"/>
          <w:shd w:val="clear" w:color="auto" w:fill="FFFFFF"/>
          <w:lang w:bidi="ar"/>
        </w:rPr>
        <w:t>Skehan, P. (1991). Individual differences in second language learning. </w:t>
      </w:r>
      <w:r>
        <w:rPr>
          <w:rFonts w:ascii="Times New Roman Regular" w:eastAsia="宋体" w:hAnsi="Times New Roman Regular" w:cs="Times New Roman Regular"/>
          <w:i/>
          <w:iCs/>
          <w:kern w:val="0"/>
          <w:sz w:val="24"/>
          <w:lang w:bidi="ar"/>
        </w:rPr>
        <w:t>Studies in second language acquisition</w:t>
      </w:r>
      <w:r>
        <w:rPr>
          <w:rFonts w:ascii="Times New Roman Regular" w:eastAsia="宋体" w:hAnsi="Times New Roman Regular" w:cs="Times New Roman Regular"/>
          <w:kern w:val="0"/>
          <w:sz w:val="24"/>
          <w:shd w:val="clear" w:color="auto" w:fill="FFFFFF"/>
          <w:lang w:bidi="ar"/>
        </w:rPr>
        <w:t>, </w:t>
      </w:r>
      <w:r>
        <w:rPr>
          <w:rFonts w:ascii="Times New Roman Regular" w:eastAsia="宋体" w:hAnsi="Times New Roman Regular" w:cs="Times New Roman Regular"/>
          <w:kern w:val="0"/>
          <w:sz w:val="24"/>
          <w:lang w:bidi="ar"/>
        </w:rPr>
        <w:t>13</w:t>
      </w:r>
      <w:r>
        <w:rPr>
          <w:rFonts w:ascii="Times New Roman Regular" w:eastAsia="宋体" w:hAnsi="Times New Roman Regular" w:cs="Times New Roman Regular"/>
          <w:kern w:val="0"/>
          <w:sz w:val="24"/>
          <w:shd w:val="clear" w:color="auto" w:fill="FFFFFF"/>
          <w:lang w:bidi="ar"/>
        </w:rPr>
        <w:t>(2), pp.275-298.</w:t>
      </w:r>
    </w:p>
    <w:p w14:paraId="07A9201B" w14:textId="77777777" w:rsidR="002E7E0D" w:rsidRDefault="002E7E0D" w:rsidP="002E7E0D">
      <w:pPr>
        <w:spacing w:line="360" w:lineRule="auto"/>
        <w:rPr>
          <w:rFonts w:ascii="Times New Roman Regular" w:hAnsi="Times New Roman Regular" w:cs="Times New Roman Regular" w:hint="eastAsia"/>
          <w:sz w:val="24"/>
        </w:rPr>
      </w:pPr>
    </w:p>
    <w:p w14:paraId="7E41626E" w14:textId="77777777" w:rsidR="002E7E0D" w:rsidRDefault="002E7E0D" w:rsidP="002E7E0D">
      <w:pPr>
        <w:spacing w:line="360" w:lineRule="auto"/>
        <w:rPr>
          <w:rFonts w:ascii="Times New Roman Regular" w:hAnsi="Times New Roman Regular" w:cs="Times New Roman Regular" w:hint="eastAsia"/>
          <w:sz w:val="24"/>
        </w:rPr>
      </w:pPr>
      <w:proofErr w:type="spellStart"/>
      <w:r>
        <w:rPr>
          <w:rFonts w:ascii="Times New Roman Regular" w:hAnsi="Times New Roman Regular" w:cs="Times New Roman Regular"/>
          <w:sz w:val="24"/>
        </w:rPr>
        <w:t>Spolsky</w:t>
      </w:r>
      <w:proofErr w:type="spellEnd"/>
      <w:r>
        <w:rPr>
          <w:rFonts w:ascii="Times New Roman Regular" w:hAnsi="Times New Roman Regular" w:cs="Times New Roman Regular"/>
          <w:sz w:val="24"/>
        </w:rPr>
        <w:t xml:space="preserve">, B. (1985). Formulating a theory of second language learning. </w:t>
      </w:r>
      <w:r>
        <w:rPr>
          <w:rFonts w:ascii="Times New Roman Regular" w:hAnsi="Times New Roman Regular" w:cs="Times New Roman Regular"/>
          <w:i/>
          <w:iCs/>
          <w:sz w:val="24"/>
        </w:rPr>
        <w:t xml:space="preserve">Studies in Second Language Acquisition, </w:t>
      </w:r>
      <w:r>
        <w:rPr>
          <w:rFonts w:ascii="Times New Roman Regular" w:hAnsi="Times New Roman Regular" w:cs="Times New Roman Regular"/>
          <w:sz w:val="24"/>
        </w:rPr>
        <w:t xml:space="preserve">7(3), pp. 269-288. </w:t>
      </w:r>
    </w:p>
    <w:p w14:paraId="2D69FFC3" w14:textId="77777777" w:rsidR="002E7E0D" w:rsidRDefault="002E7E0D" w:rsidP="002E7E0D">
      <w:pPr>
        <w:spacing w:line="360" w:lineRule="auto"/>
        <w:rPr>
          <w:rFonts w:ascii="Times New Roman Regular" w:hAnsi="Times New Roman Regular" w:cs="Times New Roman Regular" w:hint="eastAsia"/>
          <w:sz w:val="24"/>
        </w:rPr>
      </w:pPr>
    </w:p>
    <w:p w14:paraId="5685A199" w14:textId="77777777" w:rsidR="002E7E0D" w:rsidRDefault="002E7E0D" w:rsidP="002E7E0D">
      <w:pPr>
        <w:widowControl/>
        <w:spacing w:line="360" w:lineRule="auto"/>
        <w:jc w:val="left"/>
        <w:rPr>
          <w:rFonts w:ascii="Times New Roman Regular" w:hAnsi="Times New Roman Regular" w:cs="Times New Roman Regular" w:hint="eastAsia"/>
          <w:sz w:val="24"/>
        </w:rPr>
      </w:pPr>
      <w:r>
        <w:rPr>
          <w:rFonts w:ascii="Times New Roman Regular" w:eastAsia="宋体" w:hAnsi="Times New Roman Regular" w:cs="Times New Roman Regular"/>
          <w:kern w:val="0"/>
          <w:sz w:val="24"/>
          <w:shd w:val="clear" w:color="auto" w:fill="FFFFFF"/>
          <w:lang w:bidi="ar"/>
        </w:rPr>
        <w:t xml:space="preserve">Syam, U. (2021). Discovery Learning Method </w:t>
      </w:r>
      <w:proofErr w:type="gramStart"/>
      <w:r>
        <w:rPr>
          <w:rFonts w:ascii="Times New Roman Regular" w:eastAsia="宋体" w:hAnsi="Times New Roman Regular" w:cs="Times New Roman Regular"/>
          <w:kern w:val="0"/>
          <w:sz w:val="24"/>
          <w:shd w:val="clear" w:color="auto" w:fill="FFFFFF"/>
          <w:lang w:bidi="ar"/>
        </w:rPr>
        <w:t>For</w:t>
      </w:r>
      <w:proofErr w:type="gramEnd"/>
      <w:r>
        <w:rPr>
          <w:rFonts w:ascii="Times New Roman Regular" w:eastAsia="宋体" w:hAnsi="Times New Roman Regular" w:cs="Times New Roman Regular"/>
          <w:kern w:val="0"/>
          <w:sz w:val="24"/>
          <w:shd w:val="clear" w:color="auto" w:fill="FFFFFF"/>
          <w:lang w:bidi="ar"/>
        </w:rPr>
        <w:t xml:space="preserve"> </w:t>
      </w:r>
      <w:proofErr w:type="spellStart"/>
      <w:r>
        <w:rPr>
          <w:rFonts w:ascii="Times New Roman Regular" w:eastAsia="宋体" w:hAnsi="Times New Roman Regular" w:cs="Times New Roman Regular"/>
          <w:kern w:val="0"/>
          <w:sz w:val="24"/>
          <w:shd w:val="clear" w:color="auto" w:fill="FFFFFF"/>
          <w:lang w:bidi="ar"/>
        </w:rPr>
        <w:t>Efl</w:t>
      </w:r>
      <w:proofErr w:type="spellEnd"/>
      <w:r>
        <w:rPr>
          <w:rFonts w:ascii="Times New Roman Regular" w:eastAsia="宋体" w:hAnsi="Times New Roman Regular" w:cs="Times New Roman Regular"/>
          <w:kern w:val="0"/>
          <w:sz w:val="24"/>
          <w:shd w:val="clear" w:color="auto" w:fill="FFFFFF"/>
          <w:lang w:bidi="ar"/>
        </w:rPr>
        <w:t xml:space="preserve"> Students. </w:t>
      </w:r>
      <w:r>
        <w:rPr>
          <w:rFonts w:ascii="Times New Roman Regular" w:eastAsia="宋体" w:hAnsi="Times New Roman Regular" w:cs="Times New Roman Regular"/>
          <w:i/>
          <w:iCs/>
          <w:kern w:val="0"/>
          <w:sz w:val="24"/>
          <w:lang w:bidi="ar"/>
        </w:rPr>
        <w:t>Current Research in ELT</w:t>
      </w:r>
      <w:r>
        <w:rPr>
          <w:rFonts w:ascii="Times New Roman Regular" w:eastAsia="宋体" w:hAnsi="Times New Roman Regular" w:cs="Times New Roman Regular"/>
          <w:kern w:val="0"/>
          <w:sz w:val="24"/>
          <w:shd w:val="clear" w:color="auto" w:fill="FFFFFF"/>
          <w:lang w:bidi="ar"/>
        </w:rPr>
        <w:t>, </w:t>
      </w:r>
      <w:r>
        <w:rPr>
          <w:rFonts w:ascii="Times New Roman Regular" w:eastAsia="宋体" w:hAnsi="Times New Roman Regular" w:cs="Times New Roman Regular"/>
          <w:kern w:val="0"/>
          <w:sz w:val="24"/>
          <w:lang w:bidi="ar"/>
        </w:rPr>
        <w:t>1</w:t>
      </w:r>
      <w:r>
        <w:rPr>
          <w:rFonts w:ascii="Times New Roman Regular" w:eastAsia="宋体" w:hAnsi="Times New Roman Regular" w:cs="Times New Roman Regular"/>
          <w:kern w:val="0"/>
          <w:sz w:val="24"/>
          <w:shd w:val="clear" w:color="auto" w:fill="FFFFFF"/>
          <w:lang w:bidi="ar"/>
        </w:rPr>
        <w:t>.</w:t>
      </w:r>
    </w:p>
    <w:p w14:paraId="5F95488A" w14:textId="77777777" w:rsidR="002E7E0D" w:rsidRDefault="002E7E0D" w:rsidP="002E7E0D"/>
    <w:sectPr w:rsidR="002E7E0D">
      <w:pgSz w:w="11906" w:h="16838"/>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等线">
    <w:altName w:val="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Times New Roman Regular">
    <w:altName w:val="Times New Roman"/>
    <w:charset w:val="00"/>
    <w:family w:val="auto"/>
    <w:pitch w:val="default"/>
  </w:font>
  <w:font w:name="宋体">
    <w:altName w:val="SimSun"/>
    <w:panose1 w:val="02010600030101010101"/>
    <w:charset w:val="86"/>
    <w:family w:val="auto"/>
    <w:pitch w:val="variable"/>
    <w:sig w:usb0="00000203" w:usb1="288F0000" w:usb2="00000016" w:usb3="00000000" w:csb0="00040001" w:csb1="00000000"/>
  </w:font>
  <w:font w:name="等线 Light">
    <w:panose1 w:val="02010600030101010101"/>
    <w:charset w:val="86"/>
    <w:family w:val="auto"/>
    <w:pitch w:val="variable"/>
    <w:sig w:usb0="A00002BF" w:usb1="38CF7CFA" w:usb2="00000016" w:usb3="00000000" w:csb0="0004000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1"/>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7E0D"/>
    <w:rsid w:val="002E7E0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40CCC4"/>
  <w15:chartTrackingRefBased/>
  <w15:docId w15:val="{52AC2C10-D380-4546-9F62-5DCE4E3FE4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2E7E0D"/>
    <w:pPr>
      <w:widowControl w:val="0"/>
      <w:jc w:val="both"/>
    </w:pPr>
    <w:rPr>
      <w:szCs w:val="24"/>
      <w14:ligatures w14:val="none"/>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9</Pages>
  <Words>2331</Words>
  <Characters>13290</Characters>
  <Application>Microsoft Office Word</Application>
  <DocSecurity>0</DocSecurity>
  <Lines>110</Lines>
  <Paragraphs>31</Paragraphs>
  <ScaleCrop>false</ScaleCrop>
  <Company/>
  <LinksUpToDate>false</LinksUpToDate>
  <CharactersWithSpaces>15590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李梓木</dc:creator>
  <cp:keywords/>
  <dc:description/>
  <cp:lastModifiedBy>李梓木</cp:lastModifiedBy>
  <cp:revision>1</cp:revision>
  <dcterms:created xsi:type="dcterms:W3CDTF">2024-03-27T12:02:00Z</dcterms:created>
  <dcterms:modified xsi:type="dcterms:W3CDTF">2024-03-27T12:04:00Z</dcterms:modified>
</cp:coreProperties>
</file>